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B26C48">
      <w:pPr>
        <w:spacing w:line="360" w:lineRule="auto"/>
        <w:ind w:right="360"/>
        <w:jc w:val="left"/>
        <w:rPr>
          <w:rFonts w:ascii="宋体" w:hAnsi="宋体" w:cs="宋体"/>
          <w:sz w:val="24"/>
          <w:szCs w:val="24"/>
        </w:rPr>
      </w:pPr>
      <w:r>
        <w:rPr>
          <w:rFonts w:hint="eastAsia" w:ascii="楷体_GB2312" w:hAnsi="宋体" w:eastAsia="楷体_GB2312"/>
          <w:sz w:val="24"/>
        </w:rPr>
        <w:drawing>
          <wp:anchor distT="0" distB="0" distL="114300" distR="114300" simplePos="0" relativeHeight="251659264" behindDoc="0" locked="0" layoutInCell="1" allowOverlap="1">
            <wp:simplePos x="0" y="0"/>
            <wp:positionH relativeFrom="column">
              <wp:posOffset>-198755</wp:posOffset>
            </wp:positionH>
            <wp:positionV relativeFrom="paragraph">
              <wp:posOffset>48895</wp:posOffset>
            </wp:positionV>
            <wp:extent cx="1767205" cy="616585"/>
            <wp:effectExtent l="0" t="0" r="4445" b="12065"/>
            <wp:wrapNone/>
            <wp:docPr id="1" name="图片 12"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2" descr="timg"/>
                    <pic:cNvPicPr>
                      <a:picLocks noChangeAspect="1"/>
                    </pic:cNvPicPr>
                  </pic:nvPicPr>
                  <pic:blipFill>
                    <a:blip r:embed="rId11"/>
                    <a:stretch>
                      <a:fillRect/>
                    </a:stretch>
                  </pic:blipFill>
                  <pic:spPr>
                    <a:xfrm>
                      <a:off x="0" y="0"/>
                      <a:ext cx="1767205" cy="616585"/>
                    </a:xfrm>
                    <a:prstGeom prst="rect">
                      <a:avLst/>
                    </a:prstGeom>
                    <a:noFill/>
                    <a:ln>
                      <a:noFill/>
                    </a:ln>
                  </pic:spPr>
                </pic:pic>
              </a:graphicData>
            </a:graphic>
          </wp:anchor>
        </w:drawing>
      </w:r>
      <w:r>
        <w:rPr>
          <w:rFonts w:hint="eastAsia" w:ascii="宋体" w:hAnsi="宋体" w:cs="宋体"/>
          <w:sz w:val="24"/>
          <w:szCs w:val="24"/>
        </w:rPr>
        <w:t xml:space="preserve"> </w:t>
      </w:r>
      <w:r>
        <w:rPr>
          <w:rFonts w:ascii="宋体" w:hAnsi="宋体" w:cs="宋体"/>
          <w:sz w:val="24"/>
          <w:szCs w:val="24"/>
        </w:rPr>
        <w:t xml:space="preserve">                                                </w:t>
      </w:r>
    </w:p>
    <w:p w14:paraId="7CB8782D">
      <w:pPr>
        <w:spacing w:line="360" w:lineRule="auto"/>
        <w:ind w:right="360" w:firstLine="480" w:firstLineChars="200"/>
        <w:jc w:val="left"/>
        <w:rPr>
          <w:rFonts w:ascii="宋体" w:hAnsi="宋体" w:cs="宋体"/>
          <w:sz w:val="24"/>
          <w:szCs w:val="24"/>
        </w:rPr>
      </w:pPr>
    </w:p>
    <w:p w14:paraId="15EA2626">
      <w:pPr>
        <w:spacing w:line="360" w:lineRule="auto"/>
        <w:ind w:firstLine="480"/>
      </w:pPr>
    </w:p>
    <w:p w14:paraId="2E780D4B">
      <w:pPr>
        <w:spacing w:line="360" w:lineRule="auto"/>
        <w:ind w:firstLine="880"/>
        <w:rPr>
          <w:rFonts w:ascii="楷体_GB2312" w:hAnsi="宋体" w:eastAsia="楷体_GB2312"/>
          <w:sz w:val="44"/>
          <w:szCs w:val="44"/>
        </w:rPr>
      </w:pPr>
    </w:p>
    <w:p w14:paraId="25F7058A">
      <w:pPr>
        <w:spacing w:line="360" w:lineRule="auto"/>
        <w:jc w:val="center"/>
      </w:pPr>
    </w:p>
    <w:p w14:paraId="01B241AB">
      <w:pPr>
        <w:jc w:val="center"/>
        <w:rPr>
          <w:rFonts w:hint="eastAsia" w:asciiTheme="majorEastAsia" w:hAnsiTheme="majorEastAsia" w:eastAsiaTheme="majorEastAsia" w:cstheme="majorEastAsia"/>
          <w:b/>
          <w:bCs/>
          <w:sz w:val="44"/>
          <w:szCs w:val="44"/>
          <w:highlight w:val="none"/>
          <w:lang w:val="en-US" w:eastAsia="zh-CN"/>
        </w:rPr>
      </w:pPr>
      <w:r>
        <w:rPr>
          <w:rFonts w:hint="eastAsia" w:asciiTheme="majorEastAsia" w:hAnsiTheme="majorEastAsia" w:eastAsiaTheme="majorEastAsia" w:cstheme="majorEastAsia"/>
          <w:b/>
          <w:bCs/>
          <w:sz w:val="44"/>
          <w:szCs w:val="44"/>
          <w:highlight w:val="none"/>
          <w:lang w:val="en-US" w:eastAsia="zh-CN"/>
        </w:rPr>
        <w:t>中国重汽集团济南特种车有限公司</w:t>
      </w:r>
    </w:p>
    <w:p w14:paraId="5E8009ED">
      <w:pPr>
        <w:jc w:val="center"/>
        <w:rPr>
          <w:rFonts w:hint="eastAsia" w:asciiTheme="majorEastAsia" w:hAnsiTheme="majorEastAsia" w:eastAsiaTheme="majorEastAsia" w:cstheme="majorEastAsia"/>
          <w:b/>
          <w:bCs/>
          <w:sz w:val="44"/>
          <w:szCs w:val="44"/>
          <w:highlight w:val="none"/>
        </w:rPr>
      </w:pPr>
      <w:r>
        <w:rPr>
          <w:rFonts w:hint="eastAsia" w:asciiTheme="majorEastAsia" w:hAnsiTheme="majorEastAsia" w:eastAsiaTheme="majorEastAsia" w:cstheme="majorEastAsia"/>
          <w:b/>
          <w:bCs/>
          <w:sz w:val="44"/>
          <w:szCs w:val="44"/>
          <w:highlight w:val="none"/>
        </w:rPr>
        <w:t>202</w:t>
      </w:r>
      <w:r>
        <w:rPr>
          <w:rFonts w:hint="eastAsia" w:asciiTheme="majorEastAsia" w:hAnsiTheme="majorEastAsia" w:eastAsiaTheme="majorEastAsia" w:cstheme="majorEastAsia"/>
          <w:b/>
          <w:bCs/>
          <w:sz w:val="44"/>
          <w:szCs w:val="44"/>
          <w:highlight w:val="none"/>
          <w:lang w:val="en-US" w:eastAsia="zh-CN"/>
        </w:rPr>
        <w:t>6</w:t>
      </w:r>
      <w:r>
        <w:rPr>
          <w:rFonts w:hint="eastAsia" w:asciiTheme="majorEastAsia" w:hAnsiTheme="majorEastAsia" w:eastAsiaTheme="majorEastAsia" w:cstheme="majorEastAsia"/>
          <w:b/>
          <w:bCs/>
          <w:sz w:val="44"/>
          <w:szCs w:val="44"/>
          <w:highlight w:val="none"/>
        </w:rPr>
        <w:t>年商品车</w:t>
      </w:r>
      <w:r>
        <w:rPr>
          <w:rFonts w:hint="eastAsia" w:asciiTheme="majorEastAsia" w:hAnsiTheme="majorEastAsia" w:eastAsiaTheme="majorEastAsia" w:cstheme="majorEastAsia"/>
          <w:b/>
          <w:bCs/>
          <w:sz w:val="44"/>
          <w:szCs w:val="44"/>
          <w:highlight w:val="none"/>
          <w:lang w:val="en-US" w:eastAsia="zh-CN"/>
        </w:rPr>
        <w:t>仓储服务</w:t>
      </w:r>
      <w:r>
        <w:rPr>
          <w:rFonts w:hint="eastAsia" w:asciiTheme="majorEastAsia" w:hAnsiTheme="majorEastAsia" w:eastAsiaTheme="majorEastAsia" w:cstheme="majorEastAsia"/>
          <w:b/>
          <w:bCs/>
          <w:sz w:val="44"/>
          <w:szCs w:val="44"/>
          <w:highlight w:val="none"/>
        </w:rPr>
        <w:t>招标项目</w:t>
      </w:r>
    </w:p>
    <w:p w14:paraId="79A3AACA">
      <w:pPr>
        <w:spacing w:line="360" w:lineRule="auto"/>
        <w:ind w:firstLine="1767" w:firstLineChars="400"/>
        <w:rPr>
          <w:rFonts w:hint="eastAsia" w:asciiTheme="majorEastAsia" w:hAnsiTheme="majorEastAsia" w:eastAsiaTheme="majorEastAsia" w:cstheme="majorEastAsia"/>
          <w:b/>
          <w:bCs/>
          <w:sz w:val="44"/>
          <w:szCs w:val="44"/>
          <w:u w:val="single"/>
        </w:rPr>
      </w:pPr>
    </w:p>
    <w:p w14:paraId="1C19A501">
      <w:pPr>
        <w:pStyle w:val="7"/>
        <w:spacing w:line="360" w:lineRule="auto"/>
      </w:pPr>
    </w:p>
    <w:p w14:paraId="00E8D1C0">
      <w:pPr>
        <w:spacing w:line="360" w:lineRule="auto"/>
        <w:ind w:firstLine="2891" w:firstLineChars="400"/>
        <w:rPr>
          <w:rFonts w:hint="eastAsia" w:ascii="宋体" w:hAnsi="宋体" w:eastAsia="宋体" w:cs="宋体"/>
          <w:b/>
          <w:bCs/>
          <w:sz w:val="72"/>
          <w:szCs w:val="72"/>
          <w:lang w:val="en-US" w:eastAsia="zh-CN"/>
        </w:rPr>
      </w:pPr>
      <w:r>
        <w:rPr>
          <w:rFonts w:hint="eastAsia" w:ascii="宋体" w:hAnsi="宋体" w:cs="宋体"/>
          <w:b/>
          <w:bCs/>
          <w:sz w:val="72"/>
          <w:szCs w:val="72"/>
        </w:rPr>
        <w:t>招标</w:t>
      </w:r>
      <w:r>
        <w:rPr>
          <w:rFonts w:hint="eastAsia" w:ascii="宋体" w:hAnsi="宋体" w:cs="宋体"/>
          <w:b/>
          <w:bCs/>
          <w:sz w:val="72"/>
          <w:szCs w:val="72"/>
          <w:lang w:val="en-US" w:eastAsia="zh-CN"/>
        </w:rPr>
        <w:t>公告</w:t>
      </w:r>
    </w:p>
    <w:p w14:paraId="6A1D08E5">
      <w:pPr>
        <w:spacing w:line="360" w:lineRule="auto"/>
        <w:ind w:firstLine="2249" w:firstLineChars="700"/>
        <w:jc w:val="both"/>
        <w:rPr>
          <w:rFonts w:hint="eastAsia" w:eastAsia="宋体"/>
          <w:b/>
          <w:bCs/>
          <w:color w:val="000000" w:themeColor="text1"/>
          <w:sz w:val="30"/>
          <w:szCs w:val="30"/>
          <w:highlight w:val="yellow"/>
          <w:lang w:val="en-US" w:eastAsia="zh-CN"/>
          <w14:textFill>
            <w14:solidFill>
              <w14:schemeClr w14:val="tx1"/>
            </w14:solidFill>
          </w14:textFill>
        </w:rPr>
      </w:pPr>
      <w:r>
        <w:rPr>
          <w:rFonts w:ascii="宋体" w:hAnsi="宋体" w:cs="宋体"/>
          <w:b/>
          <w:color w:val="000000"/>
          <w:sz w:val="32"/>
          <w:highlight w:val="none"/>
        </w:rPr>
        <w:t>项目编号：</w:t>
      </w:r>
      <w:r>
        <w:rPr>
          <w:rFonts w:hint="eastAsia" w:ascii="宋体" w:hAnsi="宋体" w:cs="宋体"/>
          <w:b/>
          <w:color w:val="000000"/>
          <w:sz w:val="32"/>
          <w:highlight w:val="none"/>
        </w:rPr>
        <w:t>ZBGL2026090063</w:t>
      </w:r>
    </w:p>
    <w:p w14:paraId="1716CC33">
      <w:pPr>
        <w:widowControl/>
        <w:spacing w:line="360" w:lineRule="auto"/>
        <w:ind w:firstLine="643"/>
        <w:jc w:val="left"/>
        <w:rPr>
          <w:rFonts w:ascii="宋体" w:hAnsi="宋体" w:cs="宋体"/>
          <w:b/>
          <w:bCs/>
          <w:kern w:val="0"/>
          <w:sz w:val="32"/>
          <w:szCs w:val="32"/>
        </w:rPr>
      </w:pPr>
    </w:p>
    <w:p w14:paraId="619059C6">
      <w:pPr>
        <w:widowControl/>
        <w:spacing w:line="360" w:lineRule="auto"/>
        <w:ind w:firstLine="643"/>
        <w:jc w:val="left"/>
        <w:rPr>
          <w:rFonts w:ascii="宋体" w:hAnsi="宋体" w:cs="宋体"/>
          <w:b/>
          <w:bCs/>
          <w:kern w:val="0"/>
          <w:sz w:val="32"/>
          <w:szCs w:val="32"/>
        </w:rPr>
      </w:pPr>
    </w:p>
    <w:p w14:paraId="7C1AA9B6">
      <w:pPr>
        <w:widowControl/>
        <w:spacing w:line="360" w:lineRule="auto"/>
        <w:ind w:firstLine="643"/>
        <w:jc w:val="left"/>
        <w:rPr>
          <w:rFonts w:ascii="宋体" w:hAnsi="宋体" w:cs="宋体"/>
          <w:b/>
          <w:bCs/>
          <w:kern w:val="0"/>
          <w:sz w:val="32"/>
          <w:szCs w:val="32"/>
        </w:rPr>
      </w:pPr>
    </w:p>
    <w:p w14:paraId="13C1BA37">
      <w:pPr>
        <w:widowControl/>
        <w:spacing w:line="360" w:lineRule="auto"/>
        <w:ind w:firstLine="1590" w:firstLineChars="495"/>
        <w:rPr>
          <w:rFonts w:ascii="宋体" w:hAnsi="宋体" w:cs="宋体"/>
          <w:b/>
          <w:bCs/>
          <w:kern w:val="0"/>
          <w:sz w:val="32"/>
          <w:szCs w:val="32"/>
          <w:u w:val="single"/>
        </w:rPr>
      </w:pPr>
    </w:p>
    <w:p w14:paraId="2F472464">
      <w:pPr>
        <w:widowControl/>
        <w:spacing w:line="360" w:lineRule="auto"/>
        <w:ind w:firstLine="643"/>
        <w:jc w:val="center"/>
        <w:rPr>
          <w:rFonts w:ascii="宋体" w:hAnsi="宋体" w:cs="宋体"/>
          <w:b/>
          <w:bCs/>
          <w:kern w:val="0"/>
          <w:sz w:val="32"/>
          <w:szCs w:val="32"/>
        </w:rPr>
      </w:pPr>
    </w:p>
    <w:p w14:paraId="59DD354B">
      <w:pPr>
        <w:spacing w:line="360" w:lineRule="auto"/>
      </w:pPr>
    </w:p>
    <w:p w14:paraId="7BC422F3">
      <w:pPr>
        <w:widowControl/>
        <w:spacing w:line="360" w:lineRule="auto"/>
        <w:ind w:firstLine="2096" w:firstLineChars="696"/>
        <w:rPr>
          <w:rFonts w:ascii="宋体" w:hAnsi="宋体" w:cs="宋体"/>
          <w:b/>
          <w:bCs/>
          <w:sz w:val="30"/>
          <w:szCs w:val="30"/>
          <w:u w:val="single"/>
        </w:rPr>
      </w:pPr>
      <w:r>
        <w:rPr>
          <w:rFonts w:hint="eastAsia" w:ascii="宋体" w:hAnsi="宋体" w:cs="宋体"/>
          <w:b/>
          <w:bCs/>
          <w:sz w:val="30"/>
          <w:szCs w:val="30"/>
          <w:u w:val="single"/>
        </w:rPr>
        <w:t>招标单位：</w:t>
      </w:r>
      <w:r>
        <w:rPr>
          <w:rFonts w:hint="eastAsia" w:ascii="宋体" w:hAnsi="宋体" w:eastAsia="宋体" w:cs="Times New Roman"/>
          <w:b/>
          <w:bCs/>
          <w:color w:val="auto"/>
          <w:sz w:val="28"/>
          <w:szCs w:val="28"/>
          <w:u w:val="single"/>
        </w:rPr>
        <w:t>中国重汽集团济南特种车有限公司</w:t>
      </w:r>
    </w:p>
    <w:p w14:paraId="6E58D032">
      <w:pPr>
        <w:spacing w:line="360" w:lineRule="auto"/>
        <w:jc w:val="center"/>
        <w:rPr>
          <w:rFonts w:eastAsia="黑体"/>
          <w:b/>
          <w:bCs/>
        </w:rPr>
      </w:pPr>
      <w:r>
        <w:rPr>
          <w:rFonts w:hint="eastAsia" w:ascii="黑体" w:hAnsi="黑体" w:eastAsia="黑体" w:cs="黑体"/>
          <w:b/>
          <w:bCs/>
          <w:color w:val="000000"/>
          <w:sz w:val="32"/>
          <w:u w:val="none"/>
        </w:rPr>
        <w:t>202</w:t>
      </w:r>
      <w:r>
        <w:rPr>
          <w:rFonts w:hint="eastAsia" w:ascii="黑体" w:hAnsi="黑体" w:eastAsia="黑体" w:cs="黑体"/>
          <w:b/>
          <w:bCs/>
          <w:color w:val="000000"/>
          <w:sz w:val="32"/>
          <w:u w:val="none"/>
          <w:lang w:val="en-US" w:eastAsia="zh-CN"/>
        </w:rPr>
        <w:t>6</w:t>
      </w:r>
      <w:r>
        <w:rPr>
          <w:rFonts w:hint="eastAsia" w:ascii="黑体" w:hAnsi="黑体" w:eastAsia="黑体" w:cs="黑体"/>
          <w:b/>
          <w:bCs/>
          <w:color w:val="000000"/>
          <w:sz w:val="32"/>
        </w:rPr>
        <w:t>年</w:t>
      </w:r>
      <w:r>
        <w:rPr>
          <w:rFonts w:hint="eastAsia" w:ascii="黑体" w:hAnsi="黑体" w:eastAsia="黑体" w:cs="黑体"/>
          <w:b/>
          <w:bCs/>
          <w:color w:val="000000"/>
          <w:sz w:val="32"/>
          <w:lang w:val="en-US" w:eastAsia="zh-CN"/>
        </w:rPr>
        <w:t>9</w:t>
      </w:r>
      <w:r>
        <w:rPr>
          <w:rFonts w:hint="eastAsia" w:ascii="黑体" w:hAnsi="黑体" w:eastAsia="黑体" w:cs="黑体"/>
          <w:b/>
          <w:bCs/>
          <w:color w:val="000000"/>
          <w:sz w:val="32"/>
        </w:rPr>
        <w:t>月</w:t>
      </w:r>
    </w:p>
    <w:p w14:paraId="4E906240">
      <w:pPr>
        <w:pStyle w:val="2"/>
        <w:numPr>
          <w:ilvl w:val="0"/>
          <w:numId w:val="0"/>
        </w:numPr>
        <w:rPr>
          <w:rFonts w:ascii="宋体" w:hAnsi="宋体" w:cs="宋体"/>
          <w:i/>
          <w:caps/>
          <w:szCs w:val="24"/>
        </w:rPr>
        <w:sectPr>
          <w:headerReference r:id="rId3" w:type="default"/>
          <w:footerReference r:id="rId4" w:type="default"/>
          <w:pgSz w:w="11907" w:h="16840"/>
          <w:pgMar w:top="1025" w:right="1418" w:bottom="1418" w:left="1418" w:header="724" w:footer="851" w:gutter="0"/>
          <w:pgNumType w:start="1"/>
          <w:cols w:space="720" w:num="1"/>
          <w:docGrid w:linePitch="290" w:charSpace="-3931"/>
        </w:sectPr>
      </w:pPr>
      <w:r>
        <w:rPr>
          <w:rFonts w:hint="eastAsia" w:ascii="宋体" w:hAnsi="宋体" w:cs="宋体"/>
          <w:b/>
          <w:bCs/>
          <w:sz w:val="36"/>
          <w:szCs w:val="36"/>
        </w:rPr>
        <w:br w:type="page"/>
      </w:r>
    </w:p>
    <w:p w14:paraId="60927E20">
      <w:pPr>
        <w:pStyle w:val="16"/>
        <w:ind w:left="420"/>
      </w:pPr>
      <w:bookmarkStart w:id="0" w:name="_Toc11033"/>
      <w:bookmarkStart w:id="1" w:name="_Toc31260"/>
      <w:bookmarkStart w:id="2" w:name="_Toc25259"/>
      <w:bookmarkStart w:id="3" w:name="_Toc26651"/>
      <w:bookmarkStart w:id="4" w:name="_Toc131681868"/>
      <w:bookmarkStart w:id="5" w:name="_Toc2075"/>
      <w:bookmarkStart w:id="6" w:name="_Toc12144"/>
      <w:bookmarkStart w:id="7" w:name="_Toc29758"/>
      <w:r>
        <w:rPr>
          <w:rFonts w:hint="eastAsia"/>
        </w:rPr>
        <w:t>招标公告</w:t>
      </w:r>
      <w:bookmarkEnd w:id="0"/>
      <w:bookmarkEnd w:id="1"/>
      <w:bookmarkEnd w:id="2"/>
      <w:bookmarkEnd w:id="3"/>
      <w:bookmarkEnd w:id="4"/>
    </w:p>
    <w:p w14:paraId="7F30031D">
      <w:pPr>
        <w:pStyle w:val="22"/>
        <w:numPr>
          <w:ilvl w:val="0"/>
          <w:numId w:val="4"/>
        </w:numPr>
        <w:tabs>
          <w:tab w:val="right" w:leader="dot" w:pos="9061"/>
        </w:tabs>
        <w:spacing w:line="360" w:lineRule="auto"/>
        <w:ind w:firstLineChars="0"/>
        <w:jc w:val="center"/>
        <w:outlineLvl w:val="0"/>
        <w:rPr>
          <w:b/>
          <w:iCs/>
          <w:vanish/>
          <w:szCs w:val="20"/>
        </w:rPr>
      </w:pPr>
      <w:bookmarkStart w:id="8" w:name="_Toc142572929"/>
      <w:bookmarkEnd w:id="8"/>
      <w:bookmarkStart w:id="9" w:name="_Toc129688947"/>
      <w:bookmarkEnd w:id="9"/>
      <w:bookmarkStart w:id="10" w:name="_Toc142573635"/>
      <w:bookmarkEnd w:id="10"/>
      <w:bookmarkStart w:id="11" w:name="_Toc129692777"/>
      <w:bookmarkEnd w:id="11"/>
      <w:bookmarkStart w:id="12" w:name="_Toc129697415"/>
      <w:bookmarkEnd w:id="12"/>
      <w:bookmarkStart w:id="13" w:name="_Toc131681869"/>
      <w:bookmarkEnd w:id="13"/>
      <w:bookmarkStart w:id="14" w:name="_Toc129695594"/>
      <w:bookmarkEnd w:id="14"/>
      <w:bookmarkStart w:id="15" w:name="_Toc142573010"/>
      <w:bookmarkEnd w:id="15"/>
      <w:bookmarkStart w:id="16" w:name="_Toc142572964"/>
      <w:bookmarkEnd w:id="16"/>
      <w:bookmarkStart w:id="17" w:name="_Toc129692714"/>
      <w:bookmarkEnd w:id="17"/>
      <w:bookmarkStart w:id="18" w:name="_Toc142573471"/>
      <w:bookmarkEnd w:id="18"/>
      <w:bookmarkStart w:id="19" w:name="_Toc129693878"/>
      <w:bookmarkEnd w:id="19"/>
      <w:bookmarkStart w:id="20" w:name="_Toc129693362"/>
      <w:bookmarkEnd w:id="20"/>
      <w:bookmarkStart w:id="21" w:name="_Toc129692631"/>
      <w:bookmarkEnd w:id="21"/>
      <w:bookmarkStart w:id="22" w:name="_Toc142573102"/>
      <w:bookmarkEnd w:id="22"/>
    </w:p>
    <w:p w14:paraId="7D105F70">
      <w:pPr>
        <w:pStyle w:val="3"/>
        <w:tabs>
          <w:tab w:val="left" w:pos="1023"/>
        </w:tabs>
        <w:spacing w:before="0" w:beforeLines="0" w:line="360" w:lineRule="auto"/>
        <w:ind w:firstLine="482"/>
        <w:rPr>
          <w:rFonts w:hint="eastAsia" w:eastAsia="宋体"/>
          <w:sz w:val="28"/>
          <w:szCs w:val="28"/>
        </w:rPr>
      </w:pPr>
      <w:bookmarkStart w:id="23" w:name="_Toc27190"/>
      <w:bookmarkStart w:id="24" w:name="_Toc131681870"/>
      <w:bookmarkStart w:id="25" w:name="_Toc31025"/>
      <w:bookmarkStart w:id="26" w:name="_Toc20534"/>
      <w:r>
        <w:rPr>
          <w:rFonts w:hint="eastAsia" w:eastAsia="宋体"/>
          <w:sz w:val="28"/>
          <w:szCs w:val="28"/>
        </w:rPr>
        <w:t>项目名称及项目编号</w:t>
      </w:r>
      <w:bookmarkEnd w:id="23"/>
      <w:bookmarkEnd w:id="24"/>
      <w:bookmarkEnd w:id="25"/>
      <w:bookmarkEnd w:id="26"/>
    </w:p>
    <w:p w14:paraId="1182B82A">
      <w:pPr>
        <w:spacing w:line="360" w:lineRule="auto"/>
        <w:ind w:firstLine="480" w:firstLineChars="200"/>
        <w:rPr>
          <w:rFonts w:hint="eastAsia" w:ascii="宋体" w:hAnsi="宋体" w:eastAsia="宋体" w:cs="宋体"/>
          <w:sz w:val="24"/>
          <w:szCs w:val="24"/>
          <w:u w:val="single"/>
          <w:lang w:eastAsia="zh-CN"/>
        </w:rPr>
      </w:pPr>
      <w:r>
        <w:rPr>
          <w:rFonts w:hint="eastAsia" w:ascii="宋体" w:hAnsi="宋体" w:cs="宋体"/>
          <w:sz w:val="24"/>
          <w:szCs w:val="24"/>
        </w:rPr>
        <w:t>项目名称：</w:t>
      </w:r>
      <w:r>
        <w:rPr>
          <w:rFonts w:hint="eastAsia" w:ascii="宋体" w:hAnsi="宋体" w:cs="宋体"/>
          <w:sz w:val="24"/>
          <w:szCs w:val="24"/>
          <w:u w:val="single"/>
          <w:lang w:val="en-US" w:eastAsia="zh-CN"/>
        </w:rPr>
        <w:t>特种车公司</w:t>
      </w:r>
      <w:r>
        <w:rPr>
          <w:rFonts w:hint="eastAsia" w:ascii="宋体" w:hAnsi="宋体" w:cs="宋体"/>
          <w:sz w:val="24"/>
          <w:szCs w:val="24"/>
          <w:u w:val="single"/>
          <w:lang w:eastAsia="zh-CN"/>
        </w:rPr>
        <w:t>202</w:t>
      </w:r>
      <w:r>
        <w:rPr>
          <w:rFonts w:hint="eastAsia" w:ascii="宋体" w:hAnsi="宋体" w:cs="宋体"/>
          <w:sz w:val="24"/>
          <w:szCs w:val="24"/>
          <w:u w:val="single"/>
          <w:lang w:val="en-US" w:eastAsia="zh-CN"/>
        </w:rPr>
        <w:t>6</w:t>
      </w:r>
      <w:r>
        <w:rPr>
          <w:rFonts w:hint="eastAsia" w:ascii="宋体" w:hAnsi="宋体" w:cs="宋体"/>
          <w:sz w:val="24"/>
          <w:szCs w:val="24"/>
          <w:u w:val="single"/>
        </w:rPr>
        <w:t>年商品车</w:t>
      </w:r>
      <w:r>
        <w:rPr>
          <w:rFonts w:hint="eastAsia" w:ascii="宋体" w:hAnsi="宋体" w:cs="宋体"/>
          <w:sz w:val="24"/>
          <w:szCs w:val="24"/>
          <w:u w:val="single"/>
          <w:lang w:val="en-US" w:eastAsia="zh-CN"/>
        </w:rPr>
        <w:t>仓储服务项目</w:t>
      </w:r>
    </w:p>
    <w:p w14:paraId="4D934745">
      <w:pPr>
        <w:spacing w:line="360" w:lineRule="auto"/>
        <w:ind w:firstLine="480" w:firstLineChars="200"/>
        <w:jc w:val="both"/>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项目编号：ZBGL2026090063</w:t>
      </w:r>
    </w:p>
    <w:p w14:paraId="18C88CF2">
      <w:pPr>
        <w:pStyle w:val="7"/>
        <w:spacing w:line="360" w:lineRule="auto"/>
        <w:ind w:firstLine="480"/>
        <w:jc w:val="left"/>
        <w:rPr>
          <w:rFonts w:hint="eastAsia" w:ascii="宋体" w:hAnsi="宋体" w:cs="宋体"/>
          <w:kern w:val="2"/>
          <w:sz w:val="24"/>
          <w:szCs w:val="24"/>
        </w:rPr>
      </w:pPr>
      <w:r>
        <w:rPr>
          <w:rFonts w:hint="eastAsia" w:ascii="宋体" w:hAnsi="宋体" w:cs="宋体"/>
          <w:kern w:val="2"/>
          <w:sz w:val="24"/>
          <w:szCs w:val="24"/>
        </w:rPr>
        <w:t>报名方式：</w:t>
      </w:r>
      <w:r>
        <w:rPr>
          <w:rFonts w:hint="eastAsia" w:ascii="宋体" w:hAnsi="宋体" w:cs="宋体"/>
          <w:kern w:val="2"/>
          <w:sz w:val="24"/>
          <w:szCs w:val="24"/>
          <w:highlight w:val="none"/>
        </w:rPr>
        <w:t>通过注册登陆“中国重汽e采通”进行投标。</w:t>
      </w:r>
    </w:p>
    <w:p w14:paraId="4FCE5E43">
      <w:pPr>
        <w:pStyle w:val="7"/>
        <w:spacing w:line="360" w:lineRule="auto"/>
        <w:ind w:firstLine="48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登陆网址：</w:t>
      </w:r>
      <w:r>
        <w:rPr>
          <w:rFonts w:hint="eastAsia" w:ascii="宋体" w:hAnsi="宋体" w:eastAsia="宋体" w:cs="宋体"/>
          <w:kern w:val="2"/>
          <w:sz w:val="24"/>
          <w:szCs w:val="24"/>
          <w:highlight w:val="none"/>
        </w:rPr>
        <w:fldChar w:fldCharType="begin"/>
      </w:r>
      <w:r>
        <w:rPr>
          <w:rFonts w:hint="eastAsia" w:ascii="宋体" w:hAnsi="宋体" w:eastAsia="宋体" w:cs="宋体"/>
          <w:kern w:val="2"/>
          <w:sz w:val="24"/>
          <w:szCs w:val="24"/>
          <w:highlight w:val="none"/>
        </w:rPr>
        <w:instrText xml:space="preserve"> HYPERLINK "http://ecaitong.sinotruk.com:8012（投标人注册完成审批后，于2023年4月13日17:00前在" </w:instrText>
      </w:r>
      <w:r>
        <w:rPr>
          <w:rFonts w:hint="eastAsia" w:ascii="宋体" w:hAnsi="宋体" w:eastAsia="宋体" w:cs="宋体"/>
          <w:kern w:val="2"/>
          <w:sz w:val="24"/>
          <w:szCs w:val="24"/>
          <w:highlight w:val="none"/>
        </w:rPr>
        <w:fldChar w:fldCharType="separate"/>
      </w:r>
      <w:r>
        <w:rPr>
          <w:rFonts w:hint="eastAsia" w:ascii="宋体" w:hAnsi="宋体" w:eastAsia="宋体" w:cs="宋体"/>
          <w:kern w:val="2"/>
          <w:sz w:val="24"/>
          <w:szCs w:val="24"/>
          <w:highlight w:val="none"/>
        </w:rPr>
        <w:t>http</w:t>
      </w:r>
      <w:r>
        <w:rPr>
          <w:rFonts w:hint="eastAsia" w:ascii="宋体" w:hAnsi="宋体" w:eastAsia="宋体" w:cs="宋体"/>
          <w:kern w:val="2"/>
          <w:sz w:val="24"/>
          <w:szCs w:val="24"/>
          <w:highlight w:val="none"/>
          <w:lang w:val="en-US" w:eastAsia="zh-CN"/>
        </w:rPr>
        <w:t>s</w:t>
      </w:r>
      <w:r>
        <w:rPr>
          <w:rFonts w:hint="eastAsia" w:ascii="宋体" w:hAnsi="宋体" w:eastAsia="宋体" w:cs="宋体"/>
          <w:kern w:val="2"/>
          <w:sz w:val="24"/>
          <w:szCs w:val="24"/>
          <w:highlight w:val="none"/>
        </w:rPr>
        <w:t>://ecaitong.sinotruk.com:8012（投标人注册完成审批后，于202</w:t>
      </w:r>
      <w:r>
        <w:rPr>
          <w:rFonts w:hint="eastAsia" w:ascii="宋体" w:hAnsi="宋体" w:eastAsia="宋体" w:cs="宋体"/>
          <w:kern w:val="2"/>
          <w:sz w:val="24"/>
          <w:szCs w:val="24"/>
          <w:highlight w:val="none"/>
          <w:lang w:val="en-US" w:eastAsia="zh-CN"/>
        </w:rPr>
        <w:t>6</w:t>
      </w:r>
      <w:r>
        <w:rPr>
          <w:rFonts w:hint="eastAsia" w:ascii="宋体" w:hAnsi="宋体" w:eastAsia="宋体" w:cs="宋体"/>
          <w:kern w:val="2"/>
          <w:sz w:val="24"/>
          <w:szCs w:val="24"/>
          <w:highlight w:val="none"/>
        </w:rPr>
        <w:t>年</w:t>
      </w:r>
      <w:r>
        <w:rPr>
          <w:rFonts w:hint="eastAsia" w:ascii="宋体" w:hAnsi="宋体" w:eastAsia="宋体" w:cs="宋体"/>
          <w:kern w:val="2"/>
          <w:sz w:val="24"/>
          <w:szCs w:val="24"/>
          <w:highlight w:val="none"/>
          <w:lang w:val="en-US" w:eastAsia="zh-CN"/>
        </w:rPr>
        <w:t>9</w:t>
      </w:r>
      <w:r>
        <w:rPr>
          <w:rFonts w:hint="eastAsia" w:ascii="宋体" w:hAnsi="宋体" w:eastAsia="宋体" w:cs="宋体"/>
          <w:kern w:val="2"/>
          <w:sz w:val="24"/>
          <w:szCs w:val="24"/>
          <w:highlight w:val="none"/>
        </w:rPr>
        <w:t>月</w:t>
      </w:r>
      <w:r>
        <w:rPr>
          <w:rFonts w:hint="eastAsia" w:ascii="宋体" w:hAnsi="宋体" w:cs="宋体"/>
          <w:kern w:val="2"/>
          <w:sz w:val="24"/>
          <w:szCs w:val="24"/>
          <w:highlight w:val="none"/>
          <w:lang w:val="en-US" w:eastAsia="zh-CN"/>
        </w:rPr>
        <w:t>23</w:t>
      </w:r>
      <w:r>
        <w:rPr>
          <w:rFonts w:hint="eastAsia" w:ascii="宋体" w:hAnsi="宋体" w:eastAsia="宋体" w:cs="宋体"/>
          <w:kern w:val="2"/>
          <w:sz w:val="24"/>
          <w:szCs w:val="24"/>
          <w:highlight w:val="none"/>
        </w:rPr>
        <w:t>日</w:t>
      </w:r>
      <w:r>
        <w:rPr>
          <w:rFonts w:hint="eastAsia" w:ascii="宋体" w:hAnsi="宋体" w:eastAsia="宋体" w:cs="宋体"/>
          <w:kern w:val="2"/>
          <w:sz w:val="24"/>
          <w:szCs w:val="24"/>
          <w:highlight w:val="none"/>
          <w:lang w:val="en-US" w:eastAsia="zh-CN"/>
        </w:rPr>
        <w:t>17:00:00</w:t>
      </w:r>
      <w:r>
        <w:rPr>
          <w:rFonts w:hint="default" w:ascii="宋体" w:hAnsi="宋体" w:eastAsia="宋体" w:cs="宋体"/>
          <w:kern w:val="2"/>
          <w:sz w:val="24"/>
          <w:szCs w:val="24"/>
          <w:highlight w:val="none"/>
          <w:lang w:val="en-US" w:eastAsia="zh-CN"/>
        </w:rPr>
        <w:t>（北京时间）</w:t>
      </w:r>
      <w:r>
        <w:rPr>
          <w:rFonts w:hint="eastAsia" w:ascii="宋体" w:hAnsi="宋体" w:eastAsia="宋体" w:cs="宋体"/>
          <w:kern w:val="2"/>
          <w:sz w:val="24"/>
          <w:szCs w:val="24"/>
          <w:highlight w:val="none"/>
          <w:lang w:val="en-US" w:eastAsia="zh-CN"/>
        </w:rPr>
        <w:t>前；</w:t>
      </w:r>
      <w:r>
        <w:rPr>
          <w:rFonts w:hint="eastAsia" w:ascii="宋体" w:hAnsi="宋体" w:eastAsia="宋体" w:cs="宋体"/>
          <w:kern w:val="2"/>
          <w:sz w:val="24"/>
          <w:szCs w:val="24"/>
          <w:highlight w:val="none"/>
        </w:rPr>
        <w:t>在“中国重汽e采通”招投标中心非生产类招投标点击“供应商应标”，逾期系统自动关闭应标）。</w:t>
      </w:r>
      <w:r>
        <w:rPr>
          <w:rFonts w:hint="eastAsia" w:ascii="宋体" w:hAnsi="宋体" w:eastAsia="宋体" w:cs="宋体"/>
          <w:kern w:val="2"/>
          <w:sz w:val="24"/>
          <w:szCs w:val="24"/>
          <w:highlight w:val="none"/>
        </w:rPr>
        <w:fldChar w:fldCharType="end"/>
      </w:r>
    </w:p>
    <w:p w14:paraId="046DA6EC">
      <w:pPr>
        <w:pStyle w:val="7"/>
        <w:spacing w:line="360" w:lineRule="auto"/>
        <w:ind w:firstLine="48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rPr>
        <w:t>在中国重汽e采通平台应标成功后，进入“供应商投标”环节，投递盖章扫描版电子标书（包含资质标书、技术标书、商务标书），用“公司名称+文件名称”命名。若逾期未在中国重汽e采通平台上传电子标书，即便递交了纸版投标文件，一律视为无效投标。</w:t>
      </w:r>
    </w:p>
    <w:p w14:paraId="6549A0AF">
      <w:pPr>
        <w:pStyle w:val="7"/>
        <w:spacing w:line="360" w:lineRule="auto"/>
        <w:ind w:firstLine="480"/>
        <w:jc w:val="left"/>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项目的潜在投标人应在缴纳投标保证金后通过“</w:t>
      </w:r>
      <w:r>
        <w:rPr>
          <w:rFonts w:hint="eastAsia" w:ascii="宋体" w:hAnsi="宋体" w:eastAsia="宋体" w:cs="宋体"/>
          <w:kern w:val="2"/>
          <w:sz w:val="24"/>
          <w:szCs w:val="24"/>
          <w:highlight w:val="none"/>
        </w:rPr>
        <w:t>中国重汽e采通</w:t>
      </w:r>
      <w:r>
        <w:rPr>
          <w:rFonts w:hint="eastAsia" w:ascii="宋体" w:hAnsi="宋体" w:eastAsia="宋体" w:cs="宋体"/>
          <w:kern w:val="2"/>
          <w:sz w:val="24"/>
          <w:szCs w:val="24"/>
          <w:highlight w:val="none"/>
          <w:lang w:val="en-US" w:eastAsia="zh-CN"/>
        </w:rPr>
        <w:t>”（https://ecaitong.sinotruk.com:8012）获取招标文件，于</w:t>
      </w:r>
      <w:r>
        <w:rPr>
          <w:rFonts w:hint="eastAsia" w:ascii="宋体" w:hAnsi="宋体" w:eastAsia="宋体" w:cs="宋体"/>
          <w:kern w:val="2"/>
          <w:sz w:val="24"/>
          <w:szCs w:val="24"/>
          <w:highlight w:val="none"/>
        </w:rPr>
        <w:t>202</w:t>
      </w:r>
      <w:r>
        <w:rPr>
          <w:rFonts w:hint="eastAsia" w:ascii="宋体" w:hAnsi="宋体" w:eastAsia="宋体" w:cs="宋体"/>
          <w:kern w:val="2"/>
          <w:sz w:val="24"/>
          <w:szCs w:val="24"/>
          <w:highlight w:val="none"/>
          <w:lang w:val="en-US" w:eastAsia="zh-CN"/>
        </w:rPr>
        <w:t>6</w:t>
      </w:r>
      <w:r>
        <w:rPr>
          <w:rFonts w:hint="eastAsia" w:ascii="宋体" w:hAnsi="宋体" w:eastAsia="宋体" w:cs="宋体"/>
          <w:kern w:val="2"/>
          <w:sz w:val="24"/>
          <w:szCs w:val="24"/>
          <w:highlight w:val="none"/>
        </w:rPr>
        <w:t>年</w:t>
      </w:r>
      <w:r>
        <w:rPr>
          <w:rFonts w:hint="eastAsia" w:ascii="宋体" w:hAnsi="宋体" w:cs="宋体"/>
          <w:kern w:val="2"/>
          <w:sz w:val="24"/>
          <w:szCs w:val="24"/>
          <w:highlight w:val="none"/>
          <w:lang w:val="en-US" w:eastAsia="zh-CN"/>
        </w:rPr>
        <w:t>10</w:t>
      </w:r>
      <w:r>
        <w:rPr>
          <w:rFonts w:hint="eastAsia" w:ascii="宋体" w:hAnsi="宋体" w:eastAsia="宋体" w:cs="宋体"/>
          <w:kern w:val="2"/>
          <w:sz w:val="24"/>
          <w:szCs w:val="24"/>
          <w:highlight w:val="none"/>
        </w:rPr>
        <w:t>月</w:t>
      </w:r>
      <w:r>
        <w:rPr>
          <w:rFonts w:hint="eastAsia" w:ascii="宋体" w:hAnsi="宋体" w:cs="宋体"/>
          <w:kern w:val="2"/>
          <w:sz w:val="24"/>
          <w:szCs w:val="24"/>
          <w:highlight w:val="none"/>
          <w:lang w:val="en-US" w:eastAsia="zh-CN"/>
        </w:rPr>
        <w:t>10</w:t>
      </w:r>
      <w:r>
        <w:rPr>
          <w:rFonts w:hint="eastAsia" w:ascii="宋体" w:hAnsi="宋体" w:eastAsia="宋体" w:cs="宋体"/>
          <w:kern w:val="2"/>
          <w:sz w:val="24"/>
          <w:szCs w:val="24"/>
          <w:highlight w:val="none"/>
        </w:rPr>
        <w:t>日</w:t>
      </w:r>
      <w:r>
        <w:rPr>
          <w:rFonts w:hint="eastAsia" w:ascii="宋体" w:hAnsi="宋体" w:eastAsia="宋体" w:cs="宋体"/>
          <w:kern w:val="2"/>
          <w:sz w:val="24"/>
          <w:szCs w:val="24"/>
          <w:highlight w:val="none"/>
          <w:lang w:val="en-US" w:eastAsia="zh-CN"/>
        </w:rPr>
        <w:t>9:00:00</w:t>
      </w:r>
      <w:r>
        <w:rPr>
          <w:rFonts w:hint="default" w:ascii="宋体" w:hAnsi="宋体" w:eastAsia="宋体" w:cs="宋体"/>
          <w:kern w:val="2"/>
          <w:sz w:val="24"/>
          <w:szCs w:val="24"/>
          <w:highlight w:val="none"/>
          <w:lang w:val="en-US" w:eastAsia="zh-CN"/>
        </w:rPr>
        <w:t>（北京时间）</w:t>
      </w:r>
      <w:r>
        <w:rPr>
          <w:rFonts w:hint="eastAsia" w:ascii="宋体" w:hAnsi="宋体" w:eastAsia="宋体" w:cs="宋体"/>
          <w:kern w:val="2"/>
          <w:sz w:val="24"/>
          <w:szCs w:val="24"/>
          <w:highlight w:val="none"/>
          <w:lang w:val="en-US" w:eastAsia="zh-CN"/>
        </w:rPr>
        <w:t>前递交投标文件。</w:t>
      </w:r>
    </w:p>
    <w:p w14:paraId="37ECDFE0">
      <w:pPr>
        <w:spacing w:line="360" w:lineRule="auto"/>
        <w:ind w:firstLine="420" w:firstLineChars="200"/>
        <w:rPr>
          <w:rFonts w:hint="eastAsia" w:eastAsia="宋体"/>
          <w:lang w:eastAsia="zh-CN"/>
        </w:rPr>
      </w:pPr>
      <w:r>
        <w:rPr>
          <w:rFonts w:hint="eastAsia"/>
          <w:highlight w:val="none"/>
        </w:rPr>
        <w:t xml:space="preserve"> </w:t>
      </w:r>
      <w:r>
        <w:rPr>
          <w:rFonts w:hint="eastAsia" w:ascii="宋体" w:hAnsi="宋体" w:cs="宋体"/>
          <w:sz w:val="24"/>
          <w:szCs w:val="24"/>
          <w:highlight w:val="none"/>
        </w:rPr>
        <w:t>供应商应标须上传资料：营业执照、道路运输许可证、</w:t>
      </w:r>
      <w:r>
        <w:rPr>
          <w:rFonts w:hint="eastAsia" w:ascii="宋体" w:hAnsi="宋体" w:cs="宋体"/>
          <w:color w:val="000000"/>
          <w:sz w:val="24"/>
          <w:szCs w:val="24"/>
          <w:highlight w:val="none"/>
          <w:lang w:val="en-US" w:eastAsia="zh-CN"/>
        </w:rPr>
        <w:t>投标保证金缴纳凭证</w:t>
      </w:r>
      <w:r>
        <w:rPr>
          <w:rFonts w:hint="eastAsia" w:ascii="宋体" w:hAnsi="宋体" w:cs="宋体"/>
          <w:sz w:val="24"/>
          <w:szCs w:val="24"/>
          <w:highlight w:val="none"/>
        </w:rPr>
        <w:t>、三年财务报表（成立不足三年的上传成立以来的财</w:t>
      </w:r>
      <w:r>
        <w:rPr>
          <w:rFonts w:hint="eastAsia" w:ascii="宋体" w:hAnsi="宋体" w:cs="宋体"/>
          <w:sz w:val="24"/>
          <w:szCs w:val="24"/>
        </w:rPr>
        <w:t>务报表）</w:t>
      </w:r>
      <w:r>
        <w:rPr>
          <w:rFonts w:hint="eastAsia" w:ascii="宋体" w:hAnsi="宋体" w:cs="宋体"/>
          <w:sz w:val="24"/>
          <w:szCs w:val="24"/>
          <w:lang w:eastAsia="zh-CN"/>
        </w:rPr>
        <w:t>、</w:t>
      </w:r>
      <w:r>
        <w:rPr>
          <w:rFonts w:hint="eastAsia" w:ascii="宋体" w:hAnsi="宋体" w:cs="宋体"/>
          <w:sz w:val="24"/>
          <w:szCs w:val="24"/>
          <w:lang w:val="en-US" w:eastAsia="zh-CN"/>
        </w:rPr>
        <w:t>可提供仓储服务的</w:t>
      </w:r>
      <w:r>
        <w:rPr>
          <w:rFonts w:hint="eastAsia" w:hAnsi="宋体" w:cs="宋体"/>
          <w:b w:val="0"/>
          <w:kern w:val="2"/>
          <w:sz w:val="24"/>
          <w:szCs w:val="24"/>
          <w:highlight w:val="none"/>
          <w:lang w:val="en-US" w:eastAsia="zh-CN" w:bidi="ar-SA"/>
        </w:rPr>
        <w:t>场地所有权证明文件或者场地租赁合同。</w:t>
      </w:r>
    </w:p>
    <w:p w14:paraId="5B5E1154">
      <w:pPr>
        <w:pStyle w:val="3"/>
        <w:spacing w:before="0" w:beforeLines="0" w:line="360" w:lineRule="auto"/>
        <w:ind w:firstLine="482"/>
        <w:rPr>
          <w:sz w:val="28"/>
          <w:szCs w:val="28"/>
          <w:highlight w:val="none"/>
        </w:rPr>
      </w:pPr>
      <w:bookmarkStart w:id="27" w:name="_Toc18096"/>
      <w:r>
        <w:rPr>
          <w:rFonts w:hint="eastAsia"/>
          <w:sz w:val="28"/>
          <w:szCs w:val="28"/>
        </w:rPr>
        <w:t>招标形式</w:t>
      </w:r>
      <w:r>
        <w:rPr>
          <w:rFonts w:hint="eastAsia"/>
          <w:sz w:val="28"/>
          <w:szCs w:val="28"/>
          <w:highlight w:val="none"/>
        </w:rPr>
        <w:t>：</w:t>
      </w:r>
      <w:bookmarkEnd w:id="27"/>
      <w:bookmarkStart w:id="28" w:name="_Toc16079"/>
      <w:bookmarkStart w:id="29" w:name="_Toc7478"/>
      <w:bookmarkStart w:id="30" w:name="_Toc131681872"/>
      <w:r>
        <w:rPr>
          <w:rFonts w:hint="eastAsia"/>
          <w:sz w:val="28"/>
          <w:szCs w:val="28"/>
          <w:highlight w:val="none"/>
          <w:lang w:val="en-US" w:eastAsia="zh-CN"/>
        </w:rPr>
        <w:t>公开招标</w:t>
      </w:r>
    </w:p>
    <w:p w14:paraId="70054336">
      <w:pPr>
        <w:pStyle w:val="3"/>
        <w:spacing w:before="0" w:beforeLines="0" w:line="360" w:lineRule="auto"/>
        <w:ind w:firstLine="482"/>
        <w:rPr>
          <w:rFonts w:hint="default"/>
          <w:sz w:val="28"/>
          <w:szCs w:val="28"/>
          <w:lang w:val="en-US" w:eastAsia="zh-CN"/>
        </w:rPr>
      </w:pPr>
      <w:bookmarkStart w:id="31" w:name="_Toc10431"/>
      <w:r>
        <w:rPr>
          <w:rFonts w:hint="eastAsia"/>
          <w:sz w:val="28"/>
          <w:szCs w:val="28"/>
          <w:lang w:val="en-US" w:eastAsia="zh-CN"/>
        </w:rPr>
        <w:t>投标人资格要求</w:t>
      </w:r>
      <w:bookmarkEnd w:id="28"/>
      <w:bookmarkEnd w:id="29"/>
      <w:bookmarkEnd w:id="30"/>
      <w:bookmarkEnd w:id="31"/>
    </w:p>
    <w:p w14:paraId="659134A7">
      <w:pPr>
        <w:pStyle w:val="10"/>
        <w:spacing w:line="360" w:lineRule="auto"/>
        <w:ind w:firstLine="480" w:firstLineChars="200"/>
        <w:rPr>
          <w:rFonts w:hint="eastAsia" w:ascii="宋体" w:hAnsi="宋体" w:eastAsia="宋体" w:cs="宋体"/>
          <w:b w:val="0"/>
          <w:kern w:val="2"/>
          <w:sz w:val="24"/>
          <w:szCs w:val="24"/>
          <w:highlight w:val="none"/>
          <w:lang w:val="en-US" w:eastAsia="zh-CN" w:bidi="ar-SA"/>
        </w:rPr>
      </w:pPr>
      <w:bookmarkStart w:id="32" w:name="_Toc131681873"/>
      <w:bookmarkStart w:id="33" w:name="_Toc30539"/>
      <w:bookmarkStart w:id="34" w:name="_Toc3405"/>
      <w:bookmarkStart w:id="35" w:name="_Toc21168"/>
      <w:r>
        <w:rPr>
          <w:rFonts w:hint="eastAsia" w:ascii="宋体" w:hAnsi="宋体" w:eastAsia="宋体" w:cs="宋体"/>
          <w:b w:val="0"/>
          <w:kern w:val="2"/>
          <w:sz w:val="24"/>
          <w:szCs w:val="24"/>
          <w:highlight w:val="none"/>
          <w:lang w:val="en-US" w:eastAsia="zh-CN" w:bidi="ar-SA"/>
        </w:rPr>
        <w:t>⑴投标人须遵守《中华人民共和国招标投标法》、《中华人民共和国民法典》及其它有关的法律和法规；为中华人民共和国境内注册的独立法人机构，具有独立承担民事责任能力；</w:t>
      </w:r>
    </w:p>
    <w:p w14:paraId="3C10A836">
      <w:pPr>
        <w:pStyle w:val="10"/>
        <w:spacing w:line="360" w:lineRule="auto"/>
        <w:ind w:firstLine="480" w:firstLineChars="200"/>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*⑵公司成立三年以上（以营业执照成立日期到开标当日满三年为准）注册资金不能少于</w:t>
      </w:r>
      <w:r>
        <w:rPr>
          <w:rFonts w:hint="eastAsia" w:hAnsi="宋体" w:cs="宋体"/>
          <w:b w:val="0"/>
          <w:kern w:val="2"/>
          <w:sz w:val="24"/>
          <w:szCs w:val="24"/>
          <w:highlight w:val="none"/>
          <w:lang w:val="en-US" w:eastAsia="zh-CN" w:bidi="ar-SA"/>
        </w:rPr>
        <w:t>500</w:t>
      </w:r>
      <w:r>
        <w:rPr>
          <w:rFonts w:hint="eastAsia" w:ascii="宋体" w:hAnsi="宋体" w:eastAsia="宋体" w:cs="宋体"/>
          <w:b w:val="0"/>
          <w:kern w:val="2"/>
          <w:sz w:val="24"/>
          <w:szCs w:val="24"/>
          <w:highlight w:val="none"/>
          <w:lang w:val="en-US" w:eastAsia="zh-CN" w:bidi="ar-SA"/>
        </w:rPr>
        <w:t>万（目前为中国重汽提供物流服务的物流商不受该条件限制）；经营范围满足招标项目需求；</w:t>
      </w:r>
    </w:p>
    <w:p w14:paraId="29A48B35">
      <w:pPr>
        <w:pStyle w:val="10"/>
        <w:spacing w:line="360" w:lineRule="auto"/>
        <w:ind w:firstLine="480" w:firstLineChars="200"/>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*⑶投标人须提供具有统一社会信用代码的新版营业执照副本原件及复印件（加盖公章）；</w:t>
      </w:r>
    </w:p>
    <w:p w14:paraId="59047C04">
      <w:pPr>
        <w:spacing w:line="360" w:lineRule="auto"/>
        <w:ind w:firstLine="480" w:firstLineChars="200"/>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⑷投标人具备道路运输主管部门批准的道路运输资质，拥有道路运输主管部门颁发的“道路运输经营许可证”；</w:t>
      </w:r>
      <w:r>
        <w:rPr>
          <w:rFonts w:hint="eastAsia" w:ascii="宋体" w:hAnsi="宋体" w:eastAsia="宋体" w:cs="宋体"/>
          <w:b w:val="0"/>
          <w:kern w:val="2"/>
          <w:sz w:val="24"/>
          <w:szCs w:val="24"/>
          <w:highlight w:val="none"/>
          <w:lang w:val="en-US" w:eastAsia="zh-CN" w:bidi="ar-SA"/>
        </w:rPr>
        <w:tab/>
      </w:r>
    </w:p>
    <w:p w14:paraId="13F9DE55">
      <w:pPr>
        <w:pStyle w:val="10"/>
        <w:spacing w:line="360" w:lineRule="auto"/>
        <w:ind w:firstLine="480" w:firstLineChars="200"/>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⑸投标人须</w:t>
      </w:r>
      <w:r>
        <w:rPr>
          <w:rFonts w:hint="eastAsia" w:hAnsi="宋体" w:cs="宋体"/>
          <w:b w:val="0"/>
          <w:kern w:val="2"/>
          <w:sz w:val="24"/>
          <w:szCs w:val="24"/>
          <w:highlight w:val="none"/>
          <w:lang w:val="en-US" w:eastAsia="zh-CN" w:bidi="ar-SA"/>
        </w:rPr>
        <w:t>提交可以提供仓储服务的场地所有权证明文件或者场地租赁合同</w:t>
      </w:r>
      <w:r>
        <w:rPr>
          <w:rFonts w:hint="eastAsia" w:ascii="宋体" w:hAnsi="宋体" w:eastAsia="宋体" w:cs="宋体"/>
          <w:b w:val="0"/>
          <w:kern w:val="2"/>
          <w:sz w:val="24"/>
          <w:szCs w:val="24"/>
          <w:highlight w:val="none"/>
          <w:lang w:val="en-US" w:eastAsia="zh-CN" w:bidi="ar-SA"/>
        </w:rPr>
        <w:t>。</w:t>
      </w:r>
    </w:p>
    <w:p w14:paraId="6E15AC9A">
      <w:pPr>
        <w:pStyle w:val="10"/>
        <w:spacing w:line="360" w:lineRule="auto"/>
        <w:ind w:firstLine="480" w:firstLineChars="200"/>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⑹投标人在近三年内在经营活动中无违法记录。</w:t>
      </w:r>
    </w:p>
    <w:p w14:paraId="1C5A1C21">
      <w:pPr>
        <w:pStyle w:val="10"/>
        <w:spacing w:line="360" w:lineRule="auto"/>
        <w:ind w:firstLine="480" w:firstLineChars="200"/>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⑺具有健全的财务会计制度，财务状况和市场行为良好。没有处于被有权机关吊销营业执照、吊销资质、停业整顿、取消投标资格以及财产被接管、冻结或进入破产程序等。</w:t>
      </w:r>
    </w:p>
    <w:p w14:paraId="382D4541">
      <w:pPr>
        <w:pStyle w:val="10"/>
        <w:spacing w:line="360" w:lineRule="auto"/>
        <w:ind w:firstLine="480" w:firstLineChars="200"/>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⑻投标人没有被列入招标人处《黑名单》（《黑名单》指投标人与招标人在以往或正在进行的合作中，存在招标人认为的违反合同约定或违反法律法规等的失信行为）的。</w:t>
      </w:r>
    </w:p>
    <w:p w14:paraId="6654A00B">
      <w:pPr>
        <w:pStyle w:val="10"/>
        <w:spacing w:line="360" w:lineRule="auto"/>
        <w:ind w:firstLine="480" w:firstLineChars="200"/>
        <w:rPr>
          <w:rFonts w:hint="default"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⑼投标人须提供近三年的公司财务报表（资产负债表、损益表、现金流量表）。</w:t>
      </w:r>
      <w:r>
        <w:rPr>
          <w:rFonts w:hint="eastAsia" w:hAnsi="宋体" w:cs="宋体"/>
          <w:b w:val="0"/>
          <w:kern w:val="2"/>
          <w:sz w:val="24"/>
          <w:szCs w:val="24"/>
          <w:highlight w:val="none"/>
          <w:lang w:val="en-US" w:eastAsia="zh-CN" w:bidi="ar-SA"/>
        </w:rPr>
        <w:t>企业最近半年完税证明、信用证明材料（征信报告）；年度纳税信用评价信息（可从电子税务局查询截图，需加盖公章）；企业对外担保说明（写明贵单位有无对外担保和质押业务，须加盖公章）。</w:t>
      </w:r>
    </w:p>
    <w:p w14:paraId="491275A7">
      <w:pPr>
        <w:pStyle w:val="10"/>
        <w:spacing w:line="360" w:lineRule="auto"/>
        <w:ind w:firstLine="480" w:firstLineChars="200"/>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*⑽投标人须提供法人授权委托书原件（在投标文件副本中可用复印件）及投标单位的法定代表人或授权代表的身份证原件及复印件（加盖公章）；</w:t>
      </w:r>
    </w:p>
    <w:p w14:paraId="087FE06B">
      <w:pPr>
        <w:pStyle w:val="10"/>
        <w:spacing w:line="360" w:lineRule="auto"/>
        <w:ind w:firstLine="480" w:firstLineChars="200"/>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⑾投标人须具有履行合同所必须的设备、财务、技术、服务等方面的资质和能力；</w:t>
      </w:r>
    </w:p>
    <w:p w14:paraId="2F66F6A9">
      <w:pPr>
        <w:pStyle w:val="10"/>
        <w:spacing w:line="360" w:lineRule="auto"/>
        <w:ind w:firstLine="480" w:firstLineChars="200"/>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⑿投标人须具有完全履行招标文件的所有要求的能力；</w:t>
      </w:r>
    </w:p>
    <w:p w14:paraId="04C351A4">
      <w:pPr>
        <w:pStyle w:val="10"/>
        <w:spacing w:line="360" w:lineRule="auto"/>
        <w:ind w:firstLine="480" w:firstLineChars="200"/>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⒀投标人须认可招标人的工作指令，包括节、假日能正常开展工作的要求；</w:t>
      </w:r>
    </w:p>
    <w:p w14:paraId="4B46FA8C">
      <w:pPr>
        <w:pStyle w:val="10"/>
        <w:spacing w:line="360" w:lineRule="auto"/>
        <w:ind w:firstLine="480" w:firstLineChars="200"/>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⒁投标人必须是最终投标、签订合同的单位，不得以任何理由将已中标项目以任何形式转包给其他单位；</w:t>
      </w:r>
    </w:p>
    <w:p w14:paraId="1447AD5F">
      <w:pPr>
        <w:pStyle w:val="10"/>
        <w:spacing w:line="360" w:lineRule="auto"/>
        <w:ind w:firstLine="480" w:firstLineChars="200"/>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⒂本次招标项目不接受联合体投标；</w:t>
      </w:r>
    </w:p>
    <w:p w14:paraId="68BBC584">
      <w:pPr>
        <w:pStyle w:val="10"/>
        <w:spacing w:line="360" w:lineRule="auto"/>
        <w:ind w:firstLine="480" w:firstLineChars="200"/>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*⒃投标人在向招标人出示《投标保证金缴纳凭证》后方可进行投标；</w:t>
      </w:r>
    </w:p>
    <w:p w14:paraId="32A2B950">
      <w:pPr>
        <w:pStyle w:val="10"/>
        <w:spacing w:line="360" w:lineRule="auto"/>
        <w:ind w:firstLine="480" w:firstLineChars="200"/>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⒄投标文件1正</w:t>
      </w:r>
      <w:r>
        <w:rPr>
          <w:rFonts w:hint="eastAsia" w:hAnsi="宋体" w:cs="宋体"/>
          <w:b w:val="0"/>
          <w:kern w:val="2"/>
          <w:sz w:val="24"/>
          <w:szCs w:val="24"/>
          <w:highlight w:val="none"/>
          <w:lang w:val="en-US" w:eastAsia="zh-CN" w:bidi="ar-SA"/>
        </w:rPr>
        <w:t>4</w:t>
      </w:r>
      <w:r>
        <w:rPr>
          <w:rFonts w:hint="eastAsia" w:ascii="宋体" w:hAnsi="宋体" w:eastAsia="宋体" w:cs="宋体"/>
          <w:b w:val="0"/>
          <w:kern w:val="2"/>
          <w:sz w:val="24"/>
          <w:szCs w:val="24"/>
          <w:highlight w:val="none"/>
          <w:lang w:val="en-US" w:eastAsia="zh-CN" w:bidi="ar-SA"/>
        </w:rPr>
        <w:t>副共计</w:t>
      </w:r>
      <w:r>
        <w:rPr>
          <w:rFonts w:hint="eastAsia" w:hAnsi="宋体" w:cs="宋体"/>
          <w:b w:val="0"/>
          <w:kern w:val="2"/>
          <w:sz w:val="24"/>
          <w:szCs w:val="24"/>
          <w:highlight w:val="none"/>
          <w:lang w:val="en-US" w:eastAsia="zh-CN" w:bidi="ar-SA"/>
        </w:rPr>
        <w:t>5</w:t>
      </w:r>
      <w:r>
        <w:rPr>
          <w:rFonts w:hint="eastAsia" w:ascii="宋体" w:hAnsi="宋体" w:eastAsia="宋体" w:cs="宋体"/>
          <w:b w:val="0"/>
          <w:kern w:val="2"/>
          <w:sz w:val="24"/>
          <w:szCs w:val="24"/>
          <w:highlight w:val="none"/>
          <w:lang w:val="en-US" w:eastAsia="zh-CN" w:bidi="ar-SA"/>
        </w:rPr>
        <w:t>份并附U盘电子版（详见本招标文件“第二章 投标文件编制”）。</w:t>
      </w:r>
    </w:p>
    <w:p w14:paraId="0234390D">
      <w:pPr>
        <w:pStyle w:val="10"/>
        <w:spacing w:line="360" w:lineRule="auto"/>
        <w:ind w:firstLine="480" w:firstLineChars="200"/>
        <w:rPr>
          <w:rFonts w:hint="eastAsia" w:ascii="宋体" w:hAnsi="宋体" w:eastAsia="宋体" w:cs="宋体"/>
          <w:b w:val="0"/>
          <w:kern w:val="2"/>
          <w:sz w:val="24"/>
          <w:szCs w:val="24"/>
          <w:highlight w:val="none"/>
          <w:lang w:val="en-US" w:eastAsia="zh-CN" w:bidi="ar-SA"/>
        </w:rPr>
      </w:pPr>
      <w:r>
        <w:rPr>
          <w:rFonts w:hint="eastAsia" w:hAnsi="宋体" w:cs="宋体"/>
          <w:b w:val="0"/>
          <w:kern w:val="2"/>
          <w:sz w:val="24"/>
          <w:szCs w:val="24"/>
          <w:highlight w:val="none"/>
          <w:lang w:val="en-US" w:eastAsia="zh-CN" w:bidi="ar-SA"/>
        </w:rPr>
        <w:t>(18)投标人的直接或间接股东、法定代表人、董事、监事、高管非重汽员工及其亲属。</w:t>
      </w:r>
    </w:p>
    <w:p w14:paraId="1DD2C250">
      <w:pPr>
        <w:pStyle w:val="10"/>
        <w:spacing w:line="360" w:lineRule="auto"/>
        <w:ind w:firstLine="480" w:firstLineChars="200"/>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注：上述带“*”项为必备的资格文件，缺项会按不响应招标文件或无效投标处理，由专家组评定扣分或废标处理；第2、3、10、16项在开标前核验（由投标人单独提供），其余文件开标后核验。</w:t>
      </w:r>
    </w:p>
    <w:p w14:paraId="0486F0D1">
      <w:pPr>
        <w:pStyle w:val="3"/>
        <w:spacing w:before="0" w:beforeLines="0" w:line="360" w:lineRule="auto"/>
        <w:ind w:firstLine="482"/>
        <w:rPr>
          <w:sz w:val="28"/>
          <w:szCs w:val="28"/>
        </w:rPr>
      </w:pPr>
      <w:r>
        <w:rPr>
          <w:rFonts w:hint="eastAsia"/>
          <w:sz w:val="28"/>
          <w:szCs w:val="28"/>
        </w:rPr>
        <w:t>招标文件的获取</w:t>
      </w:r>
      <w:bookmarkEnd w:id="32"/>
      <w:bookmarkEnd w:id="33"/>
      <w:bookmarkEnd w:id="34"/>
      <w:bookmarkEnd w:id="35"/>
    </w:p>
    <w:p w14:paraId="3CD35468">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rPr>
        <w:t>1、本次招标公告</w:t>
      </w:r>
      <w:r>
        <w:rPr>
          <w:rFonts w:hint="eastAsia" w:ascii="宋体" w:hAnsi="宋体" w:cs="宋体"/>
          <w:color w:val="000000"/>
          <w:sz w:val="24"/>
          <w:szCs w:val="24"/>
          <w:lang w:val="en-US" w:eastAsia="zh-CN"/>
        </w:rPr>
        <w:t>在</w:t>
      </w:r>
      <w:r>
        <w:rPr>
          <w:rFonts w:hint="eastAsia" w:ascii="宋体" w:hAnsi="宋体" w:cs="宋体"/>
          <w:color w:val="000000"/>
          <w:sz w:val="24"/>
          <w:szCs w:val="24"/>
          <w:highlight w:val="none"/>
        </w:rPr>
        <w:t>山东省阳光采购服务平台发布</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中国重汽官网</w:t>
      </w:r>
      <w:r>
        <w:rPr>
          <w:rFonts w:hint="eastAsia" w:ascii="宋体" w:hAnsi="宋体" w:cs="宋体"/>
          <w:color w:val="000000"/>
          <w:sz w:val="24"/>
          <w:szCs w:val="24"/>
          <w:highlight w:val="none"/>
        </w:rPr>
        <w:t>。</w:t>
      </w:r>
    </w:p>
    <w:p w14:paraId="309F9166">
      <w:pPr>
        <w:pStyle w:val="7"/>
        <w:spacing w:line="360" w:lineRule="auto"/>
        <w:ind w:firstLine="480"/>
        <w:jc w:val="left"/>
        <w:rPr>
          <w:rFonts w:ascii="宋体" w:hAnsi="宋体" w:cs="宋体"/>
          <w:color w:val="000000"/>
          <w:sz w:val="24"/>
          <w:szCs w:val="24"/>
        </w:rPr>
      </w:pPr>
      <w:bookmarkStart w:id="36" w:name="_Toc29960"/>
      <w:bookmarkStart w:id="37" w:name="_Toc131681875"/>
      <w:r>
        <w:rPr>
          <w:rFonts w:hint="eastAsia" w:ascii="宋体" w:hAnsi="宋体" w:cs="宋体"/>
          <w:color w:val="000000"/>
          <w:sz w:val="24"/>
          <w:szCs w:val="24"/>
        </w:rPr>
        <w:t>2、</w:t>
      </w:r>
      <w:bookmarkEnd w:id="36"/>
      <w:bookmarkEnd w:id="37"/>
      <w:r>
        <w:rPr>
          <w:rFonts w:hint="eastAsia" w:ascii="宋体" w:hAnsi="宋体" w:cs="宋体"/>
          <w:color w:val="000000"/>
          <w:sz w:val="24"/>
          <w:szCs w:val="24"/>
        </w:rPr>
        <w:t>招标文件获取方式：投标人报名</w:t>
      </w:r>
      <w:r>
        <w:rPr>
          <w:rFonts w:hint="eastAsia" w:ascii="宋体" w:hAnsi="宋体" w:cs="宋体"/>
          <w:color w:val="000000"/>
          <w:sz w:val="24"/>
          <w:szCs w:val="24"/>
          <w:lang w:val="en-US" w:eastAsia="zh-CN"/>
        </w:rPr>
        <w:t>应标成功后</w:t>
      </w:r>
      <w:r>
        <w:rPr>
          <w:rFonts w:hint="eastAsia" w:ascii="宋体" w:hAnsi="宋体" w:cs="宋体"/>
          <w:color w:val="000000"/>
          <w:sz w:val="24"/>
          <w:szCs w:val="24"/>
        </w:rPr>
        <w:t>通过</w:t>
      </w:r>
      <w:r>
        <w:rPr>
          <w:rFonts w:hint="eastAsia" w:ascii="宋体" w:hAnsi="宋体" w:cs="宋体"/>
          <w:sz w:val="24"/>
          <w:szCs w:val="24"/>
        </w:rPr>
        <w:t>中国重汽e采通</w:t>
      </w:r>
      <w:r>
        <w:rPr>
          <w:rFonts w:hint="eastAsia" w:ascii="宋体" w:hAnsi="宋体" w:cs="宋体"/>
          <w:color w:val="000000"/>
          <w:sz w:val="24"/>
          <w:szCs w:val="24"/>
        </w:rPr>
        <w:t>系统自行下载。</w:t>
      </w:r>
    </w:p>
    <w:p w14:paraId="2D3778A6">
      <w:pPr>
        <w:pStyle w:val="7"/>
        <w:spacing w:line="360" w:lineRule="auto"/>
        <w:ind w:firstLine="240" w:firstLineChars="100"/>
      </w:pPr>
      <w:r>
        <w:rPr>
          <w:rFonts w:hint="eastAsia" w:ascii="宋体" w:hAnsi="宋体" w:cs="宋体"/>
          <w:color w:val="000000"/>
          <w:sz w:val="24"/>
          <w:szCs w:val="24"/>
        </w:rPr>
        <w:t xml:space="preserve">  </w:t>
      </w:r>
      <w:r>
        <w:rPr>
          <w:rFonts w:hint="eastAsia" w:ascii="宋体" w:hAnsi="宋体" w:cs="宋体"/>
          <w:color w:val="000000"/>
          <w:kern w:val="2"/>
          <w:sz w:val="24"/>
          <w:szCs w:val="24"/>
        </w:rPr>
        <w:t>3、售价：￥0.0 元，本公告包含的招标文件售价总和。</w:t>
      </w:r>
    </w:p>
    <w:p w14:paraId="58B7C3D6">
      <w:pPr>
        <w:pStyle w:val="7"/>
        <w:spacing w:line="360" w:lineRule="auto"/>
        <w:ind w:left="439" w:leftChars="209" w:firstLine="38" w:firstLineChars="16"/>
        <w:jc w:val="left"/>
        <w:rPr>
          <w:rFonts w:hint="eastAsia" w:ascii="宋体" w:hAnsi="宋体" w:eastAsia="宋体" w:cs="宋体"/>
          <w:color w:val="000000"/>
          <w:kern w:val="2"/>
          <w:sz w:val="24"/>
          <w:szCs w:val="24"/>
        </w:rPr>
      </w:pPr>
      <w:bookmarkStart w:id="38" w:name="_Toc131681877"/>
      <w:bookmarkStart w:id="39" w:name="_Toc15520"/>
      <w:bookmarkStart w:id="40" w:name="_Toc15411"/>
      <w:r>
        <w:rPr>
          <w:rFonts w:hint="eastAsia" w:ascii="宋体" w:hAnsi="宋体" w:cs="宋体"/>
          <w:color w:val="000000"/>
          <w:kern w:val="2"/>
          <w:sz w:val="24"/>
          <w:szCs w:val="24"/>
        </w:rPr>
        <w:t>登陆网</w:t>
      </w:r>
      <w:r>
        <w:rPr>
          <w:rFonts w:hint="eastAsia" w:ascii="宋体" w:hAnsi="宋体" w:eastAsia="宋体" w:cs="宋体"/>
          <w:color w:val="000000"/>
          <w:kern w:val="2"/>
          <w:sz w:val="24"/>
          <w:szCs w:val="24"/>
        </w:rPr>
        <w:t>址：</w:t>
      </w:r>
      <w:r>
        <w:rPr>
          <w:rFonts w:hint="eastAsia" w:ascii="宋体" w:hAnsi="宋体" w:eastAsia="宋体" w:cs="宋体"/>
          <w:color w:val="000000"/>
          <w:kern w:val="2"/>
          <w:sz w:val="24"/>
          <w:szCs w:val="24"/>
        </w:rPr>
        <w:fldChar w:fldCharType="begin"/>
      </w:r>
      <w:r>
        <w:rPr>
          <w:rFonts w:hint="eastAsia" w:ascii="宋体" w:hAnsi="宋体" w:eastAsia="宋体" w:cs="宋体"/>
          <w:color w:val="000000"/>
          <w:kern w:val="2"/>
          <w:sz w:val="24"/>
          <w:szCs w:val="24"/>
        </w:rPr>
        <w:instrText xml:space="preserve"> HYPERLINK "http://ecaitong.sinotruk.com:8012（投标人注册完成审批后，于2023年4月13日17:00前在" </w:instrText>
      </w:r>
      <w:r>
        <w:rPr>
          <w:rFonts w:hint="eastAsia" w:ascii="宋体" w:hAnsi="宋体" w:eastAsia="宋体" w:cs="宋体"/>
          <w:color w:val="000000"/>
          <w:kern w:val="2"/>
          <w:sz w:val="24"/>
          <w:szCs w:val="24"/>
        </w:rPr>
        <w:fldChar w:fldCharType="separate"/>
      </w:r>
      <w:r>
        <w:rPr>
          <w:rFonts w:hint="eastAsia" w:ascii="宋体" w:hAnsi="宋体" w:eastAsia="宋体" w:cs="宋体"/>
          <w:color w:val="000000"/>
          <w:kern w:val="2"/>
          <w:sz w:val="24"/>
          <w:szCs w:val="24"/>
        </w:rPr>
        <w:t>http</w:t>
      </w:r>
      <w:r>
        <w:rPr>
          <w:rFonts w:hint="eastAsia" w:ascii="宋体" w:hAnsi="宋体" w:eastAsia="宋体" w:cs="宋体"/>
          <w:color w:val="000000"/>
          <w:kern w:val="2"/>
          <w:sz w:val="24"/>
          <w:szCs w:val="24"/>
          <w:lang w:val="en-US" w:eastAsia="zh-CN"/>
        </w:rPr>
        <w:t>s</w:t>
      </w:r>
      <w:r>
        <w:rPr>
          <w:rFonts w:hint="eastAsia" w:ascii="宋体" w:hAnsi="宋体" w:eastAsia="宋体" w:cs="宋体"/>
          <w:color w:val="000000"/>
          <w:kern w:val="2"/>
          <w:sz w:val="24"/>
          <w:szCs w:val="24"/>
        </w:rPr>
        <w:t>://ecaitong.sinotruk.com:8012（投标人注册完成审批后，</w:t>
      </w:r>
      <w:r>
        <w:rPr>
          <w:rFonts w:hint="eastAsia" w:ascii="宋体" w:hAnsi="宋体" w:eastAsia="宋体" w:cs="宋体"/>
          <w:color w:val="000000"/>
          <w:kern w:val="2"/>
          <w:sz w:val="24"/>
          <w:szCs w:val="24"/>
          <w:highlight w:val="none"/>
        </w:rPr>
        <w:t>于</w:t>
      </w:r>
      <w:r>
        <w:rPr>
          <w:rFonts w:hint="eastAsia" w:eastAsia="宋体" w:cs="宋体"/>
          <w:highlight w:val="none"/>
          <w:u w:val="single"/>
        </w:rPr>
        <w:t>202</w:t>
      </w:r>
      <w:r>
        <w:rPr>
          <w:rFonts w:hint="eastAsia" w:cs="宋体"/>
          <w:highlight w:val="none"/>
          <w:u w:val="single"/>
          <w:lang w:val="en-US" w:eastAsia="zh-CN"/>
        </w:rPr>
        <w:t>6</w:t>
      </w:r>
      <w:r>
        <w:rPr>
          <w:rFonts w:hint="eastAsia" w:eastAsia="宋体" w:cs="宋体"/>
          <w:highlight w:val="none"/>
          <w:u w:val="single"/>
        </w:rPr>
        <w:t>年</w:t>
      </w:r>
      <w:r>
        <w:rPr>
          <w:rFonts w:hint="eastAsia" w:cs="宋体"/>
          <w:highlight w:val="none"/>
          <w:u w:val="single"/>
          <w:lang w:val="en-US" w:eastAsia="zh-CN"/>
        </w:rPr>
        <w:t>9</w:t>
      </w:r>
      <w:r>
        <w:rPr>
          <w:rFonts w:hint="eastAsia" w:eastAsia="宋体" w:cs="宋体"/>
          <w:highlight w:val="none"/>
          <w:u w:val="single"/>
        </w:rPr>
        <w:t>月</w:t>
      </w:r>
      <w:r>
        <w:rPr>
          <w:rFonts w:hint="eastAsia" w:cs="宋体"/>
          <w:highlight w:val="none"/>
          <w:u w:val="single"/>
          <w:lang w:val="en-US" w:eastAsia="zh-CN"/>
        </w:rPr>
        <w:t>23</w:t>
      </w:r>
      <w:r>
        <w:rPr>
          <w:rFonts w:hint="eastAsia" w:eastAsia="宋体" w:cs="宋体"/>
          <w:highlight w:val="none"/>
          <w:u w:val="single"/>
        </w:rPr>
        <w:t>日</w:t>
      </w:r>
      <w:r>
        <w:rPr>
          <w:rFonts w:hint="eastAsia" w:cs="宋体"/>
          <w:highlight w:val="none"/>
          <w:u w:val="single"/>
          <w:lang w:val="en-US" w:eastAsia="zh-CN"/>
        </w:rPr>
        <w:t>17</w:t>
      </w:r>
      <w:r>
        <w:rPr>
          <w:rFonts w:hint="eastAsia"/>
          <w:u w:val="single"/>
          <w:lang w:val="en-US" w:eastAsia="zh-CN"/>
        </w:rPr>
        <w:t>:00:00</w:t>
      </w:r>
      <w:r>
        <w:rPr>
          <w:rFonts w:hint="default" w:ascii="宋体" w:hAnsi="Courier New" w:eastAsia="宋体" w:cs="Times New Roman"/>
          <w:highlight w:val="none"/>
          <w:u w:val="single"/>
          <w:lang w:val="en-US" w:eastAsia="zh-CN"/>
        </w:rPr>
        <w:t>（北京时间）</w:t>
      </w:r>
      <w:r>
        <w:rPr>
          <w:rFonts w:hint="eastAsia" w:ascii="宋体" w:hAnsi="Courier New" w:eastAsia="宋体" w:cs="Times New Roman"/>
          <w:highlight w:val="none"/>
          <w:u w:val="single"/>
          <w:lang w:val="en-US" w:eastAsia="zh-CN"/>
        </w:rPr>
        <w:t>前</w:t>
      </w:r>
      <w:r>
        <w:rPr>
          <w:rFonts w:hint="eastAsia" w:cs="Times New Roman"/>
          <w:highlight w:val="none"/>
          <w:u w:val="single"/>
          <w:lang w:val="en-US" w:eastAsia="zh-CN"/>
        </w:rPr>
        <w:t>；</w:t>
      </w:r>
      <w:r>
        <w:rPr>
          <w:rFonts w:hint="eastAsia" w:ascii="宋体" w:hAnsi="宋体" w:eastAsia="宋体" w:cs="宋体"/>
          <w:color w:val="000000"/>
          <w:kern w:val="2"/>
          <w:sz w:val="24"/>
          <w:szCs w:val="24"/>
        </w:rPr>
        <w:t>在“中国重汽e采通”招投标中心非生产类招投标点击“供应商应标”，逾期系统自动关闭应标）。</w:t>
      </w:r>
      <w:r>
        <w:rPr>
          <w:rFonts w:hint="eastAsia" w:ascii="宋体" w:hAnsi="宋体" w:eastAsia="宋体" w:cs="宋体"/>
          <w:color w:val="000000"/>
          <w:kern w:val="2"/>
          <w:sz w:val="24"/>
          <w:szCs w:val="24"/>
        </w:rPr>
        <w:fldChar w:fldCharType="end"/>
      </w:r>
    </w:p>
    <w:p w14:paraId="7AC51815">
      <w:pPr>
        <w:spacing w:line="360" w:lineRule="auto"/>
        <w:rPr>
          <w:rFonts w:hint="eastAsia" w:eastAsia="宋体"/>
          <w:b/>
          <w:shd w:val="clear" w:fill="FFFF00"/>
          <w:lang w:val="en-US" w:eastAsia="zh-CN"/>
        </w:rPr>
      </w:pPr>
      <w:r>
        <w:rPr>
          <w:rFonts w:hint="eastAsia"/>
          <w:b/>
        </w:rPr>
        <w:t xml:space="preserve">  </w:t>
      </w:r>
      <w:r>
        <w:rPr>
          <w:rFonts w:hint="eastAsia" w:ascii="宋体" w:hAnsi="宋体" w:cs="宋体"/>
          <w:color w:val="000000"/>
          <w:sz w:val="24"/>
          <w:szCs w:val="24"/>
        </w:rPr>
        <w:t xml:space="preserve">  供应商应标须上传资料：营业执照、道路运输许可证、</w:t>
      </w:r>
      <w:r>
        <w:rPr>
          <w:rFonts w:hint="eastAsia" w:ascii="宋体" w:hAnsi="宋体" w:cs="宋体"/>
          <w:sz w:val="24"/>
          <w:szCs w:val="24"/>
          <w:lang w:val="en-US" w:eastAsia="zh-CN"/>
        </w:rPr>
        <w:t>投标保证金缴纳凭证</w:t>
      </w:r>
      <w:r>
        <w:rPr>
          <w:rFonts w:hint="eastAsia" w:ascii="宋体" w:hAnsi="宋体" w:cs="宋体"/>
          <w:color w:val="000000"/>
          <w:sz w:val="24"/>
          <w:szCs w:val="24"/>
          <w:highlight w:val="none"/>
          <w:lang w:eastAsia="zh-CN"/>
        </w:rPr>
        <w:t>、</w:t>
      </w:r>
      <w:r>
        <w:rPr>
          <w:rFonts w:hint="eastAsia" w:ascii="宋体" w:hAnsi="宋体" w:cs="宋体"/>
          <w:sz w:val="24"/>
          <w:szCs w:val="24"/>
          <w:highlight w:val="none"/>
          <w:lang w:val="en-US" w:eastAsia="zh-CN"/>
        </w:rPr>
        <w:t>2023年以来与主机厂直签的商品车仓储服务合同、</w:t>
      </w:r>
      <w:r>
        <w:rPr>
          <w:rFonts w:hint="eastAsia" w:ascii="宋体" w:hAnsi="宋体" w:cs="宋体"/>
          <w:color w:val="000000"/>
          <w:sz w:val="24"/>
          <w:szCs w:val="24"/>
          <w:highlight w:val="none"/>
        </w:rPr>
        <w:t>三</w:t>
      </w:r>
      <w:r>
        <w:rPr>
          <w:rFonts w:hint="eastAsia" w:ascii="宋体" w:hAnsi="宋体" w:cs="宋体"/>
          <w:color w:val="000000"/>
          <w:sz w:val="24"/>
          <w:szCs w:val="24"/>
        </w:rPr>
        <w:t>年财务报表</w:t>
      </w:r>
      <w:r>
        <w:rPr>
          <w:rFonts w:hint="eastAsia" w:ascii="宋体" w:hAnsi="宋体" w:cs="宋体"/>
          <w:color w:val="000000"/>
          <w:sz w:val="24"/>
          <w:szCs w:val="24"/>
          <w:lang w:eastAsia="zh-CN"/>
        </w:rPr>
        <w:t>。</w:t>
      </w:r>
    </w:p>
    <w:p w14:paraId="5D8BFFD4">
      <w:pPr>
        <w:pStyle w:val="3"/>
        <w:spacing w:before="0" w:beforeLines="0" w:line="360" w:lineRule="auto"/>
        <w:ind w:firstLine="482"/>
        <w:rPr>
          <w:sz w:val="28"/>
          <w:szCs w:val="28"/>
        </w:rPr>
      </w:pPr>
      <w:bookmarkStart w:id="41" w:name="_Toc28136"/>
      <w:r>
        <w:rPr>
          <w:rFonts w:hint="eastAsia"/>
          <w:sz w:val="28"/>
          <w:szCs w:val="28"/>
        </w:rPr>
        <w:t>投标文件的递交</w:t>
      </w:r>
      <w:bookmarkEnd w:id="38"/>
      <w:bookmarkEnd w:id="39"/>
      <w:bookmarkEnd w:id="40"/>
      <w:bookmarkEnd w:id="41"/>
    </w:p>
    <w:p w14:paraId="64FDC7B4">
      <w:pPr>
        <w:pStyle w:val="23"/>
        <w:spacing w:beforeLines="0" w:afterLines="0"/>
        <w:ind w:firstLineChars="0"/>
        <w:rPr>
          <w:rFonts w:hint="default" w:eastAsia="宋体"/>
          <w:highlight w:val="none"/>
          <w:lang w:val="en-US" w:eastAsia="zh-CN"/>
        </w:rPr>
      </w:pPr>
      <w:bookmarkStart w:id="42" w:name="_Toc129697439"/>
      <w:r>
        <w:rPr>
          <w:rFonts w:hint="eastAsia"/>
        </w:rPr>
        <w:t>1、投标文件递交的截止时间</w:t>
      </w:r>
      <w:r>
        <w:rPr>
          <w:rFonts w:hint="eastAsia"/>
          <w:lang w:eastAsia="zh-CN"/>
        </w:rPr>
        <w:t>：</w:t>
      </w:r>
      <w:r>
        <w:rPr>
          <w:rFonts w:hint="eastAsia" w:ascii="宋体" w:hAnsi="宋体" w:eastAsia="宋体" w:cs="宋体"/>
          <w:kern w:val="2"/>
          <w:sz w:val="24"/>
          <w:szCs w:val="24"/>
          <w:highlight w:val="none"/>
        </w:rPr>
        <w:t>202</w:t>
      </w:r>
      <w:r>
        <w:rPr>
          <w:rFonts w:hint="eastAsia" w:ascii="宋体" w:hAnsi="宋体" w:eastAsia="宋体" w:cs="宋体"/>
          <w:kern w:val="2"/>
          <w:sz w:val="24"/>
          <w:szCs w:val="24"/>
          <w:highlight w:val="none"/>
          <w:lang w:val="en-US" w:eastAsia="zh-CN"/>
        </w:rPr>
        <w:t>6</w:t>
      </w:r>
      <w:r>
        <w:rPr>
          <w:rFonts w:hint="eastAsia" w:ascii="宋体" w:hAnsi="宋体" w:eastAsia="宋体" w:cs="宋体"/>
          <w:kern w:val="2"/>
          <w:sz w:val="24"/>
          <w:szCs w:val="24"/>
          <w:highlight w:val="none"/>
        </w:rPr>
        <w:t>年</w:t>
      </w:r>
      <w:r>
        <w:rPr>
          <w:rFonts w:hint="eastAsia" w:ascii="宋体" w:hAnsi="宋体" w:cs="宋体"/>
          <w:kern w:val="2"/>
          <w:sz w:val="24"/>
          <w:szCs w:val="24"/>
          <w:highlight w:val="none"/>
          <w:lang w:val="en-US" w:eastAsia="zh-CN"/>
        </w:rPr>
        <w:t>10</w:t>
      </w:r>
      <w:r>
        <w:rPr>
          <w:rFonts w:hint="eastAsia" w:ascii="宋体" w:hAnsi="宋体" w:eastAsia="宋体" w:cs="宋体"/>
          <w:kern w:val="2"/>
          <w:sz w:val="24"/>
          <w:szCs w:val="24"/>
          <w:highlight w:val="none"/>
        </w:rPr>
        <w:t>月</w:t>
      </w:r>
      <w:r>
        <w:rPr>
          <w:rFonts w:hint="eastAsia" w:ascii="宋体" w:hAnsi="宋体" w:cs="宋体"/>
          <w:kern w:val="2"/>
          <w:sz w:val="24"/>
          <w:szCs w:val="24"/>
          <w:highlight w:val="none"/>
          <w:lang w:val="en-US" w:eastAsia="zh-CN"/>
        </w:rPr>
        <w:t>10</w:t>
      </w:r>
      <w:r>
        <w:rPr>
          <w:rFonts w:hint="eastAsia" w:ascii="宋体" w:hAnsi="宋体" w:eastAsia="宋体" w:cs="宋体"/>
          <w:kern w:val="2"/>
          <w:sz w:val="24"/>
          <w:szCs w:val="24"/>
          <w:highlight w:val="none"/>
        </w:rPr>
        <w:t>日</w:t>
      </w:r>
      <w:r>
        <w:rPr>
          <w:rFonts w:hint="eastAsia" w:ascii="宋体" w:hAnsi="宋体" w:eastAsia="宋体" w:cs="宋体"/>
          <w:kern w:val="2"/>
          <w:sz w:val="24"/>
          <w:szCs w:val="24"/>
          <w:highlight w:val="none"/>
          <w:lang w:val="en-US" w:eastAsia="zh-CN"/>
        </w:rPr>
        <w:t>9:00:00</w:t>
      </w:r>
      <w:r>
        <w:rPr>
          <w:rFonts w:hint="default" w:ascii="宋体" w:hAnsi="宋体" w:eastAsia="宋体" w:cs="宋体"/>
          <w:kern w:val="2"/>
          <w:sz w:val="24"/>
          <w:szCs w:val="24"/>
          <w:highlight w:val="none"/>
          <w:lang w:val="en-US" w:eastAsia="zh-CN"/>
        </w:rPr>
        <w:t>（北京时间）</w:t>
      </w:r>
    </w:p>
    <w:p w14:paraId="13E99280">
      <w:pPr>
        <w:wordWrap w:val="0"/>
        <w:spacing w:line="360" w:lineRule="auto"/>
        <w:ind w:firstLine="480" w:firstLineChars="200"/>
        <w:rPr>
          <w:highlight w:val="none"/>
        </w:rPr>
      </w:pPr>
      <w:r>
        <w:rPr>
          <w:rFonts w:hint="eastAsia"/>
          <w:kern w:val="0"/>
          <w:sz w:val="24"/>
          <w:szCs w:val="20"/>
          <w:highlight w:val="none"/>
        </w:rPr>
        <w:t xml:space="preserve">2、递交地点： </w:t>
      </w:r>
      <w:r>
        <w:rPr>
          <w:rFonts w:hint="eastAsia"/>
          <w:highlight w:val="none"/>
          <w:u w:val="single"/>
        </w:rPr>
        <w:t xml:space="preserve"> </w:t>
      </w:r>
      <w:bookmarkEnd w:id="42"/>
      <w:r>
        <w:rPr>
          <w:rFonts w:hint="eastAsia" w:ascii="宋体" w:hAnsi="宋体" w:cs="宋体"/>
          <w:color w:val="000000"/>
          <w:sz w:val="24"/>
          <w:szCs w:val="24"/>
          <w:highlight w:val="none"/>
          <w:u w:val="single"/>
          <w:lang w:val="en-US" w:eastAsia="zh-CN"/>
        </w:rPr>
        <w:t>特种车公司北楼二楼保密会议室</w:t>
      </w:r>
      <w:r>
        <w:rPr>
          <w:rFonts w:hint="eastAsia" w:ascii="宋体" w:hAnsi="宋体" w:cs="宋体"/>
          <w:color w:val="000000"/>
          <w:sz w:val="24"/>
          <w:szCs w:val="24"/>
          <w:highlight w:val="none"/>
          <w:u w:val="single"/>
        </w:rPr>
        <w:t>，线上同步上传</w:t>
      </w:r>
      <w:r>
        <w:rPr>
          <w:rFonts w:hint="eastAsia" w:ascii="宋体" w:hAnsi="宋体" w:cs="宋体"/>
          <w:color w:val="000000"/>
          <w:sz w:val="24"/>
          <w:szCs w:val="24"/>
          <w:highlight w:val="none"/>
          <w:u w:val="single"/>
          <w:lang w:val="en-US" w:eastAsia="zh-CN"/>
        </w:rPr>
        <w:t>中国重汽</w:t>
      </w:r>
      <w:r>
        <w:rPr>
          <w:rFonts w:hint="eastAsia" w:ascii="宋体" w:hAnsi="宋体" w:cs="宋体"/>
          <w:color w:val="000000"/>
          <w:sz w:val="24"/>
          <w:szCs w:val="24"/>
          <w:highlight w:val="none"/>
          <w:u w:val="single"/>
        </w:rPr>
        <w:t>e采通</w:t>
      </w:r>
    </w:p>
    <w:p w14:paraId="02C8016A">
      <w:pPr>
        <w:pStyle w:val="23"/>
        <w:spacing w:beforeLines="0" w:afterLines="0"/>
      </w:pPr>
      <w:bookmarkStart w:id="43" w:name="_Toc129697440"/>
      <w:r>
        <w:t>3</w:t>
      </w:r>
      <w:r>
        <w:rPr>
          <w:rFonts w:hint="eastAsia"/>
        </w:rPr>
        <w:t>、逾期送达的或者未送达指定地点的投标文件，招标人不予受理。</w:t>
      </w:r>
      <w:bookmarkEnd w:id="43"/>
    </w:p>
    <w:p w14:paraId="3EE0D5AC">
      <w:pPr>
        <w:pStyle w:val="3"/>
        <w:spacing w:before="0" w:beforeLines="0" w:line="360" w:lineRule="auto"/>
        <w:ind w:firstLine="482"/>
        <w:rPr>
          <w:sz w:val="28"/>
          <w:szCs w:val="28"/>
          <w:highlight w:val="none"/>
        </w:rPr>
      </w:pPr>
      <w:bookmarkStart w:id="44" w:name="_Toc22006"/>
      <w:r>
        <w:rPr>
          <w:rFonts w:hint="eastAsia"/>
          <w:sz w:val="28"/>
          <w:szCs w:val="28"/>
          <w:highlight w:val="none"/>
        </w:rPr>
        <w:t>开标时间和地点</w:t>
      </w:r>
      <w:bookmarkEnd w:id="44"/>
    </w:p>
    <w:p w14:paraId="487AD3D7">
      <w:pPr>
        <w:autoSpaceDE w:val="0"/>
        <w:autoSpaceDN w:val="0"/>
        <w:adjustRightInd w:val="0"/>
        <w:snapToGrid w:val="0"/>
        <w:spacing w:line="360" w:lineRule="auto"/>
        <w:ind w:firstLine="480" w:firstLineChars="200"/>
        <w:jc w:val="left"/>
        <w:rPr>
          <w:rFonts w:hint="default" w:ascii="宋体" w:hAnsi="宋体" w:cs="宋体"/>
          <w:sz w:val="24"/>
          <w:szCs w:val="24"/>
          <w:highlight w:val="none"/>
          <w:lang w:val="en-US" w:eastAsia="zh-CN"/>
        </w:rPr>
      </w:pPr>
      <w:r>
        <w:rPr>
          <w:rFonts w:ascii="宋体" w:hAnsi="宋体" w:cs="宋体"/>
          <w:sz w:val="24"/>
          <w:szCs w:val="24"/>
          <w:highlight w:val="none"/>
        </w:rPr>
        <w:t>1</w:t>
      </w:r>
      <w:r>
        <w:rPr>
          <w:rFonts w:hint="eastAsia" w:ascii="宋体" w:hAnsi="宋体" w:cs="宋体"/>
          <w:sz w:val="24"/>
          <w:szCs w:val="24"/>
          <w:highlight w:val="none"/>
        </w:rPr>
        <w:t>、开标时间：</w:t>
      </w:r>
      <w:r>
        <w:rPr>
          <w:rFonts w:hint="eastAsia" w:ascii="宋体" w:hAnsi="宋体" w:eastAsia="宋体" w:cs="宋体"/>
          <w:kern w:val="2"/>
          <w:sz w:val="24"/>
          <w:szCs w:val="24"/>
          <w:highlight w:val="none"/>
        </w:rPr>
        <w:t>202</w:t>
      </w:r>
      <w:r>
        <w:rPr>
          <w:rFonts w:hint="eastAsia" w:ascii="宋体" w:hAnsi="宋体" w:eastAsia="宋体" w:cs="宋体"/>
          <w:kern w:val="2"/>
          <w:sz w:val="24"/>
          <w:szCs w:val="24"/>
          <w:highlight w:val="none"/>
          <w:lang w:val="en-US" w:eastAsia="zh-CN"/>
        </w:rPr>
        <w:t>6</w:t>
      </w:r>
      <w:r>
        <w:rPr>
          <w:rFonts w:hint="eastAsia" w:ascii="宋体" w:hAnsi="宋体" w:eastAsia="宋体" w:cs="宋体"/>
          <w:kern w:val="2"/>
          <w:sz w:val="24"/>
          <w:szCs w:val="24"/>
          <w:highlight w:val="none"/>
        </w:rPr>
        <w:t>年</w:t>
      </w:r>
      <w:r>
        <w:rPr>
          <w:rFonts w:hint="eastAsia" w:ascii="宋体" w:hAnsi="宋体" w:cs="宋体"/>
          <w:kern w:val="2"/>
          <w:sz w:val="24"/>
          <w:szCs w:val="24"/>
          <w:highlight w:val="none"/>
          <w:lang w:val="en-US" w:eastAsia="zh-CN"/>
        </w:rPr>
        <w:t>10</w:t>
      </w:r>
      <w:r>
        <w:rPr>
          <w:rFonts w:hint="eastAsia" w:ascii="宋体" w:hAnsi="宋体" w:eastAsia="宋体" w:cs="宋体"/>
          <w:kern w:val="2"/>
          <w:sz w:val="24"/>
          <w:szCs w:val="24"/>
          <w:highlight w:val="none"/>
        </w:rPr>
        <w:t>月</w:t>
      </w:r>
      <w:r>
        <w:rPr>
          <w:rFonts w:hint="eastAsia" w:ascii="宋体" w:hAnsi="宋体" w:cs="宋体"/>
          <w:kern w:val="2"/>
          <w:sz w:val="24"/>
          <w:szCs w:val="24"/>
          <w:highlight w:val="none"/>
          <w:lang w:val="en-US" w:eastAsia="zh-CN"/>
        </w:rPr>
        <w:t>10</w:t>
      </w:r>
      <w:r>
        <w:rPr>
          <w:rFonts w:hint="eastAsia" w:ascii="宋体" w:hAnsi="宋体" w:eastAsia="宋体" w:cs="宋体"/>
          <w:kern w:val="2"/>
          <w:sz w:val="24"/>
          <w:szCs w:val="24"/>
          <w:highlight w:val="none"/>
        </w:rPr>
        <w:t>日</w:t>
      </w:r>
      <w:r>
        <w:rPr>
          <w:rFonts w:hint="eastAsia" w:ascii="宋体" w:hAnsi="宋体" w:eastAsia="宋体" w:cs="宋体"/>
          <w:kern w:val="2"/>
          <w:sz w:val="24"/>
          <w:szCs w:val="24"/>
          <w:highlight w:val="none"/>
          <w:lang w:val="en-US" w:eastAsia="zh-CN"/>
        </w:rPr>
        <w:t>9:00:00</w:t>
      </w:r>
      <w:r>
        <w:rPr>
          <w:rFonts w:hint="default" w:ascii="宋体" w:hAnsi="宋体" w:eastAsia="宋体" w:cs="宋体"/>
          <w:kern w:val="2"/>
          <w:sz w:val="24"/>
          <w:szCs w:val="24"/>
          <w:highlight w:val="none"/>
          <w:lang w:val="en-US" w:eastAsia="zh-CN"/>
        </w:rPr>
        <w:t>（北京时间）</w:t>
      </w:r>
      <w:bookmarkStart w:id="57" w:name="_GoBack"/>
      <w:bookmarkEnd w:id="57"/>
    </w:p>
    <w:p w14:paraId="15E5BCB4">
      <w:pPr>
        <w:autoSpaceDE w:val="0"/>
        <w:autoSpaceDN w:val="0"/>
        <w:adjustRightInd w:val="0"/>
        <w:snapToGrid w:val="0"/>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lang w:eastAsia="zh-CN"/>
        </w:rPr>
        <w:t>2、开标地点：</w:t>
      </w:r>
      <w:r>
        <w:rPr>
          <w:rFonts w:hint="eastAsia" w:ascii="宋体" w:hAnsi="宋体" w:cs="宋体"/>
          <w:sz w:val="24"/>
          <w:szCs w:val="24"/>
          <w:highlight w:val="none"/>
          <w:lang w:val="en-US" w:eastAsia="zh-CN"/>
        </w:rPr>
        <w:t>特种车公司北楼二楼保密</w:t>
      </w:r>
      <w:r>
        <w:rPr>
          <w:rFonts w:hint="eastAsia" w:ascii="宋体" w:hAnsi="宋体" w:cs="宋体"/>
          <w:sz w:val="24"/>
          <w:szCs w:val="24"/>
          <w:highlight w:val="none"/>
          <w:lang w:eastAsia="zh-CN"/>
        </w:rPr>
        <w:t>会议室、</w:t>
      </w:r>
      <w:r>
        <w:rPr>
          <w:rFonts w:hint="eastAsia" w:ascii="宋体" w:hAnsi="宋体" w:cs="宋体"/>
          <w:sz w:val="24"/>
          <w:szCs w:val="24"/>
          <w:highlight w:val="none"/>
          <w:lang w:val="en-US" w:eastAsia="zh-CN"/>
        </w:rPr>
        <w:t>中国重汽</w:t>
      </w:r>
      <w:r>
        <w:rPr>
          <w:rFonts w:hint="eastAsia" w:ascii="宋体" w:hAnsi="宋体" w:cs="宋体"/>
          <w:sz w:val="24"/>
          <w:szCs w:val="24"/>
          <w:highlight w:val="none"/>
          <w:lang w:eastAsia="zh-CN"/>
        </w:rPr>
        <w:t>e采通线</w:t>
      </w:r>
      <w:r>
        <w:rPr>
          <w:rFonts w:hint="eastAsia" w:ascii="宋体" w:hAnsi="宋体" w:cs="宋体"/>
          <w:sz w:val="24"/>
          <w:szCs w:val="24"/>
          <w:highlight w:val="none"/>
        </w:rPr>
        <w:t>上</w:t>
      </w:r>
    </w:p>
    <w:p w14:paraId="149A4EA5">
      <w:pPr>
        <w:pStyle w:val="3"/>
        <w:spacing w:before="0" w:beforeLines="0" w:line="360" w:lineRule="auto"/>
        <w:ind w:firstLine="482"/>
        <w:rPr>
          <w:sz w:val="28"/>
          <w:szCs w:val="28"/>
        </w:rPr>
      </w:pPr>
      <w:bookmarkStart w:id="45" w:name="_Toc8732"/>
      <w:r>
        <w:rPr>
          <w:rFonts w:hint="eastAsia"/>
          <w:sz w:val="28"/>
          <w:szCs w:val="28"/>
        </w:rPr>
        <w:t>联系方式</w:t>
      </w:r>
      <w:bookmarkEnd w:id="45"/>
    </w:p>
    <w:p w14:paraId="65709DF2">
      <w:pPr>
        <w:autoSpaceDE w:val="0"/>
        <w:autoSpaceDN w:val="0"/>
        <w:adjustRightInd w:val="0"/>
        <w:snapToGrid w:val="0"/>
        <w:spacing w:line="360" w:lineRule="auto"/>
        <w:ind w:firstLine="840" w:firstLineChars="300"/>
        <w:jc w:val="left"/>
        <w:rPr>
          <w:rFonts w:hint="eastAsia" w:ascii="仿宋" w:hAnsi="仿宋" w:eastAsia="仿宋" w:cs="仿宋"/>
          <w:color w:val="000000"/>
          <w:kern w:val="0"/>
          <w:sz w:val="28"/>
          <w:szCs w:val="28"/>
          <w:highlight w:val="none"/>
          <w:lang w:val="en-US" w:eastAsia="zh-CN"/>
        </w:rPr>
      </w:pPr>
      <w:r>
        <w:rPr>
          <w:rFonts w:hint="eastAsia" w:ascii="仿宋" w:hAnsi="仿宋" w:eastAsia="仿宋" w:cs="仿宋"/>
          <w:color w:val="000000"/>
          <w:kern w:val="0"/>
          <w:sz w:val="28"/>
          <w:szCs w:val="28"/>
          <w:highlight w:val="none"/>
          <w:lang w:val="en-US" w:eastAsia="zh-CN"/>
        </w:rPr>
        <w:t>技术、商务答疑联系人： 韩东超</w:t>
      </w:r>
    </w:p>
    <w:p w14:paraId="39EBAE86">
      <w:pPr>
        <w:autoSpaceDE w:val="0"/>
        <w:autoSpaceDN w:val="0"/>
        <w:adjustRightInd w:val="0"/>
        <w:snapToGrid w:val="0"/>
        <w:spacing w:line="360" w:lineRule="auto"/>
        <w:ind w:firstLine="840" w:firstLineChars="300"/>
        <w:jc w:val="left"/>
        <w:rPr>
          <w:rFonts w:hint="eastAsia" w:ascii="仿宋" w:hAnsi="仿宋" w:eastAsia="仿宋" w:cs="仿宋"/>
          <w:color w:val="000000"/>
          <w:kern w:val="0"/>
          <w:sz w:val="28"/>
          <w:szCs w:val="28"/>
          <w:highlight w:val="none"/>
          <w:lang w:val="en-US" w:eastAsia="zh-CN"/>
        </w:rPr>
      </w:pPr>
      <w:r>
        <w:rPr>
          <w:rFonts w:hint="eastAsia" w:ascii="仿宋" w:hAnsi="仿宋" w:eastAsia="仿宋" w:cs="仿宋"/>
          <w:color w:val="000000"/>
          <w:kern w:val="0"/>
          <w:sz w:val="28"/>
          <w:szCs w:val="28"/>
          <w:highlight w:val="none"/>
          <w:lang w:val="en-US" w:eastAsia="zh-CN"/>
        </w:rPr>
        <w:t>联系电话：15153153837</w:t>
      </w:r>
    </w:p>
    <w:p w14:paraId="6AA162A5">
      <w:pPr>
        <w:autoSpaceDE w:val="0"/>
        <w:autoSpaceDN w:val="0"/>
        <w:adjustRightInd w:val="0"/>
        <w:snapToGrid w:val="0"/>
        <w:spacing w:line="360" w:lineRule="auto"/>
        <w:ind w:firstLine="840" w:firstLineChars="300"/>
        <w:jc w:val="left"/>
        <w:rPr>
          <w:rFonts w:hint="eastAsia" w:ascii="仿宋" w:hAnsi="仿宋" w:eastAsia="仿宋" w:cs="仿宋"/>
          <w:color w:val="000000"/>
          <w:kern w:val="0"/>
          <w:sz w:val="28"/>
          <w:szCs w:val="28"/>
          <w:highlight w:val="none"/>
          <w:lang w:val="en-US" w:eastAsia="zh-CN"/>
        </w:rPr>
      </w:pPr>
      <w:r>
        <w:rPr>
          <w:rFonts w:hint="eastAsia" w:ascii="仿宋" w:hAnsi="仿宋" w:eastAsia="仿宋" w:cs="仿宋"/>
          <w:color w:val="000000"/>
          <w:kern w:val="0"/>
          <w:sz w:val="28"/>
          <w:szCs w:val="28"/>
          <w:highlight w:val="none"/>
        </w:rPr>
        <w:t>邮箱：</w:t>
      </w:r>
      <w:r>
        <w:rPr>
          <w:rFonts w:hint="eastAsia" w:ascii="仿宋" w:hAnsi="仿宋" w:eastAsia="仿宋" w:cs="仿宋"/>
          <w:color w:val="000000"/>
          <w:kern w:val="0"/>
          <w:sz w:val="28"/>
          <w:szCs w:val="28"/>
          <w:highlight w:val="none"/>
          <w:lang w:val="en-US" w:eastAsia="zh-CN"/>
        </w:rPr>
        <w:t xml:space="preserve">  handch@sinotruk.com </w:t>
      </w:r>
    </w:p>
    <w:p w14:paraId="181EDF39">
      <w:pPr>
        <w:autoSpaceDE w:val="0"/>
        <w:autoSpaceDN w:val="0"/>
        <w:adjustRightInd w:val="0"/>
        <w:snapToGrid w:val="0"/>
        <w:spacing w:line="360" w:lineRule="auto"/>
        <w:ind w:firstLine="840" w:firstLineChars="300"/>
        <w:jc w:val="left"/>
        <w:rPr>
          <w:rFonts w:hint="eastAsia" w:ascii="仿宋" w:hAnsi="仿宋" w:eastAsia="仿宋" w:cs="仿宋"/>
          <w:color w:val="000000"/>
          <w:kern w:val="0"/>
          <w:sz w:val="28"/>
          <w:szCs w:val="28"/>
          <w:highlight w:val="none"/>
          <w:lang w:val="en-US" w:eastAsia="zh-CN"/>
        </w:rPr>
      </w:pPr>
      <w:r>
        <w:rPr>
          <w:rFonts w:hint="eastAsia" w:ascii="仿宋" w:hAnsi="仿宋" w:eastAsia="仿宋" w:cs="仿宋"/>
          <w:color w:val="000000"/>
          <w:kern w:val="0"/>
          <w:sz w:val="28"/>
          <w:szCs w:val="28"/>
          <w:highlight w:val="none"/>
          <w:lang w:val="en-US" w:eastAsia="zh-CN"/>
        </w:rPr>
        <w:t>报名及投标招标事宜联系人：王瑄</w:t>
      </w:r>
    </w:p>
    <w:p w14:paraId="7F9D0C08">
      <w:pPr>
        <w:autoSpaceDE w:val="0"/>
        <w:autoSpaceDN w:val="0"/>
        <w:adjustRightInd w:val="0"/>
        <w:snapToGrid w:val="0"/>
        <w:spacing w:line="360" w:lineRule="auto"/>
        <w:ind w:firstLine="840" w:firstLineChars="300"/>
        <w:jc w:val="left"/>
        <w:rPr>
          <w:rFonts w:hint="eastAsia" w:ascii="仿宋" w:hAnsi="仿宋" w:eastAsia="仿宋" w:cs="仿宋"/>
          <w:color w:val="000000"/>
          <w:kern w:val="0"/>
          <w:sz w:val="28"/>
          <w:szCs w:val="28"/>
          <w:highlight w:val="none"/>
          <w:lang w:val="en-US" w:eastAsia="zh-CN"/>
        </w:rPr>
      </w:pPr>
      <w:r>
        <w:rPr>
          <w:rFonts w:hint="eastAsia" w:ascii="仿宋" w:hAnsi="仿宋" w:eastAsia="仿宋" w:cs="仿宋"/>
          <w:color w:val="000000"/>
          <w:kern w:val="0"/>
          <w:sz w:val="28"/>
          <w:szCs w:val="28"/>
          <w:highlight w:val="none"/>
          <w:lang w:val="en-US" w:eastAsia="zh-CN"/>
        </w:rPr>
        <w:t>电话：17860605786</w:t>
      </w:r>
    </w:p>
    <w:p w14:paraId="22C85445">
      <w:pPr>
        <w:autoSpaceDE w:val="0"/>
        <w:autoSpaceDN w:val="0"/>
        <w:adjustRightInd w:val="0"/>
        <w:snapToGrid w:val="0"/>
        <w:spacing w:line="360" w:lineRule="auto"/>
        <w:ind w:firstLine="840" w:firstLineChars="300"/>
        <w:jc w:val="left"/>
        <w:rPr>
          <w:rFonts w:hint="eastAsia" w:ascii="仿宋" w:hAnsi="仿宋" w:eastAsia="仿宋" w:cs="仿宋"/>
          <w:color w:val="000000"/>
          <w:kern w:val="0"/>
          <w:sz w:val="28"/>
          <w:szCs w:val="28"/>
          <w:highlight w:val="none"/>
          <w:lang w:val="en-US" w:eastAsia="zh-CN"/>
        </w:rPr>
      </w:pPr>
      <w:r>
        <w:rPr>
          <w:rFonts w:hint="eastAsia" w:ascii="仿宋" w:hAnsi="仿宋" w:eastAsia="仿宋" w:cs="仿宋"/>
          <w:color w:val="000000"/>
          <w:kern w:val="0"/>
          <w:sz w:val="28"/>
          <w:szCs w:val="28"/>
          <w:highlight w:val="none"/>
          <w:lang w:val="en-US" w:eastAsia="zh-CN"/>
        </w:rPr>
        <w:t>邮箱：</w:t>
      </w:r>
      <w:r>
        <w:rPr>
          <w:rFonts w:hint="eastAsia" w:ascii="仿宋" w:hAnsi="仿宋" w:eastAsia="仿宋" w:cs="仿宋"/>
          <w:color w:val="000000"/>
          <w:kern w:val="0"/>
          <w:sz w:val="28"/>
          <w:szCs w:val="28"/>
          <w:highlight w:val="none"/>
          <w:lang w:val="en-US" w:eastAsia="zh-CN"/>
        </w:rPr>
        <w:fldChar w:fldCharType="begin"/>
      </w:r>
      <w:r>
        <w:rPr>
          <w:rFonts w:hint="eastAsia" w:ascii="仿宋" w:hAnsi="仿宋" w:eastAsia="仿宋" w:cs="仿宋"/>
          <w:color w:val="000000"/>
          <w:kern w:val="0"/>
          <w:sz w:val="28"/>
          <w:szCs w:val="28"/>
          <w:highlight w:val="none"/>
          <w:lang w:val="en-US" w:eastAsia="zh-CN"/>
        </w:rPr>
        <w:instrText xml:space="preserve"> HYPERLINK "mailto:lvyidi@sinotruk.com" </w:instrText>
      </w:r>
      <w:r>
        <w:rPr>
          <w:rFonts w:hint="eastAsia" w:ascii="仿宋" w:hAnsi="仿宋" w:eastAsia="仿宋" w:cs="仿宋"/>
          <w:color w:val="000000"/>
          <w:kern w:val="0"/>
          <w:sz w:val="28"/>
          <w:szCs w:val="28"/>
          <w:highlight w:val="none"/>
          <w:lang w:val="en-US" w:eastAsia="zh-CN"/>
        </w:rPr>
        <w:fldChar w:fldCharType="separate"/>
      </w:r>
      <w:r>
        <w:rPr>
          <w:rFonts w:hint="eastAsia" w:ascii="仿宋" w:hAnsi="仿宋" w:eastAsia="仿宋" w:cs="仿宋"/>
          <w:color w:val="000000"/>
          <w:kern w:val="0"/>
          <w:sz w:val="28"/>
          <w:szCs w:val="28"/>
          <w:highlight w:val="none"/>
          <w:lang w:val="en-US" w:eastAsia="zh-CN"/>
        </w:rPr>
        <w:t>wangxuan1@sinotruk.com</w:t>
      </w:r>
      <w:r>
        <w:rPr>
          <w:rFonts w:hint="eastAsia" w:ascii="仿宋" w:hAnsi="仿宋" w:eastAsia="仿宋" w:cs="仿宋"/>
          <w:color w:val="000000"/>
          <w:kern w:val="0"/>
          <w:sz w:val="28"/>
          <w:szCs w:val="28"/>
          <w:highlight w:val="none"/>
          <w:lang w:val="en-US" w:eastAsia="zh-CN"/>
        </w:rPr>
        <w:fldChar w:fldCharType="end"/>
      </w:r>
    </w:p>
    <w:p w14:paraId="47476C08">
      <w:pPr>
        <w:pStyle w:val="3"/>
        <w:spacing w:before="0" w:beforeLines="0" w:line="360" w:lineRule="auto"/>
        <w:ind w:firstLine="482"/>
        <w:rPr>
          <w:sz w:val="28"/>
          <w:szCs w:val="28"/>
        </w:rPr>
      </w:pPr>
      <w:r>
        <w:rPr>
          <w:rFonts w:hint="eastAsia"/>
          <w:sz w:val="28"/>
          <w:szCs w:val="28"/>
        </w:rPr>
        <w:t>保证金</w:t>
      </w:r>
    </w:p>
    <w:p w14:paraId="4D182948">
      <w:pPr>
        <w:numPr>
          <w:ilvl w:val="0"/>
          <w:numId w:val="0"/>
        </w:numPr>
        <w:spacing w:line="360" w:lineRule="auto"/>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1.此</w:t>
      </w:r>
      <w:r>
        <w:rPr>
          <w:rFonts w:hint="eastAsia" w:ascii="宋体" w:hAnsi="宋体" w:cs="宋体"/>
          <w:color w:val="000000"/>
          <w:sz w:val="24"/>
          <w:szCs w:val="24"/>
          <w:highlight w:val="none"/>
          <w:lang w:val="en-US" w:eastAsia="zh-CN"/>
        </w:rPr>
        <w:t>次招标为公开招标，投标保证金为2万元</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贰</w:t>
      </w:r>
      <w:r>
        <w:rPr>
          <w:rFonts w:hint="eastAsia" w:ascii="宋体" w:hAnsi="宋体" w:cs="宋体"/>
          <w:color w:val="000000"/>
          <w:sz w:val="24"/>
          <w:szCs w:val="24"/>
          <w:highlight w:val="none"/>
        </w:rPr>
        <w:t>万元整）</w:t>
      </w:r>
      <w:r>
        <w:rPr>
          <w:rFonts w:hint="eastAsia" w:ascii="宋体" w:hAnsi="宋体" w:cs="宋体"/>
          <w:color w:val="000000"/>
          <w:sz w:val="24"/>
          <w:szCs w:val="24"/>
          <w:highlight w:val="none"/>
          <w:lang w:val="en-US" w:eastAsia="zh-CN"/>
        </w:rPr>
        <w:t>。投标单位</w:t>
      </w:r>
      <w:r>
        <w:rPr>
          <w:rFonts w:hint="eastAsia" w:ascii="宋体" w:hAnsi="宋体" w:cs="宋体"/>
          <w:sz w:val="24"/>
          <w:szCs w:val="24"/>
          <w:lang w:val="en-US" w:eastAsia="zh-CN"/>
        </w:rPr>
        <w:t>投标保证金缴纳凭</w:t>
      </w:r>
      <w:r>
        <w:rPr>
          <w:rFonts w:hint="eastAsia" w:ascii="宋体" w:hAnsi="宋体" w:cs="宋体"/>
          <w:sz w:val="24"/>
          <w:szCs w:val="24"/>
          <w:highlight w:val="none"/>
          <w:lang w:val="en-US" w:eastAsia="zh-CN"/>
        </w:rPr>
        <w:t>证，</w:t>
      </w:r>
      <w:r>
        <w:rPr>
          <w:rFonts w:hint="eastAsia" w:ascii="宋体" w:hAnsi="宋体" w:cs="宋体"/>
          <w:color w:val="000000"/>
          <w:sz w:val="24"/>
          <w:szCs w:val="24"/>
          <w:highlight w:val="none"/>
          <w:lang w:val="en-US" w:eastAsia="zh-CN"/>
        </w:rPr>
        <w:t>在报名和应标时在</w:t>
      </w:r>
      <w:r>
        <w:rPr>
          <w:rFonts w:hint="eastAsia" w:ascii="宋体" w:hAnsi="宋体" w:cs="宋体"/>
          <w:color w:val="000000"/>
          <w:sz w:val="24"/>
          <w:szCs w:val="24"/>
          <w:highlight w:val="none"/>
        </w:rPr>
        <w:t>中国重汽e采通</w:t>
      </w:r>
      <w:r>
        <w:rPr>
          <w:rFonts w:hint="eastAsia" w:ascii="宋体" w:hAnsi="宋体" w:cs="宋体"/>
          <w:color w:val="000000"/>
          <w:sz w:val="24"/>
          <w:szCs w:val="24"/>
          <w:highlight w:val="none"/>
          <w:lang w:val="en-US" w:eastAsia="zh-CN"/>
        </w:rPr>
        <w:t xml:space="preserve">上传，恶意竞标或中标后拒绝签约的扣除2万投标保证金。  </w:t>
      </w:r>
      <w:r>
        <w:rPr>
          <w:rFonts w:hint="eastAsia" w:ascii="宋体" w:hAnsi="宋体" w:cs="宋体"/>
          <w:color w:val="000000"/>
          <w:sz w:val="24"/>
          <w:szCs w:val="24"/>
          <w:lang w:val="en-US" w:eastAsia="zh-CN"/>
        </w:rPr>
        <w:t xml:space="preserve"> </w:t>
      </w:r>
    </w:p>
    <w:p w14:paraId="0EB6273E">
      <w:pPr>
        <w:spacing w:line="360" w:lineRule="auto"/>
        <w:ind w:firstLine="480" w:firstLineChars="200"/>
        <w:rPr>
          <w:rFonts w:ascii="宋体" w:hAnsi="宋体" w:cs="宋体"/>
          <w:sz w:val="24"/>
          <w:szCs w:val="24"/>
          <w:highlight w:val="none"/>
        </w:rPr>
      </w:pPr>
      <w:r>
        <w:rPr>
          <w:rFonts w:hint="eastAsia" w:ascii="宋体" w:hAnsi="宋体" w:cs="宋体"/>
          <w:color w:val="000000"/>
          <w:sz w:val="24"/>
          <w:szCs w:val="24"/>
          <w:highlight w:val="none"/>
        </w:rPr>
        <w:t>2.缴纳方式：基本账户转账。</w:t>
      </w:r>
    </w:p>
    <w:p w14:paraId="5BC979EA">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 xml:space="preserve">3.接收单位：中国重汽集团济南特种车有限公司 </w:t>
      </w:r>
    </w:p>
    <w:p w14:paraId="6982810F">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4.转账信息：</w:t>
      </w:r>
    </w:p>
    <w:p w14:paraId="1688B50D">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单位：中国重汽集团济南特种车有限公司</w:t>
      </w:r>
    </w:p>
    <w:p w14:paraId="43781FF3">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开户行：中信银行济南舜耕支行</w:t>
      </w:r>
    </w:p>
    <w:p w14:paraId="2E900914">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账号：7372610182600060547</w:t>
      </w:r>
    </w:p>
    <w:p w14:paraId="584A4448">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应备注“</w:t>
      </w:r>
      <w:r>
        <w:rPr>
          <w:rFonts w:hint="eastAsia" w:ascii="宋体" w:hAnsi="宋体" w:cs="宋体"/>
          <w:color w:val="000000"/>
          <w:sz w:val="24"/>
          <w:szCs w:val="24"/>
          <w:highlight w:val="none"/>
          <w:lang w:val="en-US" w:eastAsia="zh-CN"/>
        </w:rPr>
        <w:t>特种车公司2026年商品车仓储服务</w:t>
      </w:r>
      <w:r>
        <w:rPr>
          <w:rFonts w:hint="eastAsia" w:ascii="宋体" w:hAnsi="宋体" w:cs="宋体"/>
          <w:color w:val="000000"/>
          <w:sz w:val="24"/>
          <w:szCs w:val="24"/>
          <w:highlight w:val="none"/>
          <w:lang w:eastAsia="zh-CN"/>
        </w:rPr>
        <w:t>项目投标保证金</w:t>
      </w:r>
      <w:r>
        <w:rPr>
          <w:rFonts w:hint="eastAsia" w:ascii="宋体" w:hAnsi="宋体" w:cs="宋体"/>
          <w:color w:val="000000"/>
          <w:sz w:val="24"/>
          <w:szCs w:val="24"/>
          <w:highlight w:val="none"/>
        </w:rPr>
        <w:t>”</w:t>
      </w:r>
    </w:p>
    <w:p w14:paraId="58661483">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注：投标人应充分考虑银行信息交换时间，由此带来的保证金不能按时到帐的由投标人自行承担。</w:t>
      </w:r>
    </w:p>
    <w:p w14:paraId="02113B20">
      <w:pPr>
        <w:pStyle w:val="30"/>
        <w:keepNext w:val="0"/>
        <w:keepLines w:val="0"/>
        <w:pageBreakBefore w:val="0"/>
        <w:widowControl w:val="0"/>
        <w:numPr>
          <w:ilvl w:val="0"/>
          <w:numId w:val="5"/>
        </w:numPr>
        <w:kinsoku/>
        <w:wordWrap/>
        <w:overflowPunct/>
        <w:topLinePunct w:val="0"/>
        <w:autoSpaceDE/>
        <w:autoSpaceDN/>
        <w:bidi w:val="0"/>
        <w:adjustRightInd/>
        <w:snapToGrid/>
        <w:spacing w:before="157" w:beforeLines="50" w:after="157" w:afterLines="50" w:line="440" w:lineRule="exact"/>
        <w:ind w:left="0" w:leftChars="0" w:firstLine="0" w:firstLineChars="0"/>
        <w:textAlignment w:val="auto"/>
        <w:outlineLvl w:val="2"/>
        <w:rPr>
          <w:rFonts w:hint="eastAsia" w:ascii="黑体" w:hAnsi="黑体" w:eastAsia="黑体" w:cs="黑体"/>
          <w:b w:val="0"/>
          <w:bCs w:val="0"/>
          <w:sz w:val="24"/>
          <w:szCs w:val="24"/>
          <w:highlight w:val="none"/>
          <w:lang w:val="en-US" w:eastAsia="zh-CN"/>
        </w:rPr>
      </w:pPr>
      <w:r>
        <w:rPr>
          <w:rFonts w:hint="eastAsia" w:ascii="黑体" w:hAnsi="黑体" w:eastAsia="黑体" w:cs="黑体"/>
          <w:b w:val="0"/>
          <w:bCs w:val="0"/>
          <w:sz w:val="24"/>
          <w:szCs w:val="24"/>
          <w:highlight w:val="none"/>
        </w:rPr>
        <w:t>发生</w:t>
      </w:r>
      <w:r>
        <w:rPr>
          <w:rFonts w:hint="eastAsia" w:ascii="黑体" w:hAnsi="黑体" w:eastAsia="黑体" w:cs="黑体"/>
          <w:b w:val="0"/>
          <w:bCs w:val="0"/>
          <w:sz w:val="24"/>
          <w:szCs w:val="24"/>
          <w:highlight w:val="none"/>
          <w:lang w:val="en-US" w:eastAsia="zh-CN"/>
        </w:rPr>
        <w:t>以下</w:t>
      </w:r>
      <w:r>
        <w:rPr>
          <w:rFonts w:hint="eastAsia" w:ascii="黑体" w:hAnsi="黑体" w:eastAsia="黑体" w:cs="黑体"/>
          <w:b w:val="0"/>
          <w:bCs w:val="0"/>
          <w:sz w:val="24"/>
          <w:szCs w:val="24"/>
          <w:highlight w:val="none"/>
        </w:rPr>
        <w:t>情况时，有权没收保证金：</w:t>
      </w:r>
    </w:p>
    <w:p w14:paraId="69D68B6B">
      <w:pPr>
        <w:pStyle w:val="29"/>
        <w:keepNext w:val="0"/>
        <w:keepLines w:val="0"/>
        <w:pageBreakBefore w:val="0"/>
        <w:widowControl w:val="0"/>
        <w:numPr>
          <w:ilvl w:val="1"/>
          <w:numId w:val="5"/>
        </w:numPr>
        <w:kinsoku/>
        <w:wordWrap/>
        <w:overflowPunct/>
        <w:topLinePunct w:val="0"/>
        <w:autoSpaceDE/>
        <w:autoSpaceDN/>
        <w:bidi w:val="0"/>
        <w:adjustRightInd/>
        <w:snapToGrid/>
        <w:spacing w:line="440" w:lineRule="exact"/>
        <w:ind w:left="0" w:leftChars="0" w:firstLine="0" w:firstLineChars="0"/>
        <w:textAlignment w:val="auto"/>
        <w:rPr>
          <w:rFonts w:hint="eastAsia"/>
          <w:lang w:val="en-US" w:eastAsia="zh-CN"/>
        </w:rPr>
      </w:pPr>
      <w:r>
        <w:rPr>
          <w:rFonts w:hint="eastAsia" w:ascii="宋体" w:hAnsi="宋体" w:eastAsia="宋体" w:cs="宋体"/>
          <w:b w:val="0"/>
          <w:bCs w:val="0"/>
          <w:szCs w:val="21"/>
          <w:highlight w:val="none"/>
        </w:rPr>
        <w:t>供</w:t>
      </w:r>
      <w:r>
        <w:rPr>
          <w:rFonts w:hint="eastAsia"/>
        </w:rPr>
        <w:t>应商在提交响应文件截止时间后撤回响应文件的；</w:t>
      </w:r>
    </w:p>
    <w:p w14:paraId="56CEC558">
      <w:pPr>
        <w:pStyle w:val="29"/>
        <w:keepNext w:val="0"/>
        <w:keepLines w:val="0"/>
        <w:pageBreakBefore w:val="0"/>
        <w:widowControl w:val="0"/>
        <w:numPr>
          <w:ilvl w:val="1"/>
          <w:numId w:val="5"/>
        </w:numPr>
        <w:kinsoku/>
        <w:wordWrap/>
        <w:overflowPunct/>
        <w:topLinePunct w:val="0"/>
        <w:autoSpaceDE/>
        <w:autoSpaceDN/>
        <w:bidi w:val="0"/>
        <w:adjustRightInd/>
        <w:snapToGrid/>
        <w:spacing w:line="440" w:lineRule="exact"/>
        <w:ind w:left="0" w:leftChars="0" w:firstLine="0" w:firstLineChars="0"/>
        <w:textAlignment w:val="auto"/>
        <w:rPr>
          <w:rFonts w:hint="eastAsia"/>
          <w:lang w:val="en-US" w:eastAsia="zh-CN"/>
        </w:rPr>
      </w:pPr>
      <w:r>
        <w:rPr>
          <w:rFonts w:hint="eastAsia"/>
        </w:rPr>
        <w:t>供应商在响应文件中提供虚假材料的；</w:t>
      </w:r>
    </w:p>
    <w:p w14:paraId="14DF0C78">
      <w:pPr>
        <w:pStyle w:val="29"/>
        <w:keepNext w:val="0"/>
        <w:keepLines w:val="0"/>
        <w:pageBreakBefore w:val="0"/>
        <w:widowControl w:val="0"/>
        <w:numPr>
          <w:ilvl w:val="1"/>
          <w:numId w:val="5"/>
        </w:numPr>
        <w:kinsoku/>
        <w:wordWrap/>
        <w:overflowPunct/>
        <w:topLinePunct w:val="0"/>
        <w:autoSpaceDE/>
        <w:autoSpaceDN/>
        <w:bidi w:val="0"/>
        <w:adjustRightInd/>
        <w:snapToGrid/>
        <w:spacing w:line="440" w:lineRule="exact"/>
        <w:ind w:left="0" w:leftChars="0" w:firstLine="0" w:firstLineChars="0"/>
        <w:textAlignment w:val="auto"/>
        <w:rPr>
          <w:rFonts w:hint="eastAsia"/>
          <w:lang w:val="en-US" w:eastAsia="zh-CN"/>
        </w:rPr>
      </w:pPr>
      <w:r>
        <w:rPr>
          <w:rFonts w:hint="eastAsia"/>
        </w:rPr>
        <w:t>除因不可抗力或谈判文件、询价通知书认可的情形以外，成交供应商不与采购人签订合同的；</w:t>
      </w:r>
    </w:p>
    <w:p w14:paraId="1D9AD298">
      <w:pPr>
        <w:pStyle w:val="29"/>
        <w:keepNext w:val="0"/>
        <w:keepLines w:val="0"/>
        <w:pageBreakBefore w:val="0"/>
        <w:widowControl w:val="0"/>
        <w:numPr>
          <w:ilvl w:val="1"/>
          <w:numId w:val="5"/>
        </w:numPr>
        <w:kinsoku/>
        <w:wordWrap/>
        <w:overflowPunct/>
        <w:topLinePunct w:val="0"/>
        <w:autoSpaceDE/>
        <w:autoSpaceDN/>
        <w:bidi w:val="0"/>
        <w:adjustRightInd/>
        <w:snapToGrid/>
        <w:spacing w:line="440" w:lineRule="exact"/>
        <w:ind w:left="0" w:leftChars="0" w:firstLine="0" w:firstLineChars="0"/>
        <w:textAlignment w:val="auto"/>
        <w:rPr>
          <w:rFonts w:hint="eastAsia"/>
          <w:lang w:val="en-US" w:eastAsia="zh-CN"/>
        </w:rPr>
      </w:pPr>
      <w:r>
        <w:rPr>
          <w:rFonts w:hint="eastAsia"/>
        </w:rPr>
        <w:t>供应商与采购人、其他供应商或者采购代理机构恶意串通、围标、陪标的；</w:t>
      </w:r>
    </w:p>
    <w:p w14:paraId="1211AC71">
      <w:pPr>
        <w:pStyle w:val="29"/>
        <w:keepNext w:val="0"/>
        <w:keepLines w:val="0"/>
        <w:pageBreakBefore w:val="0"/>
        <w:widowControl w:val="0"/>
        <w:numPr>
          <w:ilvl w:val="1"/>
          <w:numId w:val="5"/>
        </w:numPr>
        <w:kinsoku/>
        <w:wordWrap/>
        <w:overflowPunct/>
        <w:topLinePunct w:val="0"/>
        <w:autoSpaceDE/>
        <w:autoSpaceDN/>
        <w:bidi w:val="0"/>
        <w:adjustRightInd/>
        <w:snapToGrid/>
        <w:spacing w:line="440" w:lineRule="exact"/>
        <w:ind w:left="0" w:leftChars="0" w:firstLine="0" w:firstLineChars="0"/>
        <w:textAlignment w:val="auto"/>
        <w:rPr>
          <w:rFonts w:hint="eastAsia"/>
          <w:lang w:val="en-US" w:eastAsia="zh-CN"/>
        </w:rPr>
      </w:pPr>
      <w:r>
        <w:rPr>
          <w:rFonts w:hint="eastAsia"/>
        </w:rPr>
        <w:t>供应商有违约违规行为或被投诉、举报的，在调查处理期间，保证金暂不退还，待调查处理结束后按有关规定处理。</w:t>
      </w:r>
    </w:p>
    <w:p w14:paraId="1C7FF7D7">
      <w:pPr>
        <w:pStyle w:val="29"/>
        <w:keepNext w:val="0"/>
        <w:keepLines w:val="0"/>
        <w:pageBreakBefore w:val="0"/>
        <w:widowControl w:val="0"/>
        <w:numPr>
          <w:ilvl w:val="1"/>
          <w:numId w:val="5"/>
        </w:numPr>
        <w:kinsoku/>
        <w:wordWrap/>
        <w:overflowPunct/>
        <w:topLinePunct w:val="0"/>
        <w:autoSpaceDE/>
        <w:autoSpaceDN/>
        <w:bidi w:val="0"/>
        <w:adjustRightInd/>
        <w:snapToGrid/>
        <w:spacing w:line="440" w:lineRule="exact"/>
        <w:ind w:left="0" w:leftChars="0" w:firstLine="0" w:firstLineChars="0"/>
        <w:textAlignment w:val="auto"/>
        <w:rPr>
          <w:rFonts w:hint="eastAsia"/>
          <w:lang w:val="en-US" w:eastAsia="zh-CN"/>
        </w:rPr>
      </w:pPr>
      <w:r>
        <w:rPr>
          <w:rFonts w:hint="eastAsia"/>
        </w:rPr>
        <w:t>截至开标前3天，投标人无正当理由、未以书面形式向招标人递交说明而在投标截止日不来投标的。</w:t>
      </w:r>
    </w:p>
    <w:p w14:paraId="7A3035DA">
      <w:pPr>
        <w:pStyle w:val="29"/>
        <w:keepNext w:val="0"/>
        <w:keepLines w:val="0"/>
        <w:pageBreakBefore w:val="0"/>
        <w:widowControl w:val="0"/>
        <w:numPr>
          <w:ilvl w:val="1"/>
          <w:numId w:val="5"/>
        </w:numPr>
        <w:kinsoku/>
        <w:wordWrap/>
        <w:overflowPunct/>
        <w:topLinePunct w:val="0"/>
        <w:autoSpaceDE/>
        <w:autoSpaceDN/>
        <w:bidi w:val="0"/>
        <w:adjustRightInd/>
        <w:snapToGrid/>
        <w:spacing w:line="440" w:lineRule="exact"/>
        <w:ind w:left="0" w:leftChars="0" w:firstLine="0" w:firstLineChars="0"/>
        <w:textAlignment w:val="auto"/>
        <w:rPr>
          <w:rFonts w:hint="eastAsia"/>
          <w:lang w:val="en-US" w:eastAsia="zh-CN"/>
        </w:rPr>
      </w:pPr>
      <w:r>
        <w:rPr>
          <w:rFonts w:hint="eastAsia"/>
        </w:rPr>
        <w:t>自中标通知书发出之日起30日内，中标人无正当理由投标人无正当签订合同的；</w:t>
      </w:r>
    </w:p>
    <w:p w14:paraId="271EC8CF">
      <w:pPr>
        <w:pStyle w:val="29"/>
        <w:keepNext w:val="0"/>
        <w:keepLines w:val="0"/>
        <w:pageBreakBefore w:val="0"/>
        <w:widowControl w:val="0"/>
        <w:numPr>
          <w:ilvl w:val="1"/>
          <w:numId w:val="5"/>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仿宋_GB2312" w:cs="宋体"/>
          <w:b w:val="0"/>
          <w:bCs w:val="0"/>
          <w:szCs w:val="24"/>
          <w:highlight w:val="none"/>
          <w:lang w:val="en-US" w:eastAsia="zh-CN"/>
        </w:rPr>
      </w:pPr>
      <w:r>
        <w:rPr>
          <w:rFonts w:hint="eastAsia"/>
        </w:rPr>
        <w:t>采购文件规定</w:t>
      </w:r>
      <w:r>
        <w:rPr>
          <w:rFonts w:hint="eastAsia" w:ascii="宋体" w:hAnsi="宋体" w:eastAsia="宋体" w:cs="宋体"/>
          <w:b w:val="0"/>
          <w:bCs w:val="0"/>
          <w:szCs w:val="21"/>
          <w:highlight w:val="none"/>
        </w:rPr>
        <w:t>的其他情形</w:t>
      </w:r>
      <w:r>
        <w:rPr>
          <w:rFonts w:hint="eastAsia" w:ascii="宋体" w:hAnsi="宋体" w:eastAsia="宋体" w:cs="宋体"/>
          <w:b w:val="0"/>
          <w:bCs w:val="0"/>
          <w:szCs w:val="21"/>
          <w:highlight w:val="none"/>
          <w:lang w:eastAsia="zh-CN"/>
        </w:rPr>
        <w:t>。</w:t>
      </w:r>
    </w:p>
    <w:p w14:paraId="287E201A">
      <w:pPr>
        <w:spacing w:line="360" w:lineRule="auto"/>
        <w:ind w:firstLine="480" w:firstLineChars="200"/>
        <w:rPr>
          <w:rFonts w:hint="eastAsia" w:ascii="宋体" w:hAnsi="宋体" w:cs="宋体"/>
          <w:color w:val="000000"/>
          <w:sz w:val="24"/>
          <w:szCs w:val="24"/>
          <w:highlight w:val="none"/>
        </w:rPr>
      </w:pPr>
    </w:p>
    <w:p w14:paraId="709785AD">
      <w:pPr>
        <w:spacing w:line="360" w:lineRule="auto"/>
        <w:ind w:firstLine="480" w:firstLineChars="200"/>
        <w:rPr>
          <w:rFonts w:hint="eastAsia" w:ascii="宋体" w:hAnsi="宋体" w:eastAsia="宋体" w:cs="宋体"/>
          <w:color w:val="000000"/>
          <w:sz w:val="24"/>
          <w:szCs w:val="24"/>
          <w:shd w:val="clear" w:fill="FFFF00"/>
          <w:lang w:eastAsia="zh-CN"/>
        </w:rPr>
      </w:pPr>
      <w:r>
        <w:rPr>
          <w:rFonts w:hint="eastAsia" w:ascii="宋体" w:hAnsi="宋体" w:cs="宋体"/>
          <w:color w:val="000000"/>
          <w:sz w:val="24"/>
          <w:szCs w:val="24"/>
          <w:lang w:val="en-US" w:eastAsia="zh-CN"/>
        </w:rPr>
        <w:t>5</w:t>
      </w:r>
      <w:r>
        <w:rPr>
          <w:rFonts w:hint="eastAsia" w:ascii="宋体" w:hAnsi="宋体" w:cs="宋体"/>
          <w:color w:val="000000"/>
          <w:sz w:val="24"/>
          <w:szCs w:val="24"/>
        </w:rPr>
        <w:t>.履约保证金：</w:t>
      </w:r>
      <w:r>
        <w:rPr>
          <w:rFonts w:hint="eastAsia" w:ascii="宋体" w:hAnsi="宋体" w:cs="宋体"/>
          <w:color w:val="000000"/>
          <w:sz w:val="24"/>
          <w:szCs w:val="24"/>
          <w:lang w:val="en-US" w:eastAsia="zh-CN"/>
        </w:rPr>
        <w:t>新</w:t>
      </w:r>
      <w:r>
        <w:rPr>
          <w:rFonts w:hint="eastAsia" w:ascii="宋体" w:hAnsi="宋体" w:cs="宋体"/>
          <w:color w:val="000000"/>
          <w:sz w:val="24"/>
          <w:szCs w:val="24"/>
          <w:lang w:eastAsia="zh-CN"/>
        </w:rPr>
        <w:t>中标公司</w:t>
      </w:r>
      <w:r>
        <w:rPr>
          <w:rFonts w:hint="eastAsia" w:ascii="宋体" w:hAnsi="宋体" w:cs="宋体"/>
          <w:color w:val="000000"/>
          <w:sz w:val="24"/>
          <w:szCs w:val="24"/>
          <w:lang w:val="en-US" w:eastAsia="zh-CN"/>
        </w:rPr>
        <w:t>需要缴纳履约保证金150</w:t>
      </w:r>
      <w:r>
        <w:rPr>
          <w:rFonts w:hint="eastAsia" w:ascii="宋体" w:hAnsi="宋体" w:cs="宋体"/>
          <w:color w:val="000000"/>
          <w:sz w:val="24"/>
          <w:szCs w:val="24"/>
          <w:lang w:eastAsia="zh-CN"/>
        </w:rPr>
        <w:t xml:space="preserve"> 万</w:t>
      </w:r>
      <w:r>
        <w:rPr>
          <w:rFonts w:hint="eastAsia" w:ascii="宋体" w:hAnsi="宋体" w:cs="宋体"/>
          <w:color w:val="000000"/>
          <w:sz w:val="24"/>
          <w:szCs w:val="24"/>
          <w:lang w:val="en-US" w:eastAsia="zh-CN"/>
        </w:rPr>
        <w:t>元</w:t>
      </w: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现供方在特种车公司履约保证金账户不低于150万元，就</w:t>
      </w:r>
      <w:r>
        <w:rPr>
          <w:rFonts w:hint="eastAsia" w:ascii="宋体" w:hAnsi="宋体" w:cs="宋体"/>
          <w:color w:val="000000"/>
          <w:sz w:val="24"/>
          <w:szCs w:val="24"/>
          <w:lang w:eastAsia="zh-CN"/>
        </w:rPr>
        <w:t>不再续缴。缴纳保证金后，合同生效；未及时缴纳</w:t>
      </w:r>
      <w:r>
        <w:rPr>
          <w:rFonts w:hint="eastAsia" w:ascii="宋体" w:hAnsi="宋体" w:cs="宋体"/>
          <w:color w:val="000000"/>
          <w:sz w:val="24"/>
          <w:szCs w:val="24"/>
          <w:lang w:val="en-US" w:eastAsia="zh-CN"/>
        </w:rPr>
        <w:t>履约</w:t>
      </w:r>
      <w:r>
        <w:rPr>
          <w:rFonts w:hint="eastAsia" w:ascii="宋体" w:hAnsi="宋体" w:cs="宋体"/>
          <w:color w:val="000000"/>
          <w:sz w:val="24"/>
          <w:szCs w:val="24"/>
          <w:lang w:eastAsia="zh-CN"/>
        </w:rPr>
        <w:t>保证金，视为弃标，扣除投标保证金，同时纳入黑名单；</w:t>
      </w:r>
      <w:r>
        <w:rPr>
          <w:rFonts w:hint="eastAsia" w:ascii="宋体" w:hAnsi="宋体" w:cs="宋体"/>
          <w:color w:val="000000"/>
          <w:sz w:val="24"/>
          <w:szCs w:val="24"/>
          <w:lang w:val="en-US" w:eastAsia="zh-CN"/>
        </w:rPr>
        <w:t>履约保证金</w:t>
      </w:r>
      <w:r>
        <w:rPr>
          <w:rFonts w:hint="eastAsia" w:ascii="宋体" w:hAnsi="宋体" w:cs="宋体"/>
          <w:color w:val="000000"/>
          <w:sz w:val="24"/>
          <w:szCs w:val="24"/>
          <w:lang w:eastAsia="zh-CN"/>
        </w:rPr>
        <w:t>退还方式按照法务合规部发布的合同模板执行）。</w:t>
      </w:r>
    </w:p>
    <w:p w14:paraId="631820AC">
      <w:pPr>
        <w:autoSpaceDE w:val="0"/>
        <w:autoSpaceDN w:val="0"/>
        <w:adjustRightInd w:val="0"/>
        <w:snapToGrid w:val="0"/>
        <w:spacing w:line="360" w:lineRule="auto"/>
        <w:ind w:firstLine="840" w:firstLineChars="300"/>
        <w:jc w:val="left"/>
        <w:rPr>
          <w:rFonts w:hint="eastAsia" w:ascii="仿宋" w:hAnsi="仿宋" w:eastAsia="仿宋" w:cs="仿宋"/>
          <w:color w:val="000000"/>
          <w:kern w:val="0"/>
          <w:sz w:val="28"/>
          <w:szCs w:val="28"/>
          <w:highlight w:val="none"/>
          <w:lang w:val="en-US" w:eastAsia="zh-CN"/>
        </w:rPr>
      </w:pPr>
    </w:p>
    <w:p w14:paraId="628C0750">
      <w:pPr>
        <w:autoSpaceDE w:val="0"/>
        <w:autoSpaceDN w:val="0"/>
        <w:adjustRightInd w:val="0"/>
        <w:snapToGrid w:val="0"/>
        <w:spacing w:line="360" w:lineRule="auto"/>
        <w:ind w:firstLine="840" w:firstLineChars="300"/>
        <w:jc w:val="left"/>
        <w:rPr>
          <w:rFonts w:hint="eastAsia" w:ascii="仿宋" w:hAnsi="仿宋" w:eastAsia="仿宋" w:cs="仿宋"/>
          <w:color w:val="000000"/>
          <w:kern w:val="0"/>
          <w:sz w:val="28"/>
          <w:szCs w:val="28"/>
          <w:highlight w:val="none"/>
          <w:lang w:val="en-US" w:eastAsia="zh-CN"/>
        </w:rPr>
      </w:pPr>
    </w:p>
    <w:p w14:paraId="6A495BBA">
      <w:pPr>
        <w:autoSpaceDE w:val="0"/>
        <w:autoSpaceDN w:val="0"/>
        <w:adjustRightInd w:val="0"/>
        <w:snapToGrid w:val="0"/>
        <w:spacing w:line="360" w:lineRule="auto"/>
        <w:ind w:firstLine="840" w:firstLineChars="300"/>
        <w:jc w:val="left"/>
        <w:rPr>
          <w:rFonts w:hint="eastAsia" w:ascii="仿宋" w:hAnsi="仿宋" w:eastAsia="仿宋" w:cs="仿宋"/>
          <w:color w:val="000000"/>
          <w:kern w:val="0"/>
          <w:sz w:val="28"/>
          <w:szCs w:val="28"/>
          <w:highlight w:val="none"/>
          <w:lang w:val="en-US" w:eastAsia="zh-CN"/>
        </w:rPr>
      </w:pPr>
    </w:p>
    <w:p w14:paraId="13BB3BC6">
      <w:pPr>
        <w:autoSpaceDE w:val="0"/>
        <w:autoSpaceDN w:val="0"/>
        <w:adjustRightInd w:val="0"/>
        <w:snapToGrid w:val="0"/>
        <w:spacing w:line="360" w:lineRule="auto"/>
        <w:ind w:firstLine="840" w:firstLineChars="300"/>
        <w:jc w:val="left"/>
        <w:rPr>
          <w:rFonts w:hint="eastAsia" w:ascii="仿宋" w:hAnsi="仿宋" w:eastAsia="仿宋" w:cs="仿宋"/>
          <w:color w:val="000000"/>
          <w:kern w:val="0"/>
          <w:sz w:val="28"/>
          <w:szCs w:val="28"/>
          <w:highlight w:val="none"/>
          <w:lang w:val="en-US" w:eastAsia="zh-CN"/>
        </w:rPr>
      </w:pPr>
    </w:p>
    <w:p w14:paraId="0F14939A">
      <w:pPr>
        <w:autoSpaceDE w:val="0"/>
        <w:autoSpaceDN w:val="0"/>
        <w:adjustRightInd w:val="0"/>
        <w:snapToGrid w:val="0"/>
        <w:spacing w:line="360" w:lineRule="auto"/>
        <w:ind w:firstLine="840" w:firstLineChars="300"/>
        <w:jc w:val="left"/>
        <w:rPr>
          <w:rFonts w:hint="eastAsia" w:ascii="仿宋" w:hAnsi="仿宋" w:eastAsia="仿宋" w:cs="仿宋"/>
          <w:color w:val="000000"/>
          <w:kern w:val="0"/>
          <w:sz w:val="28"/>
          <w:szCs w:val="28"/>
          <w:highlight w:val="none"/>
          <w:lang w:val="en-US" w:eastAsia="zh-CN"/>
        </w:rPr>
      </w:pPr>
    </w:p>
    <w:p w14:paraId="74B15A16"/>
    <w:bookmarkEnd w:id="5"/>
    <w:bookmarkEnd w:id="6"/>
    <w:bookmarkEnd w:id="7"/>
    <w:p w14:paraId="644920B7">
      <w:pPr>
        <w:pStyle w:val="7"/>
      </w:pPr>
    </w:p>
    <w:p w14:paraId="1EE705E4">
      <w:pPr>
        <w:pStyle w:val="16"/>
        <w:ind w:left="420"/>
      </w:pPr>
      <w:bookmarkStart w:id="46" w:name="_Toc500420293"/>
      <w:bookmarkStart w:id="47" w:name="_Toc500420375"/>
      <w:r>
        <w:rPr>
          <w:rFonts w:hint="eastAsia"/>
          <w:lang w:val="en-US" w:eastAsia="zh-CN"/>
        </w:rPr>
        <w:t>技术要求</w:t>
      </w:r>
    </w:p>
    <w:p w14:paraId="43A10F3B">
      <w:pPr>
        <w:pStyle w:val="3"/>
        <w:numPr>
          <w:ilvl w:val="0"/>
          <w:numId w:val="0"/>
        </w:numPr>
        <w:spacing w:before="0" w:beforeLines="0" w:line="360" w:lineRule="auto"/>
        <w:ind w:left="0" w:leftChars="0" w:firstLine="562" w:firstLineChars="200"/>
        <w:rPr>
          <w:rFonts w:hint="eastAsia" w:eastAsia="宋体"/>
          <w:sz w:val="22"/>
          <w:szCs w:val="22"/>
          <w:lang w:eastAsia="zh-CN"/>
        </w:rPr>
      </w:pPr>
      <w:bookmarkStart w:id="48" w:name="_Toc32438"/>
      <w:bookmarkStart w:id="49" w:name="_Toc11209"/>
      <w:bookmarkStart w:id="50" w:name="_Toc12948"/>
      <w:bookmarkStart w:id="51" w:name="_Toc29707"/>
      <w:r>
        <w:rPr>
          <w:rFonts w:hint="eastAsia"/>
          <w:sz w:val="28"/>
          <w:szCs w:val="28"/>
          <w:lang w:val="en-US" w:eastAsia="zh-CN"/>
        </w:rPr>
        <w:t>2</w:t>
      </w:r>
      <w:r>
        <w:rPr>
          <w:rFonts w:hint="eastAsia"/>
          <w:sz w:val="28"/>
          <w:szCs w:val="28"/>
        </w:rPr>
        <w:t>.1项目</w:t>
      </w:r>
      <w:bookmarkEnd w:id="48"/>
      <w:bookmarkEnd w:id="49"/>
      <w:bookmarkEnd w:id="50"/>
      <w:bookmarkEnd w:id="51"/>
      <w:r>
        <w:rPr>
          <w:rFonts w:hint="eastAsia"/>
          <w:sz w:val="28"/>
          <w:szCs w:val="28"/>
          <w:lang w:val="en-US" w:eastAsia="zh-CN"/>
        </w:rPr>
        <w:t>名称</w:t>
      </w:r>
    </w:p>
    <w:p w14:paraId="1F426186">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highlight w:val="none"/>
          <w:lang w:val="en-US" w:eastAsia="zh-CN"/>
        </w:rPr>
        <w:t>中国重汽集团济南特种车公司2026年</w:t>
      </w:r>
      <w:r>
        <w:rPr>
          <w:rFonts w:hint="eastAsia" w:ascii="宋体" w:hAnsi="宋体" w:cs="宋体"/>
          <w:color w:val="000000"/>
          <w:sz w:val="24"/>
          <w:szCs w:val="24"/>
        </w:rPr>
        <w:t>商品车</w:t>
      </w:r>
      <w:r>
        <w:rPr>
          <w:rFonts w:hint="eastAsia" w:ascii="宋体" w:hAnsi="宋体" w:cs="宋体"/>
          <w:color w:val="000000"/>
          <w:sz w:val="24"/>
          <w:szCs w:val="24"/>
          <w:lang w:val="en-US" w:eastAsia="zh-CN"/>
        </w:rPr>
        <w:t>仓储服务项目</w:t>
      </w:r>
      <w:r>
        <w:rPr>
          <w:rFonts w:hint="eastAsia" w:ascii="宋体" w:hAnsi="宋体" w:cs="宋体"/>
          <w:color w:val="000000"/>
          <w:sz w:val="24"/>
          <w:szCs w:val="24"/>
        </w:rPr>
        <w:t>。</w:t>
      </w:r>
    </w:p>
    <w:p w14:paraId="21EADD23">
      <w:pPr>
        <w:pStyle w:val="3"/>
        <w:numPr>
          <w:ilvl w:val="0"/>
          <w:numId w:val="0"/>
        </w:numPr>
        <w:spacing w:before="120" w:line="360" w:lineRule="auto"/>
        <w:ind w:left="0" w:leftChars="0" w:firstLine="562" w:firstLineChars="200"/>
        <w:rPr>
          <w:rFonts w:hint="eastAsia"/>
          <w:sz w:val="28"/>
          <w:szCs w:val="28"/>
        </w:rPr>
      </w:pPr>
      <w:bookmarkStart w:id="52" w:name="_Toc9825"/>
      <w:bookmarkStart w:id="53" w:name="_Toc13864"/>
      <w:bookmarkStart w:id="54" w:name="_Toc30575"/>
      <w:bookmarkStart w:id="55" w:name="_Toc32191"/>
      <w:r>
        <w:rPr>
          <w:rFonts w:hint="eastAsia"/>
          <w:sz w:val="28"/>
          <w:szCs w:val="28"/>
          <w:lang w:val="en-US" w:eastAsia="zh-CN"/>
        </w:rPr>
        <w:t>2</w:t>
      </w:r>
      <w:r>
        <w:rPr>
          <w:rFonts w:hint="eastAsia"/>
          <w:sz w:val="28"/>
          <w:szCs w:val="28"/>
        </w:rPr>
        <w:t>.2</w:t>
      </w:r>
      <w:bookmarkEnd w:id="52"/>
      <w:bookmarkEnd w:id="53"/>
      <w:bookmarkEnd w:id="54"/>
      <w:bookmarkEnd w:id="55"/>
      <w:r>
        <w:rPr>
          <w:rFonts w:hint="eastAsia"/>
          <w:sz w:val="28"/>
          <w:szCs w:val="28"/>
        </w:rPr>
        <w:t>项目主要工作内容及仓储量</w:t>
      </w:r>
    </w:p>
    <w:tbl>
      <w:tblPr>
        <w:tblStyle w:val="17"/>
        <w:tblpPr w:leftFromText="180" w:rightFromText="180" w:vertAnchor="text" w:horzAnchor="page" w:tblpX="2022" w:tblpY="717"/>
        <w:tblOverlap w:val="never"/>
        <w:tblW w:w="86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83"/>
        <w:gridCol w:w="1536"/>
        <w:gridCol w:w="1536"/>
      </w:tblGrid>
      <w:tr w14:paraId="075AF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5583" w:type="dxa"/>
            <w:vAlign w:val="center"/>
          </w:tcPr>
          <w:p w14:paraId="7459F094">
            <w:pPr>
              <w:widowControl/>
              <w:jc w:val="center"/>
              <w:rPr>
                <w:rFonts w:ascii="仿宋" w:hAnsi="仿宋" w:eastAsia="仿宋" w:cs="仿宋"/>
                <w:color w:val="000000"/>
                <w:kern w:val="0"/>
                <w:sz w:val="24"/>
                <w:highlight w:val="none"/>
              </w:rPr>
            </w:pPr>
            <w:r>
              <w:rPr>
                <w:rFonts w:hint="eastAsia" w:ascii="仿宋" w:hAnsi="仿宋" w:eastAsia="仿宋" w:cs="仿宋"/>
                <w:color w:val="000000"/>
                <w:kern w:val="0"/>
                <w:sz w:val="24"/>
                <w:highlight w:val="none"/>
              </w:rPr>
              <w:t>工作内容</w:t>
            </w:r>
          </w:p>
        </w:tc>
        <w:tc>
          <w:tcPr>
            <w:tcW w:w="1536" w:type="dxa"/>
            <w:vAlign w:val="center"/>
          </w:tcPr>
          <w:p w14:paraId="062D52AC">
            <w:pPr>
              <w:widowControl/>
              <w:jc w:val="center"/>
              <w:rPr>
                <w:rFonts w:ascii="仿宋" w:hAnsi="仿宋" w:eastAsia="仿宋" w:cs="仿宋"/>
                <w:color w:val="000000"/>
                <w:kern w:val="0"/>
                <w:sz w:val="24"/>
                <w:highlight w:val="none"/>
              </w:rPr>
            </w:pPr>
            <w:r>
              <w:rPr>
                <w:rFonts w:hint="eastAsia" w:ascii="仿宋" w:hAnsi="仿宋" w:eastAsia="仿宋" w:cs="仿宋"/>
                <w:color w:val="000000"/>
                <w:kern w:val="0"/>
                <w:sz w:val="24"/>
                <w:highlight w:val="none"/>
              </w:rPr>
              <w:t>预计仓储量（辆）</w:t>
            </w:r>
          </w:p>
        </w:tc>
        <w:tc>
          <w:tcPr>
            <w:tcW w:w="1536" w:type="dxa"/>
            <w:vAlign w:val="center"/>
          </w:tcPr>
          <w:p w14:paraId="4ADEC8DA">
            <w:pPr>
              <w:widowControl/>
              <w:jc w:val="center"/>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天数</w:t>
            </w:r>
          </w:p>
        </w:tc>
      </w:tr>
      <w:tr w14:paraId="596DA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5583" w:type="dxa"/>
            <w:vAlign w:val="center"/>
          </w:tcPr>
          <w:p w14:paraId="72344EFF">
            <w:pPr>
              <w:widowControl/>
              <w:rPr>
                <w:rFonts w:ascii="仿宋" w:hAnsi="仿宋" w:eastAsia="仿宋" w:cs="仿宋"/>
                <w:color w:val="000000"/>
                <w:kern w:val="0"/>
                <w:sz w:val="24"/>
                <w:highlight w:val="none"/>
              </w:rPr>
            </w:pPr>
            <w:r>
              <w:rPr>
                <w:rFonts w:hint="eastAsia" w:ascii="宋体" w:hAnsi="宋体" w:eastAsia="宋体" w:cs="宋体"/>
                <w:b w:val="0"/>
                <w:bCs w:val="0"/>
                <w:color w:val="000000"/>
                <w:kern w:val="2"/>
                <w:sz w:val="21"/>
                <w:szCs w:val="21"/>
                <w:lang w:val="en-US" w:eastAsia="zh-CN" w:bidi="ar-SA"/>
              </w:rPr>
              <w:t>商品车入库检查、</w:t>
            </w:r>
            <w:r>
              <w:rPr>
                <w:rFonts w:hint="eastAsia" w:ascii="宋体" w:hAnsi="宋体" w:cs="宋体"/>
                <w:b w:val="0"/>
                <w:bCs w:val="0"/>
                <w:color w:val="000000"/>
                <w:kern w:val="2"/>
                <w:sz w:val="21"/>
                <w:szCs w:val="21"/>
                <w:lang w:val="en-US" w:eastAsia="zh-CN" w:bidi="ar-SA"/>
              </w:rPr>
              <w:t>商品车</w:t>
            </w:r>
            <w:r>
              <w:rPr>
                <w:rFonts w:hint="eastAsia" w:ascii="宋体" w:hAnsi="宋体" w:eastAsia="宋体" w:cs="宋体"/>
                <w:b w:val="0"/>
                <w:bCs w:val="0"/>
                <w:color w:val="000000"/>
                <w:kern w:val="2"/>
                <w:sz w:val="21"/>
                <w:szCs w:val="21"/>
                <w:lang w:val="en-US" w:eastAsia="zh-CN" w:bidi="ar-SA"/>
              </w:rPr>
              <w:t>仓储、</w:t>
            </w:r>
            <w:r>
              <w:rPr>
                <w:rFonts w:hint="eastAsia" w:ascii="宋体" w:hAnsi="宋体" w:cs="宋体"/>
                <w:b w:val="0"/>
                <w:bCs w:val="0"/>
                <w:color w:val="000000"/>
                <w:kern w:val="2"/>
                <w:sz w:val="21"/>
                <w:szCs w:val="21"/>
                <w:lang w:val="en-US" w:eastAsia="zh-CN" w:bidi="ar-SA"/>
              </w:rPr>
              <w:t>商品车发交及发交前检查</w:t>
            </w:r>
            <w:r>
              <w:rPr>
                <w:rFonts w:hint="eastAsia" w:ascii="宋体" w:hAnsi="宋体" w:eastAsia="宋体" w:cs="宋体"/>
                <w:b w:val="0"/>
                <w:bCs w:val="0"/>
                <w:color w:val="000000"/>
                <w:kern w:val="2"/>
                <w:sz w:val="21"/>
                <w:szCs w:val="21"/>
                <w:lang w:val="en-US" w:eastAsia="zh-CN" w:bidi="ar-SA"/>
              </w:rPr>
              <w:t>、</w:t>
            </w:r>
            <w:r>
              <w:rPr>
                <w:rFonts w:hint="eastAsia" w:ascii="宋体" w:hAnsi="宋体" w:cs="宋体"/>
                <w:b w:val="0"/>
                <w:bCs w:val="0"/>
                <w:color w:val="000000"/>
                <w:kern w:val="2"/>
                <w:sz w:val="21"/>
                <w:szCs w:val="21"/>
                <w:lang w:val="en-US" w:eastAsia="zh-CN" w:bidi="ar-SA"/>
              </w:rPr>
              <w:t>月度</w:t>
            </w:r>
            <w:r>
              <w:rPr>
                <w:rFonts w:hint="eastAsia" w:ascii="宋体" w:hAnsi="宋体" w:eastAsia="宋体" w:cs="宋体"/>
                <w:b w:val="0"/>
                <w:bCs w:val="0"/>
                <w:color w:val="000000"/>
                <w:kern w:val="2"/>
                <w:sz w:val="21"/>
                <w:szCs w:val="21"/>
                <w:lang w:val="en-US" w:eastAsia="zh-CN" w:bidi="ar-SA"/>
              </w:rPr>
              <w:t>盘库、</w:t>
            </w:r>
            <w:r>
              <w:rPr>
                <w:rFonts w:hint="eastAsia" w:ascii="宋体" w:hAnsi="宋体" w:cs="宋体"/>
                <w:b w:val="0"/>
                <w:bCs w:val="0"/>
                <w:color w:val="000000"/>
                <w:kern w:val="2"/>
                <w:sz w:val="21"/>
                <w:szCs w:val="21"/>
                <w:lang w:val="en-US" w:eastAsia="zh-CN" w:bidi="ar-SA"/>
              </w:rPr>
              <w:t>商品车维护</w:t>
            </w:r>
            <w:r>
              <w:rPr>
                <w:rFonts w:hint="eastAsia" w:ascii="宋体" w:hAnsi="宋体" w:eastAsia="宋体" w:cs="宋体"/>
                <w:b w:val="0"/>
                <w:bCs w:val="0"/>
                <w:color w:val="000000"/>
                <w:kern w:val="2"/>
                <w:sz w:val="21"/>
                <w:szCs w:val="21"/>
                <w:lang w:val="en-US" w:eastAsia="zh-CN" w:bidi="ar-SA"/>
              </w:rPr>
              <w:t>保养、</w:t>
            </w:r>
            <w:r>
              <w:rPr>
                <w:rFonts w:hint="eastAsia" w:ascii="宋体" w:hAnsi="宋体" w:cs="宋体"/>
                <w:b w:val="0"/>
                <w:bCs w:val="0"/>
                <w:color w:val="000000"/>
                <w:kern w:val="2"/>
                <w:sz w:val="21"/>
                <w:szCs w:val="21"/>
                <w:lang w:val="en-US" w:eastAsia="zh-CN" w:bidi="ar-SA"/>
              </w:rPr>
              <w:t>商品车</w:t>
            </w:r>
            <w:r>
              <w:rPr>
                <w:rFonts w:hint="eastAsia" w:ascii="宋体" w:hAnsi="宋体" w:eastAsia="宋体" w:cs="宋体"/>
                <w:b w:val="0"/>
                <w:bCs w:val="0"/>
                <w:color w:val="000000"/>
                <w:kern w:val="2"/>
                <w:sz w:val="21"/>
                <w:szCs w:val="21"/>
                <w:lang w:val="en-US" w:eastAsia="zh-CN" w:bidi="ar-SA"/>
              </w:rPr>
              <w:t>加油</w:t>
            </w:r>
            <w:r>
              <w:rPr>
                <w:rFonts w:hint="eastAsia" w:ascii="宋体" w:hAnsi="宋体" w:cs="宋体"/>
                <w:b w:val="0"/>
                <w:bCs w:val="0"/>
                <w:color w:val="000000"/>
                <w:kern w:val="2"/>
                <w:sz w:val="21"/>
                <w:szCs w:val="21"/>
                <w:lang w:val="en-US" w:eastAsia="zh-CN" w:bidi="ar-SA"/>
              </w:rPr>
              <w:t>、</w:t>
            </w:r>
            <w:r>
              <w:rPr>
                <w:rFonts w:hint="eastAsia" w:ascii="宋体" w:hAnsi="宋体" w:eastAsia="宋体" w:cs="宋体"/>
                <w:b w:val="0"/>
                <w:bCs w:val="0"/>
                <w:color w:val="000000"/>
                <w:kern w:val="2"/>
                <w:sz w:val="21"/>
                <w:szCs w:val="21"/>
                <w:lang w:val="en-US" w:eastAsia="zh-CN" w:bidi="ar-SA"/>
              </w:rPr>
              <w:t>安保消防等业务。</w:t>
            </w:r>
          </w:p>
        </w:tc>
        <w:tc>
          <w:tcPr>
            <w:tcW w:w="1536" w:type="dxa"/>
            <w:vAlign w:val="center"/>
          </w:tcPr>
          <w:p w14:paraId="0B56E9EC">
            <w:pPr>
              <w:widowControl/>
              <w:jc w:val="center"/>
              <w:rPr>
                <w:rFonts w:hint="default" w:ascii="仿宋" w:hAnsi="仿宋" w:eastAsia="仿宋" w:cs="仿宋"/>
                <w:color w:val="000000"/>
                <w:kern w:val="0"/>
                <w:sz w:val="24"/>
                <w:highlight w:val="none"/>
                <w:lang w:val="en-US"/>
              </w:rPr>
            </w:pPr>
            <w:r>
              <w:rPr>
                <w:rFonts w:hint="eastAsia" w:ascii="仿宋" w:hAnsi="仿宋" w:eastAsia="仿宋" w:cs="仿宋"/>
                <w:color w:val="000000"/>
                <w:kern w:val="0"/>
                <w:sz w:val="24"/>
                <w:highlight w:val="none"/>
                <w:lang w:val="en-US" w:eastAsia="zh-CN"/>
              </w:rPr>
              <w:t>9000</w:t>
            </w:r>
          </w:p>
        </w:tc>
        <w:tc>
          <w:tcPr>
            <w:tcW w:w="1536" w:type="dxa"/>
            <w:vAlign w:val="center"/>
          </w:tcPr>
          <w:p w14:paraId="45EFE902">
            <w:pPr>
              <w:widowControl/>
              <w:jc w:val="center"/>
              <w:rPr>
                <w:rFonts w:hint="default"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297000</w:t>
            </w:r>
          </w:p>
        </w:tc>
      </w:tr>
    </w:tbl>
    <w:p w14:paraId="6E54FD9C">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项目</w:t>
      </w:r>
      <w:r>
        <w:rPr>
          <w:rFonts w:hint="eastAsia" w:ascii="宋体" w:hAnsi="宋体" w:cs="宋体"/>
          <w:color w:val="000000"/>
          <w:sz w:val="24"/>
          <w:szCs w:val="24"/>
          <w:lang w:val="en-US" w:eastAsia="zh-CN"/>
        </w:rPr>
        <w:t>仓储数量统计为2025单年度预估数量</w:t>
      </w:r>
      <w:r>
        <w:rPr>
          <w:rFonts w:hint="eastAsia" w:ascii="宋体" w:hAnsi="宋体" w:cs="宋体"/>
          <w:color w:val="000000"/>
          <w:sz w:val="24"/>
          <w:szCs w:val="24"/>
        </w:rPr>
        <w:t>仅供参考，具体应以实际</w:t>
      </w:r>
      <w:r>
        <w:rPr>
          <w:rFonts w:hint="eastAsia" w:ascii="宋体" w:hAnsi="宋体" w:cs="宋体"/>
          <w:color w:val="000000"/>
          <w:sz w:val="24"/>
          <w:szCs w:val="24"/>
          <w:lang w:val="en-US" w:eastAsia="zh-CN"/>
        </w:rPr>
        <w:t>发生</w:t>
      </w:r>
      <w:r>
        <w:rPr>
          <w:rFonts w:hint="eastAsia" w:ascii="宋体" w:hAnsi="宋体" w:cs="宋体"/>
          <w:color w:val="000000"/>
          <w:sz w:val="24"/>
          <w:szCs w:val="24"/>
        </w:rPr>
        <w:t>数量为准：</w:t>
      </w:r>
    </w:p>
    <w:p w14:paraId="435E47C1">
      <w:pPr>
        <w:spacing w:line="360" w:lineRule="auto"/>
        <w:ind w:firstLine="480" w:firstLineChars="200"/>
        <w:rPr>
          <w:rFonts w:hint="default" w:ascii="宋体" w:hAnsi="宋体" w:cs="宋体"/>
          <w:color w:val="000000"/>
          <w:sz w:val="24"/>
          <w:szCs w:val="24"/>
          <w:lang w:val="en-US" w:eastAsia="zh-CN"/>
        </w:rPr>
      </w:pPr>
      <w:bookmarkStart w:id="56" w:name="_Toc18109"/>
      <w:r>
        <w:rPr>
          <w:rFonts w:hint="eastAsia" w:ascii="宋体" w:hAnsi="宋体" w:cs="宋体"/>
          <w:color w:val="000000"/>
          <w:sz w:val="24"/>
          <w:szCs w:val="24"/>
          <w:lang w:val="en-US" w:eastAsia="zh-CN"/>
        </w:rPr>
        <w:t>备注：此测算是在2025年4.08（含税）元/辆/天的基础上进行的。</w:t>
      </w:r>
    </w:p>
    <w:p w14:paraId="61EEAE44">
      <w:pPr>
        <w:pStyle w:val="3"/>
        <w:numPr>
          <w:ilvl w:val="0"/>
          <w:numId w:val="0"/>
        </w:numPr>
        <w:spacing w:before="120" w:line="360" w:lineRule="auto"/>
        <w:ind w:left="0" w:leftChars="0" w:firstLine="562" w:firstLineChars="200"/>
        <w:rPr>
          <w:rFonts w:hint="eastAsia"/>
          <w:sz w:val="28"/>
          <w:szCs w:val="28"/>
        </w:rPr>
      </w:pPr>
      <w:r>
        <w:rPr>
          <w:rFonts w:hint="eastAsia"/>
          <w:sz w:val="28"/>
          <w:szCs w:val="28"/>
          <w:lang w:val="en-US" w:eastAsia="zh-CN"/>
        </w:rPr>
        <w:t>2</w:t>
      </w:r>
      <w:r>
        <w:rPr>
          <w:rFonts w:hint="eastAsia"/>
          <w:sz w:val="28"/>
          <w:szCs w:val="28"/>
        </w:rPr>
        <w:t>.3</w:t>
      </w:r>
      <w:bookmarkEnd w:id="56"/>
      <w:r>
        <w:rPr>
          <w:rFonts w:hint="eastAsia"/>
          <w:sz w:val="28"/>
          <w:szCs w:val="28"/>
          <w:lang w:val="en-US" w:eastAsia="zh-CN"/>
        </w:rPr>
        <w:t>项目</w:t>
      </w:r>
      <w:r>
        <w:rPr>
          <w:rFonts w:hint="eastAsia"/>
          <w:sz w:val="28"/>
          <w:szCs w:val="28"/>
        </w:rPr>
        <w:t>服务要求</w:t>
      </w:r>
    </w:p>
    <w:p w14:paraId="6805B8C8">
      <w:pPr>
        <w:spacing w:line="360" w:lineRule="auto"/>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2.3.1中标人根据招标人指令满足24小时仓储商品车，保证及时完成入库、发交、调度仓储业务。</w:t>
      </w:r>
    </w:p>
    <w:p w14:paraId="34D163A5">
      <w:pPr>
        <w:spacing w:line="360" w:lineRule="auto"/>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2.3.2中标人应安排专人（不低于2人）在入库前做好商品车入库检查工作。</w:t>
      </w:r>
    </w:p>
    <w:p w14:paraId="3987E316">
      <w:pPr>
        <w:spacing w:line="360" w:lineRule="auto"/>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2.3.3中标人应安排专人（不低于4人）根据招标人指令进行商品车出入库、盘库、维护保养等工作。</w:t>
      </w:r>
    </w:p>
    <w:p w14:paraId="10107566">
      <w:pPr>
        <w:spacing w:line="360" w:lineRule="auto"/>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2.3.4中标人根据招标人指令及时完成商品车调度工作。</w:t>
      </w:r>
    </w:p>
    <w:p w14:paraId="64D04931">
      <w:pPr>
        <w:spacing w:line="360" w:lineRule="auto"/>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2.3.5中标人根据招标人商品车仓储数量要求，及时做好停车场面积调整，确保仓储场地满足招标人生产需求。</w:t>
      </w:r>
    </w:p>
    <w:p w14:paraId="63E94FB7">
      <w:pPr>
        <w:spacing w:line="360" w:lineRule="auto"/>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2.3.6中标人需免费为招标人提供满足招标人需求的办公场地、办公设备配备安装、网络设备设施配置以及后续可能增加的随车物料仓库、打码场地以及按照招标人要求完成打码设备安装等。</w:t>
      </w:r>
    </w:p>
    <w:p w14:paraId="4596C9DC">
      <w:pPr>
        <w:spacing w:line="360" w:lineRule="auto"/>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2.3.7中标人须具备一定的商品车仓储场地，且场地的无争议、无纠纷等情况，土地性质为非耕地。场地通道及门口能够保证商品车辆顺利通行（非招标方原因造成商品车进出受阻等问题，由投标方负责协调，发生以下包括且不限于村委、村民、企业、机构及政府部门对车辆正常进出限制，由投标方负责协调处理，积极消除影响。严重影响招标方生产任务，将视情况给予中标方5000-20000元考核）。</w:t>
      </w:r>
    </w:p>
    <w:p w14:paraId="755888EA">
      <w:pPr>
        <w:spacing w:line="360" w:lineRule="auto"/>
        <w:ind w:firstLine="480" w:firstLineChars="200"/>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2.3.8 中标人按招标人要求缴纳履约保证金，履约保证金为人民币150万元，合同到期后，经招标方付款流程完成后，无息返还。如为特种车签约单位，履约保证金账户里达到150万的，可免交该项目保证金。</w:t>
      </w:r>
    </w:p>
    <w:bookmarkEnd w:id="46"/>
    <w:bookmarkEnd w:id="47"/>
    <w:p w14:paraId="3A1298CC">
      <w:pPr>
        <w:widowControl/>
        <w:spacing w:line="500" w:lineRule="exact"/>
        <w:ind w:firstLine="420" w:firstLineChars="200"/>
        <w:jc w:val="left"/>
        <w:rPr>
          <w:rFonts w:hint="default"/>
          <w:lang w:val="en-US" w:eastAsia="zh-CN"/>
        </w:rPr>
      </w:pPr>
    </w:p>
    <w:p w14:paraId="56AD9249">
      <w:pPr>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br w:type="page"/>
      </w:r>
    </w:p>
    <w:p w14:paraId="7853446D">
      <w:pPr>
        <w:spacing w:line="360" w:lineRule="auto"/>
        <w:rPr>
          <w:rFonts w:hint="eastAsia" w:ascii="宋体" w:hAnsi="宋体" w:cs="宋体"/>
          <w:b/>
          <w:bCs/>
          <w:color w:val="000000"/>
          <w:sz w:val="24"/>
          <w:szCs w:val="24"/>
          <w:highlight w:val="none"/>
          <w:lang w:val="en-US" w:eastAsia="zh-CN"/>
        </w:rPr>
      </w:pPr>
      <w:r>
        <w:rPr>
          <w:rFonts w:hint="eastAsia" w:ascii="宋体" w:hAnsi="宋体" w:cs="宋体"/>
          <w:color w:val="000000"/>
          <w:sz w:val="24"/>
          <w:szCs w:val="24"/>
          <w:highlight w:val="none"/>
          <w:lang w:val="en-US" w:eastAsia="zh-CN"/>
        </w:rPr>
        <w:t>附件1：</w:t>
      </w:r>
      <w:r>
        <w:rPr>
          <w:rFonts w:hint="eastAsia" w:ascii="宋体" w:hAnsi="宋体" w:cs="宋体"/>
          <w:b/>
          <w:bCs/>
          <w:color w:val="000000"/>
          <w:sz w:val="24"/>
          <w:szCs w:val="24"/>
          <w:highlight w:val="none"/>
          <w:lang w:val="en-US" w:eastAsia="zh-CN"/>
        </w:rPr>
        <w:t>仓储及时性及仓储质量保证承诺书</w:t>
      </w:r>
    </w:p>
    <w:p w14:paraId="7F10C313">
      <w:pPr>
        <w:jc w:val="center"/>
        <w:rPr>
          <w:rFonts w:hint="eastAsia" w:ascii="仿宋" w:hAnsi="仿宋" w:eastAsia="仿宋" w:cs="仿宋"/>
          <w:b/>
          <w:bCs/>
          <w:sz w:val="40"/>
          <w:szCs w:val="40"/>
          <w:highlight w:val="none"/>
        </w:rPr>
      </w:pPr>
    </w:p>
    <w:p w14:paraId="00A336C3">
      <w:pPr>
        <w:jc w:val="center"/>
        <w:rPr>
          <w:rFonts w:hint="eastAsia" w:ascii="仿宋" w:hAnsi="仿宋" w:eastAsia="仿宋" w:cs="仿宋"/>
          <w:b/>
          <w:bCs/>
          <w:sz w:val="40"/>
          <w:szCs w:val="40"/>
          <w:highlight w:val="none"/>
        </w:rPr>
      </w:pPr>
    </w:p>
    <w:p w14:paraId="483C9D47">
      <w:pPr>
        <w:jc w:val="center"/>
        <w:rPr>
          <w:rFonts w:ascii="仿宋" w:hAnsi="仿宋" w:eastAsia="仿宋" w:cs="仿宋"/>
          <w:b/>
          <w:bCs/>
          <w:sz w:val="40"/>
          <w:szCs w:val="40"/>
          <w:highlight w:val="none"/>
        </w:rPr>
      </w:pPr>
      <w:r>
        <w:rPr>
          <w:rFonts w:hint="eastAsia" w:ascii="仿宋" w:hAnsi="仿宋" w:eastAsia="仿宋" w:cs="仿宋"/>
          <w:b/>
          <w:bCs/>
          <w:sz w:val="40"/>
          <w:szCs w:val="40"/>
          <w:highlight w:val="none"/>
        </w:rPr>
        <w:t>承诺书</w:t>
      </w:r>
    </w:p>
    <w:p w14:paraId="71AC81D1">
      <w:pPr>
        <w:rPr>
          <w:rFonts w:hint="eastAsia" w:ascii="仿宋" w:hAnsi="仿宋" w:eastAsia="仿宋" w:cs="仿宋"/>
          <w:sz w:val="28"/>
          <w:szCs w:val="28"/>
          <w:highlight w:val="none"/>
        </w:rPr>
      </w:pPr>
      <w:r>
        <w:rPr>
          <w:rFonts w:hint="eastAsia" w:ascii="仿宋" w:hAnsi="仿宋" w:eastAsia="仿宋" w:cs="仿宋"/>
          <w:sz w:val="28"/>
          <w:szCs w:val="28"/>
          <w:highlight w:val="none"/>
        </w:rPr>
        <w:t>致中国重汽集团济南特种车有限公司：</w:t>
      </w:r>
    </w:p>
    <w:p w14:paraId="5F9AE467">
      <w:pPr>
        <w:rPr>
          <w:rFonts w:hint="eastAsia" w:ascii="仿宋" w:hAnsi="仿宋" w:eastAsia="仿宋" w:cs="仿宋"/>
          <w:sz w:val="28"/>
          <w:szCs w:val="28"/>
          <w:highlight w:val="none"/>
        </w:rPr>
      </w:pPr>
      <w:r>
        <w:rPr>
          <w:rFonts w:hint="eastAsia" w:ascii="仿宋" w:hAnsi="仿宋" w:eastAsia="仿宋" w:cs="仿宋"/>
          <w:sz w:val="28"/>
          <w:szCs w:val="28"/>
          <w:highlight w:val="none"/>
        </w:rPr>
        <w:t>根据贵方为特种车公司</w:t>
      </w:r>
      <w:r>
        <w:rPr>
          <w:rFonts w:hint="eastAsia" w:ascii="仿宋" w:hAnsi="仿宋" w:eastAsia="仿宋" w:cs="仿宋"/>
          <w:sz w:val="28"/>
          <w:szCs w:val="28"/>
          <w:highlight w:val="none"/>
          <w:lang w:val="en-US" w:eastAsia="zh-CN"/>
        </w:rPr>
        <w:t>2026年</w:t>
      </w:r>
      <w:r>
        <w:rPr>
          <w:rFonts w:hint="eastAsia" w:ascii="仿宋" w:hAnsi="仿宋" w:eastAsia="仿宋" w:cs="仿宋"/>
          <w:sz w:val="28"/>
          <w:szCs w:val="28"/>
          <w:highlight w:val="none"/>
          <w:lang w:eastAsia="zh-CN"/>
        </w:rPr>
        <w:t>商品车</w:t>
      </w:r>
      <w:r>
        <w:rPr>
          <w:rFonts w:hint="eastAsia" w:ascii="仿宋" w:hAnsi="仿宋" w:eastAsia="仿宋" w:cs="仿宋"/>
          <w:sz w:val="28"/>
          <w:szCs w:val="28"/>
          <w:highlight w:val="none"/>
          <w:lang w:val="en-US" w:eastAsia="zh-CN"/>
        </w:rPr>
        <w:t>仓储服务</w:t>
      </w:r>
      <w:r>
        <w:rPr>
          <w:rFonts w:hint="eastAsia" w:ascii="仿宋" w:hAnsi="仿宋" w:eastAsia="仿宋" w:cs="仿宋"/>
          <w:sz w:val="28"/>
          <w:szCs w:val="28"/>
          <w:highlight w:val="none"/>
          <w:lang w:eastAsia="zh-CN"/>
        </w:rPr>
        <w:t>项目</w:t>
      </w:r>
      <w:r>
        <w:rPr>
          <w:rFonts w:hint="eastAsia" w:ascii="仿宋" w:hAnsi="仿宋" w:eastAsia="仿宋" w:cs="仿宋"/>
          <w:sz w:val="28"/>
          <w:szCs w:val="28"/>
          <w:highlight w:val="none"/>
        </w:rPr>
        <w:t>招标相关仓储业务的投标邀请，签字代表（全名、职务）           经正式授权并代表投标人（投标人名称、地址）              做如下承诺：</w:t>
      </w:r>
    </w:p>
    <w:p w14:paraId="5EEEA383">
      <w:pPr>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投标人承诺：生产大月或待入、待发车辆数量较多或节假日期间，投标人能够按招标人要求保质保量按时完成车辆仓储、发交。</w:t>
      </w:r>
    </w:p>
    <w:p w14:paraId="03F5DA9A">
      <w:pPr>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投标人对期间所出现的、未能履行上述承诺的行为愿意接受一切处罚。</w:t>
      </w:r>
    </w:p>
    <w:p w14:paraId="4B04F4EA">
      <w:pPr>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3、</w:t>
      </w:r>
      <w:r>
        <w:rPr>
          <w:rFonts w:hint="eastAsia" w:ascii="仿宋" w:hAnsi="仿宋" w:eastAsia="仿宋" w:cs="仿宋"/>
          <w:sz w:val="28"/>
          <w:szCs w:val="28"/>
          <w:highlight w:val="none"/>
        </w:rPr>
        <w:t>投标人将按招标文件的规定履行合同责任和义务,按约定缴纳履约保证金。</w:t>
      </w:r>
    </w:p>
    <w:p w14:paraId="33AB0A29">
      <w:pPr>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投标人已详细审查全部招标文件，包括修改文件（如有的话）以及全部参考资料和有关附件，我们完全理解并同意放弃对这方面有不明及误解的权利。</w:t>
      </w:r>
    </w:p>
    <w:p w14:paraId="465C7C55">
      <w:pPr>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投标有效期：自投标截止之日起至合同签署日一直有效。</w:t>
      </w:r>
    </w:p>
    <w:p w14:paraId="5D42F78D">
      <w:pPr>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投标人同意提供贵方要求的可能与投标有关的一切数据和资料，完全理解贵方不一定要接受最低价的投标或收到的任何投标。</w:t>
      </w:r>
    </w:p>
    <w:p w14:paraId="3C699765">
      <w:pPr>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rPr>
        <w:t>投标人承诺所提供的所有数据和资料均真实有效，如存在虚报情况，投标人愿为此承担一切法律责任，并主动退出本项目竞标。如投标人中标后，被招标人查出资料有虚假情况，投标人承诺立即终止合同，招标人可无条件扣除全部履约保证金，并承担一切法律责任。</w:t>
      </w:r>
    </w:p>
    <w:p w14:paraId="5E79AF6E">
      <w:pPr>
        <w:rPr>
          <w:rFonts w:hint="eastAsia" w:ascii="仿宋" w:hAnsi="仿宋" w:eastAsia="仿宋" w:cs="仿宋"/>
          <w:sz w:val="28"/>
          <w:szCs w:val="28"/>
          <w:highlight w:val="none"/>
        </w:rPr>
      </w:pPr>
      <w:r>
        <w:rPr>
          <w:rFonts w:hint="eastAsia" w:ascii="仿宋" w:hAnsi="仿宋" w:eastAsia="仿宋" w:cs="仿宋"/>
          <w:sz w:val="28"/>
          <w:szCs w:val="28"/>
          <w:highlight w:val="none"/>
        </w:rPr>
        <w:t>与本投标有关的一切正式往来通讯请寄：</w:t>
      </w:r>
    </w:p>
    <w:p w14:paraId="5662068B">
      <w:pPr>
        <w:rPr>
          <w:rFonts w:hint="eastAsia" w:ascii="仿宋" w:hAnsi="仿宋" w:eastAsia="仿宋" w:cs="仿宋"/>
          <w:sz w:val="28"/>
          <w:szCs w:val="28"/>
          <w:highlight w:val="none"/>
        </w:rPr>
      </w:pPr>
      <w:r>
        <w:rPr>
          <w:rFonts w:hint="eastAsia" w:ascii="仿宋" w:hAnsi="仿宋" w:eastAsia="仿宋" w:cs="仿宋"/>
          <w:sz w:val="28"/>
          <w:szCs w:val="28"/>
          <w:highlight w:val="none"/>
        </w:rPr>
        <w:t>地址：                                   邮编：</w:t>
      </w:r>
    </w:p>
    <w:p w14:paraId="62E7F047">
      <w:pPr>
        <w:rPr>
          <w:rFonts w:hint="eastAsia" w:ascii="仿宋" w:hAnsi="仿宋" w:eastAsia="仿宋" w:cs="仿宋"/>
          <w:sz w:val="28"/>
          <w:szCs w:val="28"/>
          <w:highlight w:val="none"/>
        </w:rPr>
      </w:pPr>
      <w:r>
        <w:rPr>
          <w:rFonts w:hint="eastAsia" w:ascii="仿宋" w:hAnsi="仿宋" w:eastAsia="仿宋" w:cs="仿宋"/>
          <w:sz w:val="28"/>
          <w:szCs w:val="28"/>
          <w:highlight w:val="none"/>
        </w:rPr>
        <w:t>电话：                                   传真：</w:t>
      </w:r>
    </w:p>
    <w:p w14:paraId="72A0ACC8">
      <w:pPr>
        <w:rPr>
          <w:rFonts w:hint="eastAsia" w:ascii="仿宋" w:hAnsi="仿宋" w:eastAsia="仿宋" w:cs="仿宋"/>
          <w:sz w:val="28"/>
          <w:szCs w:val="28"/>
          <w:highlight w:val="none"/>
        </w:rPr>
      </w:pPr>
    </w:p>
    <w:p w14:paraId="0846069D">
      <w:pPr>
        <w:rPr>
          <w:rFonts w:hint="eastAsia" w:ascii="仿宋" w:hAnsi="仿宋" w:eastAsia="仿宋" w:cs="仿宋"/>
          <w:sz w:val="28"/>
          <w:szCs w:val="28"/>
          <w:highlight w:val="none"/>
        </w:rPr>
      </w:pPr>
    </w:p>
    <w:p w14:paraId="05290AD6">
      <w:pPr>
        <w:rPr>
          <w:rFonts w:hint="eastAsia" w:ascii="仿宋" w:hAnsi="仿宋" w:eastAsia="仿宋" w:cs="仿宋"/>
          <w:sz w:val="28"/>
          <w:szCs w:val="28"/>
          <w:highlight w:val="none"/>
        </w:rPr>
      </w:pPr>
      <w:r>
        <w:rPr>
          <w:rFonts w:hint="eastAsia" w:ascii="仿宋" w:hAnsi="仿宋" w:eastAsia="仿宋" w:cs="仿宋"/>
          <w:sz w:val="28"/>
          <w:szCs w:val="28"/>
          <w:highlight w:val="none"/>
        </w:rPr>
        <w:t>投标人授权代表签字：                 职务：                 日期：</w:t>
      </w:r>
    </w:p>
    <w:p w14:paraId="6AA94064">
      <w:pPr>
        <w:rPr>
          <w:rFonts w:hint="eastAsia" w:ascii="仿宋" w:hAnsi="仿宋" w:eastAsia="仿宋" w:cs="仿宋"/>
          <w:sz w:val="28"/>
          <w:szCs w:val="28"/>
          <w:highlight w:val="none"/>
        </w:rPr>
      </w:pPr>
      <w:r>
        <w:rPr>
          <w:rFonts w:hint="eastAsia" w:ascii="仿宋" w:hAnsi="仿宋" w:eastAsia="仿宋" w:cs="仿宋"/>
          <w:sz w:val="28"/>
          <w:szCs w:val="28"/>
          <w:highlight w:val="none"/>
        </w:rPr>
        <w:t>投标人授权代表姓名、职务：</w:t>
      </w:r>
    </w:p>
    <w:p w14:paraId="7282D7FF">
      <w:pPr>
        <w:rPr>
          <w:rFonts w:hint="eastAsia" w:ascii="仿宋" w:hAnsi="仿宋" w:eastAsia="仿宋" w:cs="仿宋"/>
          <w:sz w:val="28"/>
          <w:szCs w:val="28"/>
          <w:highlight w:val="none"/>
        </w:rPr>
      </w:pPr>
      <w:r>
        <w:rPr>
          <w:rFonts w:hint="eastAsia" w:ascii="仿宋" w:hAnsi="仿宋" w:eastAsia="仿宋" w:cs="仿宋"/>
          <w:sz w:val="28"/>
          <w:szCs w:val="28"/>
          <w:highlight w:val="none"/>
        </w:rPr>
        <w:t>投标人名称（及公章）：</w:t>
      </w:r>
    </w:p>
    <w:p w14:paraId="090B3877">
      <w:pPr>
        <w:rPr>
          <w:rFonts w:hint="eastAsia" w:ascii="仿宋" w:hAnsi="仿宋" w:eastAsia="仿宋" w:cs="仿宋"/>
          <w:sz w:val="28"/>
          <w:szCs w:val="28"/>
          <w:highlight w:val="none"/>
        </w:rPr>
      </w:pPr>
      <w:r>
        <w:rPr>
          <w:rFonts w:hint="eastAsia" w:ascii="仿宋" w:hAnsi="仿宋" w:eastAsia="仿宋" w:cs="仿宋"/>
          <w:sz w:val="28"/>
          <w:szCs w:val="28"/>
          <w:highlight w:val="none"/>
        </w:rPr>
        <w:t>日期：        年       月       日</w:t>
      </w:r>
    </w:p>
    <w:p w14:paraId="4008DD26">
      <w:pPr>
        <w:rPr>
          <w:rFonts w:hint="eastAsia" w:ascii="宋体" w:hAnsi="宋体" w:eastAsia="宋体" w:cs="宋体"/>
          <w:b w:val="0"/>
          <w:bCs w:val="0"/>
          <w:color w:val="000000"/>
          <w:kern w:val="2"/>
          <w:sz w:val="36"/>
          <w:szCs w:val="36"/>
          <w:lang w:val="en-US" w:eastAsia="zh-CN" w:bidi="ar-SA"/>
        </w:rPr>
      </w:pPr>
      <w:r>
        <w:rPr>
          <w:rFonts w:hint="eastAsia" w:ascii="宋体" w:hAnsi="宋体" w:eastAsia="宋体" w:cs="宋体"/>
          <w:b w:val="0"/>
          <w:bCs w:val="0"/>
          <w:color w:val="000000"/>
          <w:kern w:val="2"/>
          <w:sz w:val="36"/>
          <w:szCs w:val="36"/>
          <w:lang w:val="en-US" w:eastAsia="zh-CN" w:bidi="ar-SA"/>
        </w:rPr>
        <w:br w:type="page"/>
      </w:r>
    </w:p>
    <w:p w14:paraId="02519CE9">
      <w:pPr>
        <w:jc w:val="both"/>
        <w:rPr>
          <w:rFonts w:hint="eastAsia" w:ascii="宋体" w:hAnsi="宋体" w:eastAsia="宋体" w:cs="宋体"/>
          <w:b w:val="0"/>
          <w:bCs w:val="0"/>
          <w:color w:val="000000"/>
          <w:kern w:val="2"/>
          <w:sz w:val="36"/>
          <w:szCs w:val="36"/>
          <w:lang w:val="en-US" w:eastAsia="zh-CN" w:bidi="ar-SA"/>
        </w:rPr>
      </w:pPr>
    </w:p>
    <w:p w14:paraId="7CAB451D">
      <w:pPr>
        <w:spacing w:line="360" w:lineRule="auto"/>
        <w:ind w:firstLine="480" w:firstLineChars="200"/>
        <w:jc w:val="both"/>
        <w:rPr>
          <w:rFonts w:hint="default" w:ascii="宋体" w:hAnsi="宋体" w:cs="宋体"/>
          <w:b/>
          <w:bCs/>
          <w:color w:val="000000"/>
          <w:sz w:val="24"/>
          <w:szCs w:val="24"/>
          <w:highlight w:val="none"/>
          <w:lang w:val="en-US" w:eastAsia="zh-CN"/>
        </w:rPr>
      </w:pPr>
      <w:r>
        <w:rPr>
          <w:rFonts w:hint="eastAsia" w:ascii="宋体" w:hAnsi="宋体" w:cs="宋体"/>
          <w:color w:val="000000"/>
          <w:sz w:val="24"/>
          <w:szCs w:val="24"/>
          <w:highlight w:val="none"/>
          <w:lang w:val="en-US" w:eastAsia="zh-CN"/>
        </w:rPr>
        <w:t>附件2：</w:t>
      </w:r>
      <w:r>
        <w:rPr>
          <w:rFonts w:hint="eastAsia" w:ascii="宋体" w:hAnsi="宋体" w:cs="宋体"/>
          <w:b/>
          <w:bCs/>
          <w:color w:val="000000"/>
          <w:sz w:val="24"/>
          <w:szCs w:val="24"/>
          <w:highlight w:val="none"/>
          <w:lang w:val="en-US" w:eastAsia="zh-CN"/>
        </w:rPr>
        <w:t>法人授权委托书</w:t>
      </w:r>
    </w:p>
    <w:p w14:paraId="7267E18D">
      <w:pPr>
        <w:jc w:val="center"/>
        <w:rPr>
          <w:rFonts w:hint="eastAsia" w:ascii="宋体" w:hAnsi="宋体" w:eastAsia="宋体" w:cs="宋体"/>
          <w:b w:val="0"/>
          <w:bCs w:val="0"/>
          <w:color w:val="000000"/>
          <w:kern w:val="2"/>
          <w:sz w:val="36"/>
          <w:szCs w:val="36"/>
          <w:lang w:val="en-US" w:eastAsia="zh-CN" w:bidi="ar-SA"/>
        </w:rPr>
      </w:pPr>
    </w:p>
    <w:p w14:paraId="02C9270A">
      <w:pPr>
        <w:jc w:val="center"/>
        <w:rPr>
          <w:rFonts w:hint="eastAsia" w:ascii="宋体" w:hAnsi="宋体" w:eastAsia="宋体" w:cs="宋体"/>
          <w:b w:val="0"/>
          <w:bCs w:val="0"/>
          <w:color w:val="000000"/>
          <w:kern w:val="2"/>
          <w:sz w:val="36"/>
          <w:szCs w:val="36"/>
          <w:lang w:val="en-US" w:eastAsia="zh-CN" w:bidi="ar-SA"/>
        </w:rPr>
      </w:pPr>
      <w:r>
        <w:rPr>
          <w:rFonts w:hint="eastAsia" w:ascii="宋体" w:hAnsi="宋体" w:eastAsia="宋体" w:cs="宋体"/>
          <w:b w:val="0"/>
          <w:bCs w:val="0"/>
          <w:color w:val="000000"/>
          <w:kern w:val="2"/>
          <w:sz w:val="36"/>
          <w:szCs w:val="36"/>
          <w:lang w:val="en-US" w:eastAsia="zh-CN" w:bidi="ar-SA"/>
        </w:rPr>
        <w:t>法人授权委托书</w:t>
      </w:r>
    </w:p>
    <w:p w14:paraId="45D14A9F">
      <w:pPr>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致（招标人名称）                            ：</w:t>
      </w:r>
    </w:p>
    <w:p w14:paraId="1CA319FF">
      <w:pPr>
        <w:spacing w:line="360" w:lineRule="auto"/>
        <w:ind w:firstLine="480" w:firstLineChars="200"/>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本授权委托书声明：我（法人姓名）       系（投标人名称）                   的法定代表人，现授权委托（投标人名称）                    的 （授权委托代理人姓名）        为我公司参加贵方组织的 XX项目 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2153D6BE">
      <w:pPr>
        <w:spacing w:line="360" w:lineRule="auto"/>
        <w:ind w:firstLine="480" w:firstLineChars="200"/>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委托期限：20XX  年X 月 X 日至 20XX  年 X 月 X 日</w:t>
      </w:r>
    </w:p>
    <w:p w14:paraId="01C8ECA9">
      <w:pPr>
        <w:spacing w:line="360" w:lineRule="auto"/>
        <w:ind w:firstLine="480" w:firstLineChars="200"/>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代理人无转委托权，特此委托。</w:t>
      </w:r>
    </w:p>
    <w:p w14:paraId="341970A0">
      <w:pPr>
        <w:spacing w:line="360" w:lineRule="auto"/>
        <w:ind w:firstLine="480" w:firstLineChars="200"/>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 xml:space="preserve">代理人姓名：          性别：           年龄：       </w:t>
      </w:r>
    </w:p>
    <w:p w14:paraId="1ED8A100">
      <w:pPr>
        <w:spacing w:line="360" w:lineRule="auto"/>
        <w:ind w:firstLine="480" w:firstLineChars="200"/>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 xml:space="preserve">身份证号码：                      职务：            </w:t>
      </w:r>
    </w:p>
    <w:p w14:paraId="1F7CC95D">
      <w:pPr>
        <w:spacing w:line="360" w:lineRule="auto"/>
        <w:ind w:firstLine="480" w:firstLineChars="200"/>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投标人名称：（盖单位公章）</w:t>
      </w:r>
    </w:p>
    <w:p w14:paraId="763E7410">
      <w:pPr>
        <w:spacing w:line="360" w:lineRule="auto"/>
        <w:ind w:firstLine="480" w:firstLineChars="200"/>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法定代表人：（签字）</w:t>
      </w:r>
    </w:p>
    <w:p w14:paraId="51950D55">
      <w:pPr>
        <w:spacing w:line="360" w:lineRule="auto"/>
        <w:ind w:firstLine="480" w:firstLineChars="200"/>
        <w:rPr>
          <w:rFonts w:hint="eastAsia" w:ascii="宋体" w:hAnsi="宋体" w:eastAsia="宋体" w:cs="宋体"/>
          <w:b w:val="0"/>
          <w:bCs w:val="0"/>
          <w:color w:val="000000"/>
          <w:kern w:val="2"/>
          <w:sz w:val="24"/>
          <w:szCs w:val="24"/>
          <w:lang w:val="en-US" w:eastAsia="zh-CN" w:bidi="ar-SA"/>
        </w:rPr>
      </w:pPr>
    </w:p>
    <w:p w14:paraId="3BDC30D0">
      <w:pPr>
        <w:spacing w:line="360" w:lineRule="auto"/>
        <w:ind w:firstLine="480" w:firstLineChars="200"/>
        <w:rPr>
          <w:rFonts w:hint="eastAsia" w:ascii="宋体" w:hAnsi="宋体" w:eastAsia="宋体" w:cs="宋体"/>
          <w:b w:val="0"/>
          <w:bCs w:val="0"/>
          <w:color w:val="000000"/>
          <w:kern w:val="2"/>
          <w:sz w:val="24"/>
          <w:szCs w:val="24"/>
          <w:lang w:val="en-US" w:eastAsia="zh-CN" w:bidi="ar-SA"/>
        </w:rPr>
      </w:pPr>
    </w:p>
    <w:p w14:paraId="2CAA92E9">
      <w:pPr>
        <w:adjustRightInd w:val="0"/>
        <w:spacing w:line="480" w:lineRule="exact"/>
        <w:jc w:val="left"/>
        <w:textAlignment w:val="baseline"/>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附被授权人有效的身份证正反两面复印件</w:t>
      </w:r>
    </w:p>
    <w:p w14:paraId="6889C43A">
      <w:pPr>
        <w:rPr>
          <w:rFonts w:hint="eastAsia"/>
          <w:color w:val="auto"/>
          <w:sz w:val="28"/>
          <w:szCs w:val="28"/>
          <w:lang w:val="en-US" w:eastAsia="zh-CN"/>
        </w:rPr>
      </w:pPr>
      <w:r>
        <w:rPr>
          <w:rFonts w:hint="eastAsia"/>
          <w:color w:val="auto"/>
          <w:sz w:val="28"/>
          <w:szCs w:val="28"/>
          <w:lang w:val="en-US" w:eastAsia="zh-CN"/>
        </w:rPr>
        <w:br w:type="page"/>
      </w:r>
    </w:p>
    <w:p w14:paraId="435DF7EE">
      <w:pPr>
        <w:spacing w:line="360" w:lineRule="auto"/>
        <w:rPr>
          <w:rFonts w:hint="eastAsia"/>
          <w:color w:val="auto"/>
          <w:sz w:val="28"/>
          <w:szCs w:val="28"/>
          <w:lang w:val="en-US" w:eastAsia="zh-CN"/>
        </w:rPr>
      </w:pPr>
    </w:p>
    <w:p w14:paraId="54561E18">
      <w:pPr>
        <w:pStyle w:val="10"/>
        <w:rPr>
          <w:rFonts w:hint="eastAsia"/>
          <w:color w:val="auto"/>
          <w:sz w:val="28"/>
          <w:szCs w:val="28"/>
          <w:lang w:val="en-US" w:eastAsia="zh-CN"/>
        </w:rPr>
      </w:pPr>
      <w:r>
        <w:rPr>
          <w:rFonts w:hint="eastAsia"/>
          <w:color w:val="auto"/>
          <w:sz w:val="28"/>
          <w:szCs w:val="28"/>
          <w:lang w:val="en-US" w:eastAsia="zh-CN"/>
        </w:rPr>
        <w:t>附件3：</w:t>
      </w:r>
    </w:p>
    <w:p w14:paraId="2C62A4DF">
      <w:pPr>
        <w:pStyle w:val="10"/>
        <w:rPr>
          <w:color w:val="auto"/>
          <w:sz w:val="28"/>
          <w:szCs w:val="28"/>
        </w:rPr>
      </w:pPr>
      <w:r>
        <w:rPr>
          <w:rFonts w:hint="eastAsia"/>
          <w:color w:val="auto"/>
          <w:sz w:val="28"/>
          <w:szCs w:val="28"/>
        </w:rPr>
        <w:t>SRM非生产供应商注册操作手册</w:t>
      </w:r>
    </w:p>
    <w:p w14:paraId="1A84F2A6">
      <w:pPr>
        <w:pStyle w:val="9"/>
        <w:spacing w:after="0" w:line="360" w:lineRule="auto"/>
        <w:rPr>
          <w:rFonts w:hint="eastAsia" w:ascii="宋体" w:hAnsi="宋体" w:eastAsia="宋体" w:cs="宋体"/>
          <w:b w:val="0"/>
          <w:bCs w:val="0"/>
          <w:color w:val="000000"/>
          <w:kern w:val="2"/>
          <w:sz w:val="28"/>
          <w:szCs w:val="28"/>
          <w:lang w:val="en-US" w:eastAsia="zh-CN" w:bidi="ar-SA"/>
        </w:rPr>
      </w:pPr>
    </w:p>
    <w:p w14:paraId="54D1C20E">
      <w:pPr>
        <w:adjustRightInd w:val="0"/>
        <w:snapToGrid w:val="0"/>
        <w:spacing w:line="360" w:lineRule="auto"/>
        <w:jc w:val="left"/>
        <w:rPr>
          <w:rFonts w:ascii="宋体" w:hAnsi="宋体" w:eastAsia="宋体" w:cs="宋体"/>
          <w:color w:val="auto"/>
          <w:sz w:val="24"/>
          <w:szCs w:val="24"/>
        </w:rPr>
      </w:pPr>
      <w:r>
        <w:rPr>
          <w:rFonts w:ascii="宋体" w:hAnsi="宋体" w:eastAsia="宋体" w:cs="宋体"/>
          <w:color w:val="auto"/>
          <w:sz w:val="24"/>
          <w:szCs w:val="24"/>
        </w:rPr>
        <w:t>浏览器中输入地址;</w:t>
      </w:r>
    </w:p>
    <w:p w14:paraId="5922415C">
      <w:pPr>
        <w:adjustRightInd w:val="0"/>
        <w:snapToGrid w:val="0"/>
        <w:spacing w:line="360" w:lineRule="auto"/>
        <w:jc w:val="left"/>
        <w:rPr>
          <w:rFonts w:ascii="宋体" w:hAnsi="宋体" w:eastAsia="宋体" w:cs="宋体"/>
          <w:color w:val="auto"/>
          <w:sz w:val="24"/>
          <w:szCs w:val="24"/>
        </w:rPr>
      </w:pPr>
      <w:r>
        <w:rPr>
          <w:color w:val="auto"/>
        </w:rPr>
        <w:fldChar w:fldCharType="begin"/>
      </w:r>
      <w:r>
        <w:rPr>
          <w:color w:val="auto"/>
        </w:rPr>
        <w:instrText xml:space="preserve"> HYPERLINK "http://ecaitong.sinotruk.com:8012/#/login" \t "dlt" </w:instrText>
      </w:r>
      <w:r>
        <w:rPr>
          <w:color w:val="auto"/>
        </w:rPr>
        <w:fldChar w:fldCharType="separate"/>
      </w:r>
      <w:r>
        <w:rPr>
          <w:rFonts w:ascii="宋体" w:hAnsi="宋体" w:eastAsia="宋体" w:cs="宋体"/>
          <w:color w:val="auto"/>
          <w:sz w:val="24"/>
          <w:szCs w:val="24"/>
        </w:rPr>
        <w:t>http</w:t>
      </w:r>
      <w:r>
        <w:rPr>
          <w:rFonts w:hint="eastAsia" w:ascii="宋体" w:hAnsi="宋体" w:eastAsia="宋体" w:cs="宋体"/>
          <w:color w:val="auto"/>
          <w:sz w:val="24"/>
          <w:szCs w:val="24"/>
        </w:rPr>
        <w:t>s</w:t>
      </w:r>
      <w:r>
        <w:rPr>
          <w:rFonts w:ascii="宋体" w:hAnsi="宋体" w:eastAsia="宋体" w:cs="宋体"/>
          <w:color w:val="auto"/>
          <w:sz w:val="24"/>
          <w:szCs w:val="24"/>
        </w:rPr>
        <w:t>://ecaitong.sinotruk.com:8012/#/login</w:t>
      </w:r>
      <w:r>
        <w:rPr>
          <w:rFonts w:ascii="宋体" w:hAnsi="宋体" w:eastAsia="宋体" w:cs="宋体"/>
          <w:color w:val="auto"/>
          <w:sz w:val="24"/>
          <w:szCs w:val="24"/>
        </w:rPr>
        <w:fldChar w:fldCharType="end"/>
      </w:r>
    </w:p>
    <w:p w14:paraId="083DCEC2">
      <w:pPr>
        <w:adjustRightInd w:val="0"/>
        <w:snapToGrid w:val="0"/>
        <w:spacing w:line="360" w:lineRule="auto"/>
        <w:jc w:val="left"/>
        <w:rPr>
          <w:rFonts w:ascii="宋体" w:hAnsi="宋体" w:eastAsia="宋体" w:cs="宋体"/>
          <w:color w:val="auto"/>
          <w:sz w:val="24"/>
          <w:szCs w:val="24"/>
        </w:rPr>
      </w:pPr>
      <w:r>
        <w:rPr>
          <w:rFonts w:ascii="宋体" w:hAnsi="宋体" w:eastAsia="宋体" w:cs="宋体"/>
          <w:color w:val="auto"/>
          <w:sz w:val="24"/>
          <w:szCs w:val="24"/>
        </w:rPr>
        <w:t>1.点击立即注册</w:t>
      </w:r>
    </w:p>
    <w:p w14:paraId="4E9A6B23">
      <w:pPr>
        <w:snapToGrid w:val="0"/>
        <w:spacing w:line="312" w:lineRule="auto"/>
        <w:rPr>
          <w:color w:val="auto"/>
        </w:rPr>
      </w:pPr>
      <w:r>
        <w:rPr>
          <w:color w:val="auto"/>
        </w:rP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2"/>
                    <a:stretch>
                      <a:fillRect/>
                    </a:stretch>
                  </pic:blipFill>
                  <pic:spPr>
                    <a:xfrm>
                      <a:off x="0" y="0"/>
                      <a:ext cx="5760085" cy="2933377"/>
                    </a:xfrm>
                    <a:prstGeom prst="rect">
                      <a:avLst/>
                    </a:prstGeom>
                  </pic:spPr>
                </pic:pic>
              </a:graphicData>
            </a:graphic>
          </wp:inline>
        </w:drawing>
      </w:r>
    </w:p>
    <w:p w14:paraId="29368608">
      <w:pPr>
        <w:spacing w:line="360" w:lineRule="auto"/>
        <w:rPr>
          <w:rFonts w:ascii="宋体" w:hAnsi="宋体" w:eastAsia="宋体" w:cs="宋体"/>
          <w:color w:val="auto"/>
          <w:sz w:val="24"/>
          <w:szCs w:val="28"/>
        </w:rPr>
      </w:pPr>
      <w:r>
        <w:rPr>
          <w:rFonts w:hint="eastAsia" w:ascii="宋体" w:hAnsi="宋体" w:eastAsia="宋体" w:cs="宋体"/>
          <w:color w:val="auto"/>
          <w:sz w:val="24"/>
          <w:szCs w:val="28"/>
        </w:rPr>
        <w:t>2.</w:t>
      </w:r>
      <w:r>
        <w:rPr>
          <w:rFonts w:ascii="宋体" w:hAnsi="宋体" w:eastAsia="宋体" w:cs="宋体"/>
          <w:color w:val="auto"/>
          <w:sz w:val="24"/>
          <w:szCs w:val="28"/>
        </w:rPr>
        <w:t>填写手机号码（没有注册过的）</w:t>
      </w:r>
    </w:p>
    <w:p w14:paraId="03385E08">
      <w:pPr>
        <w:snapToGrid w:val="0"/>
        <w:spacing w:line="312" w:lineRule="auto"/>
        <w:rPr>
          <w:color w:val="auto"/>
        </w:rPr>
      </w:pPr>
      <w:r>
        <w:rPr>
          <w:color w:val="auto"/>
        </w:rP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3"/>
                    <a:stretch>
                      <a:fillRect/>
                    </a:stretch>
                  </pic:blipFill>
                  <pic:spPr>
                    <a:xfrm>
                      <a:off x="0" y="0"/>
                      <a:ext cx="5760085" cy="2766707"/>
                    </a:xfrm>
                    <a:prstGeom prst="rect">
                      <a:avLst/>
                    </a:prstGeom>
                  </pic:spPr>
                </pic:pic>
              </a:graphicData>
            </a:graphic>
          </wp:inline>
        </w:drawing>
      </w:r>
    </w:p>
    <w:p w14:paraId="2C2581B6">
      <w:pPr>
        <w:spacing w:line="360" w:lineRule="auto"/>
        <w:rPr>
          <w:rFonts w:ascii="宋体" w:hAnsi="宋体" w:eastAsia="宋体" w:cs="宋体"/>
          <w:color w:val="auto"/>
          <w:sz w:val="24"/>
          <w:szCs w:val="28"/>
        </w:rPr>
      </w:pPr>
      <w:r>
        <w:rPr>
          <w:rFonts w:hint="eastAsia" w:ascii="宋体" w:hAnsi="宋体" w:eastAsia="宋体" w:cs="宋体"/>
          <w:color w:val="auto"/>
          <w:sz w:val="24"/>
          <w:szCs w:val="28"/>
        </w:rPr>
        <w:t>3.</w:t>
      </w:r>
      <w:r>
        <w:rPr>
          <w:rFonts w:ascii="宋体" w:hAnsi="宋体" w:eastAsia="宋体" w:cs="宋体"/>
          <w:color w:val="auto"/>
          <w:sz w:val="24"/>
          <w:szCs w:val="28"/>
        </w:rPr>
        <w:t>注册成功登录这个手机号码的账号进入系统，点击供应商注册</w:t>
      </w:r>
    </w:p>
    <w:p w14:paraId="7C8CD075">
      <w:pPr>
        <w:snapToGrid w:val="0"/>
        <w:spacing w:line="312" w:lineRule="auto"/>
        <w:rPr>
          <w:color w:val="auto"/>
        </w:rPr>
      </w:pPr>
      <w:r>
        <w:rPr>
          <w:color w:val="auto"/>
        </w:rP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4"/>
                    <a:stretch>
                      <a:fillRect/>
                    </a:stretch>
                  </pic:blipFill>
                  <pic:spPr>
                    <a:xfrm>
                      <a:off x="0" y="0"/>
                      <a:ext cx="5760085" cy="2870054"/>
                    </a:xfrm>
                    <a:prstGeom prst="rect">
                      <a:avLst/>
                    </a:prstGeom>
                  </pic:spPr>
                </pic:pic>
              </a:graphicData>
            </a:graphic>
          </wp:inline>
        </w:drawing>
      </w:r>
    </w:p>
    <w:p w14:paraId="5538C81F">
      <w:pPr>
        <w:spacing w:line="360" w:lineRule="auto"/>
        <w:rPr>
          <w:rFonts w:ascii="宋体" w:hAnsi="宋体" w:eastAsia="宋体" w:cs="宋体"/>
          <w:color w:val="auto"/>
          <w:sz w:val="24"/>
          <w:szCs w:val="28"/>
        </w:rPr>
      </w:pPr>
      <w:r>
        <w:rPr>
          <w:rFonts w:hint="eastAsia" w:ascii="宋体" w:hAnsi="宋体" w:eastAsia="宋体" w:cs="宋体"/>
          <w:color w:val="auto"/>
          <w:sz w:val="24"/>
          <w:szCs w:val="28"/>
        </w:rPr>
        <w:t>4.</w:t>
      </w:r>
      <w:r>
        <w:rPr>
          <w:rFonts w:ascii="宋体" w:hAnsi="宋体" w:eastAsia="宋体" w:cs="宋体"/>
          <w:color w:val="auto"/>
          <w:sz w:val="24"/>
          <w:szCs w:val="28"/>
        </w:rPr>
        <w:t>点击新增</w:t>
      </w:r>
    </w:p>
    <w:p w14:paraId="22424648">
      <w:pPr>
        <w:snapToGrid w:val="0"/>
        <w:spacing w:line="312" w:lineRule="auto"/>
        <w:rPr>
          <w:color w:val="auto"/>
        </w:rPr>
      </w:pPr>
      <w:r>
        <w:rPr>
          <w:color w:val="auto"/>
        </w:rP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5"/>
                    <a:stretch>
                      <a:fillRect/>
                    </a:stretch>
                  </pic:blipFill>
                  <pic:spPr>
                    <a:xfrm>
                      <a:off x="0" y="0"/>
                      <a:ext cx="5760085" cy="2853375"/>
                    </a:xfrm>
                    <a:prstGeom prst="rect">
                      <a:avLst/>
                    </a:prstGeom>
                  </pic:spPr>
                </pic:pic>
              </a:graphicData>
            </a:graphic>
          </wp:inline>
        </w:drawing>
      </w:r>
    </w:p>
    <w:p w14:paraId="5F66A33F">
      <w:pPr>
        <w:spacing w:line="360" w:lineRule="auto"/>
        <w:rPr>
          <w:rFonts w:ascii="宋体" w:hAnsi="宋体" w:eastAsia="宋体" w:cs="宋体"/>
          <w:color w:val="auto"/>
          <w:sz w:val="24"/>
          <w:szCs w:val="28"/>
        </w:rPr>
      </w:pPr>
      <w:r>
        <w:rPr>
          <w:rFonts w:hint="eastAsia" w:ascii="宋体" w:hAnsi="宋体" w:eastAsia="宋体" w:cs="宋体"/>
          <w:color w:val="auto"/>
          <w:sz w:val="24"/>
          <w:szCs w:val="28"/>
        </w:rPr>
        <w:t>5.</w:t>
      </w:r>
      <w:r>
        <w:rPr>
          <w:rFonts w:ascii="宋体" w:hAnsi="宋体" w:eastAsia="宋体" w:cs="宋体"/>
          <w:color w:val="auto"/>
          <w:sz w:val="24"/>
          <w:szCs w:val="28"/>
        </w:rPr>
        <w:t>按要求填写所有信息，注意非生产类要填写合作单位，最后提交审批</w:t>
      </w:r>
    </w:p>
    <w:p w14:paraId="20FC1C2F">
      <w:pPr>
        <w:pStyle w:val="10"/>
        <w:framePr w:wrap="around" w:vAnchor="margin" w:hAnchor="text" w:y="1"/>
        <w:rPr>
          <w:color w:val="auto"/>
        </w:rPr>
      </w:pPr>
    </w:p>
    <w:p w14:paraId="1571AFF6">
      <w:pPr>
        <w:rPr>
          <w:color w:val="auto"/>
        </w:rPr>
      </w:pPr>
      <w:r>
        <w:rPr>
          <w:color w:val="auto"/>
        </w:rP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6"/>
                    <a:stretch>
                      <a:fillRect/>
                    </a:stretch>
                  </pic:blipFill>
                  <pic:spPr>
                    <a:xfrm>
                      <a:off x="0" y="0"/>
                      <a:ext cx="5760085" cy="2810122"/>
                    </a:xfrm>
                    <a:prstGeom prst="rect">
                      <a:avLst/>
                    </a:prstGeom>
                  </pic:spPr>
                </pic:pic>
              </a:graphicData>
            </a:graphic>
          </wp:inline>
        </w:drawing>
      </w:r>
    </w:p>
    <w:p w14:paraId="457EDB0B">
      <w:pPr>
        <w:pStyle w:val="10"/>
        <w:framePr w:wrap="around" w:vAnchor="margin" w:hAnchor="text" w:y="1"/>
        <w:rPr>
          <w:color w:val="auto"/>
        </w:rPr>
      </w:pPr>
      <w:r>
        <w:rPr>
          <w:color w:val="auto"/>
        </w:rP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7"/>
                    <a:stretch>
                      <a:fillRect/>
                    </a:stretch>
                  </pic:blipFill>
                  <pic:spPr>
                    <a:xfrm>
                      <a:off x="0" y="0"/>
                      <a:ext cx="5760085" cy="2820042"/>
                    </a:xfrm>
                    <a:prstGeom prst="rect">
                      <a:avLst/>
                    </a:prstGeom>
                  </pic:spPr>
                </pic:pic>
              </a:graphicData>
            </a:graphic>
          </wp:inline>
        </w:drawing>
      </w:r>
    </w:p>
    <w:p w14:paraId="2C931B3C">
      <w:pPr>
        <w:pStyle w:val="10"/>
        <w:framePr w:wrap="around" w:vAnchor="margin" w:hAnchor="text" w:y="1"/>
        <w:rPr>
          <w:color w:val="auto"/>
        </w:rPr>
      </w:pPr>
    </w:p>
    <w:p w14:paraId="1D75C608">
      <w:pPr>
        <w:rPr>
          <w:rFonts w:ascii="宋体" w:hAnsi="宋体" w:eastAsia="宋体" w:cs="宋体"/>
          <w:b/>
          <w:bCs/>
          <w:color w:val="auto"/>
          <w:sz w:val="24"/>
          <w:szCs w:val="28"/>
          <w:highlight w:val="yellow"/>
        </w:rPr>
      </w:pPr>
      <w:r>
        <w:rPr>
          <w:rFonts w:hint="eastAsia" w:ascii="宋体" w:hAnsi="宋体" w:eastAsia="宋体" w:cs="宋体"/>
          <w:b/>
          <w:bCs/>
          <w:color w:val="auto"/>
          <w:sz w:val="24"/>
          <w:szCs w:val="28"/>
          <w:highlight w:val="yellow"/>
        </w:rPr>
        <w:t>注：</w:t>
      </w:r>
    </w:p>
    <w:p w14:paraId="7CB692F7">
      <w:pPr>
        <w:rPr>
          <w:rFonts w:ascii="宋体" w:hAnsi="宋体" w:eastAsia="宋体" w:cs="宋体"/>
          <w:b/>
          <w:bCs/>
          <w:color w:val="auto"/>
          <w:sz w:val="24"/>
          <w:szCs w:val="28"/>
          <w:highlight w:val="yellow"/>
        </w:rPr>
      </w:pPr>
      <w:r>
        <w:rPr>
          <w:rFonts w:hint="eastAsia" w:ascii="宋体" w:hAnsi="宋体" w:eastAsia="宋体" w:cs="宋体"/>
          <w:b/>
          <w:bCs/>
          <w:color w:val="auto"/>
          <w:sz w:val="24"/>
          <w:szCs w:val="28"/>
          <w:highlight w:val="yellow"/>
        </w:rPr>
        <w:t>1.“项目名称”和“采购形式编号”见投标须知前</w:t>
      </w:r>
      <w:r>
        <w:rPr>
          <w:rFonts w:hint="eastAsia" w:ascii="宋体" w:hAnsi="宋体" w:eastAsia="宋体" w:cs="宋体"/>
          <w:b/>
          <w:bCs/>
          <w:color w:val="auto"/>
          <w:sz w:val="24"/>
          <w:szCs w:val="28"/>
          <w:highlight w:val="yellow"/>
          <w:lang w:val="en-US" w:eastAsia="zh-CN"/>
        </w:rPr>
        <w:t>文</w:t>
      </w:r>
      <w:r>
        <w:rPr>
          <w:rFonts w:hint="eastAsia" w:ascii="宋体" w:hAnsi="宋体" w:eastAsia="宋体" w:cs="宋体"/>
          <w:b/>
          <w:bCs/>
          <w:color w:val="auto"/>
          <w:sz w:val="24"/>
          <w:szCs w:val="28"/>
          <w:highlight w:val="yellow"/>
        </w:rPr>
        <w:t>1.1；</w:t>
      </w:r>
    </w:p>
    <w:p w14:paraId="25A41191">
      <w:pPr>
        <w:pStyle w:val="10"/>
        <w:framePr w:wrap="around" w:vAnchor="margin" w:hAnchor="text" w:y="1"/>
        <w:rPr>
          <w:color w:val="auto"/>
        </w:rPr>
      </w:pPr>
      <w:r>
        <w:rPr>
          <w:rFonts w:hint="eastAsia"/>
          <w:color w:val="auto"/>
          <w:highlight w:val="yellow"/>
        </w:rPr>
        <w:t>2.配套能力“供货类别”填“</w:t>
      </w:r>
      <w:r>
        <w:rPr>
          <w:rFonts w:hint="eastAsia"/>
          <w:color w:val="auto"/>
          <w:highlight w:val="yellow"/>
          <w:lang w:val="en-US" w:eastAsia="zh-CN"/>
        </w:rPr>
        <w:t>仓储服务</w:t>
      </w:r>
      <w:r>
        <w:rPr>
          <w:rFonts w:hint="eastAsia"/>
          <w:color w:val="auto"/>
          <w:highlight w:val="yellow"/>
        </w:rPr>
        <w:t>”，业务主管部门选择“</w:t>
      </w:r>
      <w:r>
        <w:rPr>
          <w:rFonts w:hint="eastAsia"/>
          <w:color w:val="auto"/>
          <w:highlight w:val="yellow"/>
          <w:lang w:val="en-US" w:eastAsia="zh-CN"/>
        </w:rPr>
        <w:t>智能物流中心</w:t>
      </w:r>
      <w:r>
        <w:rPr>
          <w:rFonts w:hint="eastAsia"/>
          <w:color w:val="auto"/>
          <w:highlight w:val="yellow"/>
        </w:rPr>
        <w:t>”。</w:t>
      </w:r>
    </w:p>
    <w:p w14:paraId="4754421B">
      <w:pPr>
        <w:pStyle w:val="10"/>
        <w:framePr w:wrap="around" w:vAnchor="margin" w:hAnchor="text" w:y="1"/>
        <w:rPr>
          <w:color w:val="auto"/>
        </w:rPr>
        <w:sectPr>
          <w:headerReference r:id="rId6" w:type="first"/>
          <w:footerReference r:id="rId8" w:type="first"/>
          <w:headerReference r:id="rId5" w:type="default"/>
          <w:footerReference r:id="rId7" w:type="default"/>
          <w:pgSz w:w="11906" w:h="16838"/>
          <w:pgMar w:top="968" w:right="1418" w:bottom="950" w:left="1418" w:header="851" w:footer="992" w:gutter="0"/>
          <w:cols w:space="720" w:num="1"/>
          <w:titlePg/>
          <w:docGrid w:type="lines" w:linePitch="312" w:charSpace="0"/>
        </w:sectPr>
      </w:pPr>
    </w:p>
    <w:p w14:paraId="6909B47B">
      <w:pPr>
        <w:pStyle w:val="10"/>
        <w:framePr w:wrap="around" w:vAnchor="margin" w:hAnchor="text" w:y="1"/>
        <w:rPr>
          <w:color w:val="auto"/>
        </w:rPr>
      </w:pPr>
    </w:p>
    <w:p w14:paraId="7FD42575">
      <w:pPr>
        <w:spacing w:line="360" w:lineRule="auto"/>
        <w:rPr>
          <w:rFonts w:ascii="宋体" w:hAnsi="宋体" w:eastAsia="宋体" w:cs="宋体"/>
          <w:color w:val="auto"/>
          <w:sz w:val="24"/>
          <w:szCs w:val="24"/>
        </w:rPr>
      </w:pPr>
      <w:r>
        <w:rPr>
          <w:rFonts w:hint="eastAsia" w:ascii="宋体" w:hAnsi="宋体" w:eastAsia="宋体" w:cs="宋体"/>
          <w:color w:val="auto"/>
          <w:sz w:val="24"/>
          <w:szCs w:val="24"/>
        </w:rPr>
        <w:t>系统网址：</w:t>
      </w:r>
      <w:r>
        <w:rPr>
          <w:color w:val="auto"/>
        </w:rPr>
        <w:fldChar w:fldCharType="begin"/>
      </w:r>
      <w:r>
        <w:rPr>
          <w:color w:val="auto"/>
        </w:rPr>
        <w:instrText xml:space="preserve"> HYPERLINK "http://ecaitong.sinotruk.com:8012/" \t "dlt" </w:instrText>
      </w:r>
      <w:r>
        <w:rPr>
          <w:color w:val="auto"/>
        </w:rPr>
        <w:fldChar w:fldCharType="separate"/>
      </w:r>
      <w:r>
        <w:rPr>
          <w:rStyle w:val="21"/>
          <w:rFonts w:hint="eastAsia" w:ascii="宋体" w:hAnsi="宋体" w:eastAsia="宋体" w:cs="宋体"/>
          <w:color w:val="auto"/>
          <w:sz w:val="24"/>
          <w:szCs w:val="24"/>
        </w:rPr>
        <w:t>https://ecaitong.sinotruk.com:8012/</w:t>
      </w:r>
      <w:r>
        <w:rPr>
          <w:rStyle w:val="21"/>
          <w:rFonts w:hint="eastAsia" w:ascii="宋体" w:hAnsi="宋体" w:eastAsia="宋体" w:cs="宋体"/>
          <w:color w:val="auto"/>
          <w:sz w:val="24"/>
          <w:szCs w:val="24"/>
        </w:rPr>
        <w:fldChar w:fldCharType="end"/>
      </w:r>
    </w:p>
    <w:p w14:paraId="663CE977">
      <w:pPr>
        <w:spacing w:line="360" w:lineRule="auto"/>
        <w:rPr>
          <w:rFonts w:ascii="宋体" w:hAnsi="宋体" w:eastAsia="宋体" w:cs="宋体"/>
          <w:color w:val="auto"/>
          <w:sz w:val="24"/>
          <w:szCs w:val="24"/>
        </w:rPr>
      </w:pPr>
      <w:r>
        <w:rPr>
          <w:rFonts w:hint="eastAsia" w:ascii="宋体" w:hAnsi="宋体" w:eastAsia="宋体" w:cs="宋体"/>
          <w:color w:val="auto"/>
          <w:sz w:val="24"/>
          <w:szCs w:val="24"/>
        </w:rPr>
        <w:t>用 户 名：gys+供应商代码（注意：注册完毕后，用户名不要用手机号登录）</w:t>
      </w:r>
    </w:p>
    <w:p w14:paraId="6F1353C6">
      <w:pPr>
        <w:spacing w:line="360" w:lineRule="auto"/>
        <w:rPr>
          <w:rFonts w:ascii="宋体" w:hAnsi="宋体" w:eastAsia="宋体" w:cs="宋体"/>
          <w:color w:val="auto"/>
          <w:sz w:val="24"/>
          <w:szCs w:val="24"/>
        </w:rPr>
      </w:pPr>
      <w:r>
        <w:rPr>
          <w:rFonts w:hint="eastAsia" w:ascii="宋体" w:hAnsi="宋体" w:eastAsia="宋体" w:cs="宋体"/>
          <w:color w:val="auto"/>
          <w:sz w:val="24"/>
          <w:szCs w:val="24"/>
        </w:rPr>
        <w:t>初始密码：</w:t>
      </w:r>
      <w:r>
        <w:rPr>
          <w:rFonts w:hint="eastAsia" w:ascii="宋体" w:hAnsi="宋体" w:eastAsia="宋体" w:cs="宋体"/>
          <w:color w:val="auto"/>
          <w:sz w:val="24"/>
          <w:szCs w:val="24"/>
          <w:highlight w:val="yellow"/>
        </w:rPr>
        <w:t>scm@2022</w:t>
      </w:r>
    </w:p>
    <w:p w14:paraId="2B5D7091">
      <w:pPr>
        <w:spacing w:line="360" w:lineRule="auto"/>
        <w:rPr>
          <w:rFonts w:ascii="宋体" w:hAnsi="宋体" w:eastAsia="宋体" w:cs="宋体"/>
          <w:b/>
          <w:bCs/>
          <w:color w:val="auto"/>
          <w:sz w:val="24"/>
          <w:szCs w:val="24"/>
        </w:rPr>
      </w:pPr>
      <w:r>
        <w:rPr>
          <w:rFonts w:hint="eastAsia" w:ascii="宋体" w:hAnsi="宋体" w:eastAsia="宋体" w:cs="宋体"/>
          <w:b/>
          <w:bCs/>
          <w:color w:val="auto"/>
          <w:sz w:val="24"/>
          <w:szCs w:val="24"/>
        </w:rPr>
        <w:t>1.供应商应标</w:t>
      </w:r>
    </w:p>
    <w:p w14:paraId="5FCCC80F">
      <w:pPr>
        <w:spacing w:line="360" w:lineRule="auto"/>
        <w:rPr>
          <w:rFonts w:ascii="宋体" w:hAnsi="宋体" w:eastAsia="宋体" w:cs="宋体"/>
          <w:color w:val="auto"/>
          <w:sz w:val="24"/>
          <w:szCs w:val="24"/>
        </w:rPr>
      </w:pPr>
      <w:r>
        <w:rPr>
          <w:rFonts w:ascii="宋体" w:hAnsi="宋体" w:eastAsia="宋体" w:cs="宋体"/>
          <w:color w:val="auto"/>
          <w:sz w:val="24"/>
          <w:szCs w:val="24"/>
        </w:rPr>
        <w:t>路径：招投标中心</w:t>
      </w:r>
      <w:r>
        <w:rPr>
          <w:rFonts w:hint="eastAsia" w:ascii="宋体" w:hAnsi="宋体" w:eastAsia="宋体" w:cs="宋体"/>
          <w:color w:val="auto"/>
          <w:sz w:val="24"/>
          <w:szCs w:val="24"/>
        </w:rPr>
        <w:t>-</w:t>
      </w:r>
      <w:r>
        <w:rPr>
          <w:rFonts w:ascii="宋体" w:hAnsi="宋体" w:eastAsia="宋体" w:cs="宋体"/>
          <w:color w:val="auto"/>
          <w:sz w:val="24"/>
          <w:szCs w:val="24"/>
        </w:rPr>
        <w:t>非生产类招投标</w:t>
      </w:r>
      <w:r>
        <w:rPr>
          <w:rFonts w:hint="eastAsia" w:ascii="宋体" w:hAnsi="宋体" w:eastAsia="宋体" w:cs="宋体"/>
          <w:color w:val="auto"/>
          <w:sz w:val="24"/>
          <w:szCs w:val="24"/>
        </w:rPr>
        <w:t>-</w:t>
      </w:r>
      <w:r>
        <w:rPr>
          <w:rFonts w:ascii="宋体" w:hAnsi="宋体" w:eastAsia="宋体" w:cs="宋体"/>
          <w:color w:val="auto"/>
          <w:sz w:val="24"/>
          <w:szCs w:val="24"/>
        </w:rPr>
        <w:t>供应商应标</w:t>
      </w:r>
    </w:p>
    <w:p w14:paraId="4DBC20FF">
      <w:pPr>
        <w:spacing w:line="360" w:lineRule="auto"/>
        <w:rPr>
          <w:rFonts w:ascii="宋体" w:hAnsi="宋体" w:eastAsia="宋体" w:cs="宋体"/>
          <w:color w:val="auto"/>
          <w:sz w:val="24"/>
          <w:szCs w:val="24"/>
        </w:rPr>
      </w:pPr>
      <w:r>
        <w:rPr>
          <w:rFonts w:ascii="宋体" w:hAnsi="宋体" w:eastAsia="宋体" w:cs="宋体"/>
          <w:color w:val="auto"/>
          <w:sz w:val="24"/>
          <w:szCs w:val="24"/>
        </w:rPr>
        <w:t>点击应标，上传文件之后点击提交。</w:t>
      </w:r>
    </w:p>
    <w:p w14:paraId="226A1269">
      <w:pPr>
        <w:rPr>
          <w:color w:val="auto"/>
        </w:rPr>
      </w:pPr>
      <w:r>
        <w:rPr>
          <w:color w:val="auto"/>
        </w:rP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8"/>
                    <a:stretch>
                      <a:fillRect/>
                    </a:stretch>
                  </pic:blipFill>
                  <pic:spPr>
                    <a:xfrm>
                      <a:off x="0" y="0"/>
                      <a:ext cx="5760085" cy="2269864"/>
                    </a:xfrm>
                    <a:prstGeom prst="rect">
                      <a:avLst/>
                    </a:prstGeom>
                  </pic:spPr>
                </pic:pic>
              </a:graphicData>
            </a:graphic>
          </wp:inline>
        </w:drawing>
      </w:r>
    </w:p>
    <w:p w14:paraId="7807D64B">
      <w:pPr>
        <w:rPr>
          <w:color w:val="auto"/>
        </w:rPr>
      </w:pPr>
    </w:p>
    <w:p w14:paraId="130EB854">
      <w:pPr>
        <w:spacing w:line="360" w:lineRule="auto"/>
        <w:rPr>
          <w:rFonts w:ascii="宋体" w:hAnsi="宋体" w:eastAsia="宋体" w:cs="宋体"/>
          <w:b/>
          <w:bCs/>
          <w:color w:val="auto"/>
          <w:sz w:val="24"/>
          <w:szCs w:val="24"/>
        </w:rPr>
      </w:pPr>
      <w:r>
        <w:rPr>
          <w:rFonts w:hint="eastAsia" w:ascii="宋体" w:hAnsi="宋体" w:eastAsia="宋体" w:cs="宋体"/>
          <w:b/>
          <w:bCs/>
          <w:color w:val="auto"/>
          <w:sz w:val="24"/>
          <w:szCs w:val="24"/>
        </w:rPr>
        <w:t>2.供应商投标</w:t>
      </w:r>
    </w:p>
    <w:p w14:paraId="70A4AA5C">
      <w:pPr>
        <w:spacing w:line="360" w:lineRule="auto"/>
        <w:rPr>
          <w:rFonts w:ascii="宋体" w:hAnsi="宋体" w:eastAsia="宋体" w:cs="宋体"/>
          <w:color w:val="auto"/>
          <w:sz w:val="24"/>
          <w:szCs w:val="24"/>
        </w:rPr>
      </w:pPr>
      <w:r>
        <w:rPr>
          <w:rFonts w:ascii="宋体" w:hAnsi="宋体" w:eastAsia="宋体" w:cs="宋体"/>
          <w:color w:val="auto"/>
          <w:sz w:val="24"/>
          <w:szCs w:val="24"/>
        </w:rPr>
        <w:t>路径：招投标中心</w:t>
      </w:r>
      <w:r>
        <w:rPr>
          <w:rFonts w:hint="eastAsia" w:ascii="宋体" w:hAnsi="宋体" w:eastAsia="宋体" w:cs="宋体"/>
          <w:color w:val="auto"/>
          <w:sz w:val="24"/>
          <w:szCs w:val="24"/>
        </w:rPr>
        <w:t>-</w:t>
      </w:r>
      <w:r>
        <w:rPr>
          <w:rFonts w:ascii="宋体" w:hAnsi="宋体" w:eastAsia="宋体" w:cs="宋体"/>
          <w:color w:val="auto"/>
          <w:sz w:val="24"/>
          <w:szCs w:val="24"/>
        </w:rPr>
        <w:t>非生产类招投标</w:t>
      </w:r>
      <w:r>
        <w:rPr>
          <w:rFonts w:hint="eastAsia" w:ascii="宋体" w:hAnsi="宋体" w:eastAsia="宋体" w:cs="宋体"/>
          <w:color w:val="auto"/>
          <w:sz w:val="24"/>
          <w:szCs w:val="24"/>
        </w:rPr>
        <w:t>-</w:t>
      </w:r>
      <w:r>
        <w:rPr>
          <w:rFonts w:ascii="宋体" w:hAnsi="宋体" w:eastAsia="宋体" w:cs="宋体"/>
          <w:color w:val="auto"/>
          <w:sz w:val="24"/>
          <w:szCs w:val="24"/>
        </w:rPr>
        <w:t>供应商投标</w:t>
      </w:r>
    </w:p>
    <w:p w14:paraId="5B690A1E">
      <w:pPr>
        <w:rPr>
          <w:rFonts w:ascii="宋体" w:hAnsi="宋体" w:eastAsia="宋体" w:cs="宋体"/>
          <w:color w:val="auto"/>
        </w:rPr>
      </w:pPr>
      <w:r>
        <w:rPr>
          <w:rFonts w:ascii="宋体" w:hAnsi="宋体" w:eastAsia="宋体" w:cs="宋体"/>
          <w:color w:val="auto"/>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9"/>
                    <a:stretch>
                      <a:fillRect/>
                    </a:stretch>
                  </pic:blipFill>
                  <pic:spPr>
                    <a:xfrm>
                      <a:off x="0" y="0"/>
                      <a:ext cx="5760085" cy="2125673"/>
                    </a:xfrm>
                    <a:prstGeom prst="rect">
                      <a:avLst/>
                    </a:prstGeom>
                  </pic:spPr>
                </pic:pic>
              </a:graphicData>
            </a:graphic>
          </wp:inline>
        </w:drawing>
      </w:r>
    </w:p>
    <w:p w14:paraId="53820F9F">
      <w:pPr>
        <w:spacing w:line="360" w:lineRule="auto"/>
        <w:rPr>
          <w:rFonts w:ascii="宋体" w:hAnsi="宋体" w:eastAsia="宋体" w:cs="宋体"/>
          <w:color w:val="auto"/>
          <w:sz w:val="24"/>
          <w:szCs w:val="28"/>
        </w:rPr>
      </w:pPr>
      <w:r>
        <w:rPr>
          <w:rFonts w:ascii="宋体" w:hAnsi="宋体" w:eastAsia="宋体" w:cs="宋体"/>
          <w:color w:val="auto"/>
          <w:sz w:val="24"/>
          <w:szCs w:val="28"/>
        </w:rPr>
        <w:t>点击投标按钮，进入详情页，输入投标报价并上传相应的附件。</w:t>
      </w:r>
    </w:p>
    <w:p w14:paraId="7733BB66">
      <w:pPr>
        <w:pStyle w:val="10"/>
        <w:framePr w:wrap="around" w:vAnchor="margin" w:hAnchor="text" w:y="1"/>
        <w:rPr>
          <w:color w:val="auto"/>
        </w:rPr>
      </w:pPr>
      <w:r>
        <w:rPr>
          <w:rFonts w:hint="eastAsia"/>
          <w:color w:val="auto"/>
          <w:highlight w:val="yellow"/>
        </w:rPr>
        <w:t>注意：系统内的投标报价单位为</w:t>
      </w:r>
      <w:r>
        <w:rPr>
          <w:rFonts w:hint="eastAsia"/>
          <w:color w:val="auto"/>
          <w:highlight w:val="yellow"/>
          <w:lang w:val="en-US" w:eastAsia="zh-CN"/>
        </w:rPr>
        <w:t>元/辆/天</w:t>
      </w:r>
      <w:r>
        <w:rPr>
          <w:rFonts w:hint="eastAsia"/>
          <w:color w:val="auto"/>
          <w:highlight w:val="yellow"/>
        </w:rPr>
        <w:t>，如开标现场发现填错报价，即直接淘汰。</w:t>
      </w:r>
    </w:p>
    <w:p w14:paraId="19452D0C">
      <w:pPr>
        <w:pStyle w:val="5"/>
        <w:ind w:left="425" w:hanging="425"/>
        <w:rPr>
          <w:rFonts w:eastAsia="Arial" w:cs="Arial"/>
          <w:color w:val="auto"/>
        </w:rPr>
      </w:pPr>
      <w:r>
        <w:rPr>
          <w:rFonts w:eastAsia="Arial" w:cs="Arial"/>
          <w:color w:val="auto"/>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0"/>
                    <a:stretch>
                      <a:fillRect/>
                    </a:stretch>
                  </pic:blipFill>
                  <pic:spPr>
                    <a:xfrm>
                      <a:off x="0" y="0"/>
                      <a:ext cx="5490210" cy="2669498"/>
                    </a:xfrm>
                    <a:prstGeom prst="rect">
                      <a:avLst/>
                    </a:prstGeom>
                  </pic:spPr>
                </pic:pic>
              </a:graphicData>
            </a:graphic>
          </wp:inline>
        </w:drawing>
      </w:r>
    </w:p>
    <w:p w14:paraId="174A10A8">
      <w:pPr>
        <w:spacing w:line="360" w:lineRule="auto"/>
        <w:rPr>
          <w:rFonts w:ascii="宋体" w:hAnsi="宋体" w:eastAsia="宋体" w:cs="宋体"/>
          <w:b/>
          <w:bCs/>
          <w:color w:val="auto"/>
          <w:sz w:val="24"/>
          <w:szCs w:val="24"/>
        </w:rPr>
      </w:pPr>
      <w:r>
        <w:rPr>
          <w:rFonts w:hint="eastAsia" w:ascii="宋体" w:hAnsi="宋体" w:eastAsia="宋体" w:cs="宋体"/>
          <w:b/>
          <w:bCs/>
          <w:color w:val="auto"/>
          <w:sz w:val="24"/>
          <w:szCs w:val="24"/>
        </w:rPr>
        <w:t>3.供应商技术标澄清函</w:t>
      </w:r>
    </w:p>
    <w:p w14:paraId="747A05A3">
      <w:pPr>
        <w:spacing w:line="360" w:lineRule="auto"/>
        <w:rPr>
          <w:rFonts w:ascii="宋体" w:hAnsi="宋体" w:eastAsia="宋体" w:cs="宋体"/>
          <w:color w:val="auto"/>
          <w:sz w:val="24"/>
          <w:szCs w:val="24"/>
        </w:rPr>
      </w:pPr>
      <w:r>
        <w:rPr>
          <w:rFonts w:ascii="宋体" w:hAnsi="宋体" w:eastAsia="宋体" w:cs="宋体"/>
          <w:color w:val="auto"/>
          <w:sz w:val="24"/>
          <w:szCs w:val="24"/>
        </w:rPr>
        <w:t>路径：招投标中心</w:t>
      </w:r>
      <w:r>
        <w:rPr>
          <w:rFonts w:hint="eastAsia" w:ascii="宋体" w:hAnsi="宋体" w:eastAsia="宋体" w:cs="宋体"/>
          <w:color w:val="auto"/>
          <w:sz w:val="24"/>
          <w:szCs w:val="24"/>
        </w:rPr>
        <w:t>-</w:t>
      </w:r>
      <w:r>
        <w:rPr>
          <w:rFonts w:ascii="宋体" w:hAnsi="宋体" w:eastAsia="宋体" w:cs="宋体"/>
          <w:color w:val="auto"/>
          <w:sz w:val="24"/>
          <w:szCs w:val="24"/>
        </w:rPr>
        <w:t>非生产类招投标</w:t>
      </w:r>
      <w:r>
        <w:rPr>
          <w:rFonts w:hint="eastAsia" w:ascii="宋体" w:hAnsi="宋体" w:eastAsia="宋体" w:cs="宋体"/>
          <w:color w:val="auto"/>
          <w:sz w:val="24"/>
          <w:szCs w:val="24"/>
        </w:rPr>
        <w:t>-</w:t>
      </w:r>
      <w:r>
        <w:rPr>
          <w:rFonts w:ascii="宋体" w:hAnsi="宋体" w:eastAsia="宋体" w:cs="宋体"/>
          <w:color w:val="auto"/>
          <w:sz w:val="24"/>
          <w:szCs w:val="24"/>
        </w:rPr>
        <w:t>供应商技术标澄清函</w:t>
      </w:r>
    </w:p>
    <w:p w14:paraId="2A18AFCE">
      <w:pPr>
        <w:spacing w:line="360" w:lineRule="auto"/>
        <w:rPr>
          <w:rFonts w:ascii="宋体" w:hAnsi="宋体" w:eastAsia="宋体" w:cs="宋体"/>
          <w:color w:val="auto"/>
          <w:sz w:val="24"/>
          <w:szCs w:val="24"/>
        </w:rPr>
      </w:pPr>
      <w:r>
        <w:rPr>
          <w:rFonts w:ascii="宋体" w:hAnsi="宋体" w:eastAsia="宋体" w:cs="宋体"/>
          <w:color w:val="auto"/>
          <w:sz w:val="24"/>
          <w:szCs w:val="24"/>
        </w:rPr>
        <w:t>点击编辑按钮进入系统，上传技术标澄清函。</w:t>
      </w:r>
    </w:p>
    <w:p w14:paraId="0CA1BE72">
      <w:pPr>
        <w:spacing w:line="360" w:lineRule="auto"/>
        <w:rPr>
          <w:rFonts w:ascii="Arial" w:hAnsi="Arial" w:eastAsia="Arial" w:cs="Arial"/>
          <w:color w:val="auto"/>
          <w:sz w:val="28"/>
        </w:rPr>
      </w:pPr>
      <w:r>
        <w:rPr>
          <w:rFonts w:ascii="宋体" w:hAnsi="宋体" w:eastAsia="宋体" w:cs="宋体"/>
          <w:color w:val="auto"/>
          <w:sz w:val="24"/>
          <w:szCs w:val="24"/>
        </w:rPr>
        <w:t>开标之后所有投标的供应商都可编辑提交，技术标入围之后</w:t>
      </w:r>
      <w:r>
        <w:rPr>
          <w:rFonts w:hint="eastAsia" w:ascii="宋体" w:hAnsi="宋体" w:eastAsia="宋体" w:cs="宋体"/>
          <w:color w:val="auto"/>
          <w:sz w:val="24"/>
          <w:szCs w:val="24"/>
        </w:rPr>
        <w:t xml:space="preserve"> </w:t>
      </w:r>
      <w:r>
        <w:rPr>
          <w:rFonts w:ascii="宋体" w:hAnsi="宋体" w:eastAsia="宋体" w:cs="宋体"/>
          <w:color w:val="auto"/>
          <w:sz w:val="24"/>
          <w:szCs w:val="24"/>
        </w:rPr>
        <w:t>都不可编辑</w:t>
      </w:r>
      <w:r>
        <w:rPr>
          <w:rFonts w:ascii="Arial" w:hAnsi="Arial" w:eastAsia="Arial" w:cs="Arial"/>
          <w:color w:val="auto"/>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1"/>
                    <a:stretch>
                      <a:fillRect/>
                    </a:stretch>
                  </pic:blipFill>
                  <pic:spPr>
                    <a:xfrm>
                      <a:off x="0" y="0"/>
                      <a:ext cx="5490210" cy="1992743"/>
                    </a:xfrm>
                    <a:prstGeom prst="rect">
                      <a:avLst/>
                    </a:prstGeom>
                  </pic:spPr>
                </pic:pic>
              </a:graphicData>
            </a:graphic>
          </wp:inline>
        </w:drawing>
      </w:r>
    </w:p>
    <w:p w14:paraId="32779840">
      <w:pPr>
        <w:spacing w:line="360" w:lineRule="auto"/>
        <w:rPr>
          <w:rFonts w:ascii="宋体" w:hAnsi="宋体" w:eastAsia="宋体" w:cs="宋体"/>
          <w:b/>
          <w:bCs/>
          <w:color w:val="auto"/>
          <w:sz w:val="24"/>
          <w:szCs w:val="24"/>
        </w:rPr>
      </w:pPr>
      <w:r>
        <w:rPr>
          <w:rFonts w:hint="eastAsia" w:ascii="宋体" w:hAnsi="宋体" w:eastAsia="宋体" w:cs="宋体"/>
          <w:b/>
          <w:bCs/>
          <w:color w:val="auto"/>
          <w:sz w:val="24"/>
          <w:szCs w:val="24"/>
        </w:rPr>
        <w:t>4.供应商报价</w:t>
      </w:r>
    </w:p>
    <w:p w14:paraId="7E708762">
      <w:pPr>
        <w:spacing w:line="360" w:lineRule="auto"/>
        <w:rPr>
          <w:rFonts w:ascii="宋体" w:hAnsi="宋体" w:eastAsia="宋体" w:cs="宋体"/>
          <w:color w:val="auto"/>
          <w:sz w:val="24"/>
          <w:szCs w:val="24"/>
        </w:rPr>
      </w:pPr>
      <w:r>
        <w:rPr>
          <w:rFonts w:ascii="宋体" w:hAnsi="宋体" w:eastAsia="宋体" w:cs="宋体"/>
          <w:color w:val="auto"/>
          <w:sz w:val="24"/>
          <w:szCs w:val="24"/>
        </w:rPr>
        <w:t>路径：招投标中心</w:t>
      </w:r>
      <w:r>
        <w:rPr>
          <w:rFonts w:hint="eastAsia" w:ascii="宋体" w:hAnsi="宋体" w:eastAsia="宋体" w:cs="宋体"/>
          <w:color w:val="auto"/>
          <w:sz w:val="24"/>
          <w:szCs w:val="24"/>
        </w:rPr>
        <w:t>-</w:t>
      </w:r>
      <w:r>
        <w:rPr>
          <w:rFonts w:ascii="宋体" w:hAnsi="宋体" w:eastAsia="宋体" w:cs="宋体"/>
          <w:color w:val="auto"/>
          <w:sz w:val="24"/>
          <w:szCs w:val="24"/>
        </w:rPr>
        <w:t>非生产类招投标</w:t>
      </w:r>
      <w:r>
        <w:rPr>
          <w:rFonts w:hint="eastAsia" w:ascii="宋体" w:hAnsi="宋体" w:eastAsia="宋体" w:cs="宋体"/>
          <w:color w:val="auto"/>
          <w:sz w:val="24"/>
          <w:szCs w:val="24"/>
        </w:rPr>
        <w:t>-</w:t>
      </w:r>
      <w:r>
        <w:rPr>
          <w:rFonts w:ascii="宋体" w:hAnsi="宋体" w:eastAsia="宋体" w:cs="宋体"/>
          <w:color w:val="auto"/>
          <w:sz w:val="24"/>
          <w:szCs w:val="24"/>
        </w:rPr>
        <w:t>供应商报价</w:t>
      </w:r>
    </w:p>
    <w:p w14:paraId="3830B41D">
      <w:pPr>
        <w:spacing w:line="360" w:lineRule="auto"/>
        <w:rPr>
          <w:rFonts w:ascii="宋体" w:hAnsi="宋体" w:eastAsia="宋体" w:cs="宋体"/>
          <w:color w:val="auto"/>
          <w:sz w:val="24"/>
          <w:szCs w:val="24"/>
        </w:rPr>
      </w:pPr>
      <w:r>
        <w:rPr>
          <w:rFonts w:ascii="宋体" w:hAnsi="宋体" w:eastAsia="宋体" w:cs="宋体"/>
          <w:color w:val="auto"/>
          <w:sz w:val="24"/>
          <w:szCs w:val="24"/>
        </w:rPr>
        <w:t>点击报价按钮进入报价详情界面，请在此轮报价起止时间内报价，否则无法报价。</w:t>
      </w:r>
    </w:p>
    <w:p w14:paraId="44CD1B26">
      <w:pPr>
        <w:spacing w:line="360" w:lineRule="auto"/>
        <w:rPr>
          <w:rFonts w:ascii="宋体" w:hAnsi="宋体" w:eastAsia="宋体" w:cs="宋体"/>
          <w:b/>
          <w:bCs/>
          <w:color w:val="auto"/>
          <w:sz w:val="24"/>
          <w:szCs w:val="24"/>
        </w:rPr>
      </w:pPr>
      <w:r>
        <w:rPr>
          <w:rFonts w:hint="eastAsia" w:ascii="宋体" w:hAnsi="宋体" w:eastAsia="宋体" w:cs="宋体"/>
          <w:b/>
          <w:bCs/>
          <w:color w:val="auto"/>
          <w:sz w:val="24"/>
          <w:szCs w:val="24"/>
        </w:rPr>
        <w:t>5.供应商澄清报价</w:t>
      </w:r>
    </w:p>
    <w:p w14:paraId="60588C64">
      <w:pPr>
        <w:spacing w:line="360" w:lineRule="auto"/>
        <w:rPr>
          <w:rFonts w:ascii="宋体" w:hAnsi="宋体" w:eastAsia="宋体" w:cs="宋体"/>
          <w:color w:val="auto"/>
          <w:sz w:val="24"/>
          <w:szCs w:val="24"/>
        </w:rPr>
      </w:pPr>
      <w:r>
        <w:rPr>
          <w:rFonts w:ascii="宋体" w:hAnsi="宋体" w:eastAsia="宋体" w:cs="宋体"/>
          <w:color w:val="auto"/>
          <w:sz w:val="24"/>
          <w:szCs w:val="24"/>
        </w:rPr>
        <w:t>路径：招投标中心</w:t>
      </w:r>
      <w:r>
        <w:rPr>
          <w:rFonts w:hint="eastAsia" w:ascii="宋体" w:hAnsi="宋体" w:eastAsia="宋体" w:cs="宋体"/>
          <w:color w:val="auto"/>
          <w:sz w:val="24"/>
          <w:szCs w:val="24"/>
        </w:rPr>
        <w:t>-</w:t>
      </w:r>
      <w:r>
        <w:rPr>
          <w:rFonts w:ascii="宋体" w:hAnsi="宋体" w:eastAsia="宋体" w:cs="宋体"/>
          <w:color w:val="auto"/>
          <w:sz w:val="24"/>
          <w:szCs w:val="24"/>
        </w:rPr>
        <w:t>非生产类招投标</w:t>
      </w:r>
      <w:r>
        <w:rPr>
          <w:rFonts w:hint="eastAsia" w:ascii="宋体" w:hAnsi="宋体" w:eastAsia="宋体" w:cs="宋体"/>
          <w:color w:val="auto"/>
          <w:sz w:val="24"/>
          <w:szCs w:val="24"/>
        </w:rPr>
        <w:t>-</w:t>
      </w:r>
      <w:r>
        <w:rPr>
          <w:rFonts w:ascii="宋体" w:hAnsi="宋体" w:eastAsia="宋体" w:cs="宋体"/>
          <w:color w:val="auto"/>
          <w:sz w:val="24"/>
          <w:szCs w:val="24"/>
        </w:rPr>
        <w:t>供应商澄清报价</w:t>
      </w:r>
    </w:p>
    <w:p w14:paraId="403A456E">
      <w:pPr>
        <w:spacing w:line="360" w:lineRule="auto"/>
        <w:rPr>
          <w:rFonts w:ascii="宋体" w:hAnsi="宋体" w:eastAsia="宋体" w:cs="宋体"/>
          <w:color w:val="auto"/>
          <w:sz w:val="24"/>
          <w:szCs w:val="24"/>
        </w:rPr>
      </w:pPr>
      <w:r>
        <w:rPr>
          <w:rFonts w:ascii="宋体" w:hAnsi="宋体" w:eastAsia="宋体" w:cs="宋体"/>
          <w:color w:val="auto"/>
          <w:sz w:val="24"/>
          <w:szCs w:val="24"/>
        </w:rPr>
        <w:t>招标发起人接收建议价的同时会给供应商发送澄清报价，供应商在此界面进行澄清报价，点击编辑按钮进入澄清报价详细界面，输入价格并上传澄清函，之后点击提交。</w:t>
      </w:r>
    </w:p>
    <w:p w14:paraId="07DC79BA">
      <w:pPr>
        <w:pStyle w:val="5"/>
        <w:ind w:left="425" w:hanging="425"/>
        <w:rPr>
          <w:rFonts w:eastAsia="Arial" w:cs="Arial"/>
          <w:color w:val="auto"/>
        </w:rPr>
      </w:pPr>
      <w:r>
        <w:rPr>
          <w:rFonts w:eastAsia="Arial" w:cs="Arial"/>
          <w:color w:val="auto"/>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2"/>
                    <a:stretch>
                      <a:fillRect/>
                    </a:stretch>
                  </pic:blipFill>
                  <pic:spPr>
                    <a:xfrm>
                      <a:off x="0" y="0"/>
                      <a:ext cx="5490210" cy="2544669"/>
                    </a:xfrm>
                    <a:prstGeom prst="rect">
                      <a:avLst/>
                    </a:prstGeom>
                  </pic:spPr>
                </pic:pic>
              </a:graphicData>
            </a:graphic>
          </wp:inline>
        </w:drawing>
      </w:r>
    </w:p>
    <w:p w14:paraId="2A0DBCBD">
      <w:pPr>
        <w:spacing w:line="360" w:lineRule="auto"/>
        <w:rPr>
          <w:rFonts w:ascii="宋体" w:hAnsi="宋体" w:eastAsia="宋体" w:cs="宋体"/>
          <w:b/>
          <w:bCs/>
          <w:color w:val="auto"/>
          <w:sz w:val="24"/>
          <w:szCs w:val="24"/>
        </w:rPr>
      </w:pPr>
      <w:r>
        <w:rPr>
          <w:rFonts w:hint="eastAsia" w:ascii="宋体" w:hAnsi="宋体" w:eastAsia="宋体" w:cs="宋体"/>
          <w:b/>
          <w:bCs/>
          <w:color w:val="auto"/>
          <w:sz w:val="24"/>
          <w:szCs w:val="24"/>
        </w:rPr>
        <w:t>6.供应商查看中标通知</w:t>
      </w:r>
    </w:p>
    <w:p w14:paraId="2861A843">
      <w:pPr>
        <w:spacing w:line="360" w:lineRule="auto"/>
        <w:rPr>
          <w:rFonts w:ascii="宋体" w:hAnsi="宋体" w:eastAsia="宋体" w:cs="宋体"/>
          <w:color w:val="auto"/>
          <w:sz w:val="24"/>
          <w:szCs w:val="24"/>
        </w:rPr>
      </w:pPr>
      <w:r>
        <w:rPr>
          <w:rFonts w:ascii="宋体" w:hAnsi="宋体" w:eastAsia="宋体" w:cs="宋体"/>
          <w:color w:val="auto"/>
          <w:sz w:val="24"/>
          <w:szCs w:val="24"/>
        </w:rPr>
        <w:t>路径：招投标中心</w:t>
      </w:r>
      <w:r>
        <w:rPr>
          <w:rFonts w:hint="eastAsia" w:ascii="宋体" w:hAnsi="宋体" w:eastAsia="宋体" w:cs="宋体"/>
          <w:color w:val="auto"/>
          <w:sz w:val="24"/>
          <w:szCs w:val="24"/>
        </w:rPr>
        <w:t>-</w:t>
      </w:r>
      <w:r>
        <w:rPr>
          <w:rFonts w:ascii="宋体" w:hAnsi="宋体" w:eastAsia="宋体" w:cs="宋体"/>
          <w:color w:val="auto"/>
          <w:sz w:val="24"/>
          <w:szCs w:val="24"/>
        </w:rPr>
        <w:t>非生产类招投标</w:t>
      </w:r>
      <w:r>
        <w:rPr>
          <w:rFonts w:hint="eastAsia" w:ascii="宋体" w:hAnsi="宋体" w:eastAsia="宋体" w:cs="宋体"/>
          <w:color w:val="auto"/>
          <w:sz w:val="24"/>
          <w:szCs w:val="24"/>
        </w:rPr>
        <w:t>-</w:t>
      </w:r>
      <w:r>
        <w:rPr>
          <w:rFonts w:ascii="宋体" w:hAnsi="宋体" w:eastAsia="宋体" w:cs="宋体"/>
          <w:color w:val="auto"/>
          <w:sz w:val="24"/>
          <w:szCs w:val="24"/>
        </w:rPr>
        <w:t>中标项目</w:t>
      </w:r>
    </w:p>
    <w:p w14:paraId="5F7276CF">
      <w:pPr>
        <w:spacing w:line="360" w:lineRule="auto"/>
        <w:rPr>
          <w:rFonts w:ascii="宋体" w:hAnsi="宋体" w:eastAsia="宋体" w:cs="宋体"/>
          <w:color w:val="auto"/>
          <w:sz w:val="24"/>
          <w:szCs w:val="24"/>
        </w:rPr>
      </w:pPr>
      <w:r>
        <w:rPr>
          <w:rFonts w:ascii="宋体" w:hAnsi="宋体" w:eastAsia="宋体" w:cs="宋体"/>
          <w:color w:val="auto"/>
          <w:sz w:val="24"/>
          <w:szCs w:val="24"/>
        </w:rPr>
        <w:t>点击查看进入查看中标项目详情</w:t>
      </w:r>
    </w:p>
    <w:p w14:paraId="28D78524">
      <w:pPr>
        <w:pStyle w:val="9"/>
        <w:spacing w:after="0" w:line="360" w:lineRule="auto"/>
        <w:rPr>
          <w:rFonts w:hint="eastAsia" w:ascii="宋体" w:hAnsi="宋体" w:eastAsia="宋体" w:cs="宋体"/>
          <w:b w:val="0"/>
          <w:bCs w:val="0"/>
          <w:color w:val="000000"/>
          <w:kern w:val="2"/>
          <w:sz w:val="24"/>
          <w:szCs w:val="24"/>
          <w:lang w:val="en-US" w:eastAsia="zh-CN" w:bidi="ar-SA"/>
        </w:rPr>
      </w:pPr>
      <w:r>
        <w:rPr>
          <w:color w:val="auto"/>
        </w:rP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3"/>
                    <a:stretch>
                      <a:fillRect/>
                    </a:stretch>
                  </pic:blipFill>
                  <pic:spPr>
                    <a:xfrm>
                      <a:off x="0" y="0"/>
                      <a:ext cx="5760085" cy="1956600"/>
                    </a:xfrm>
                    <a:prstGeom prst="rect">
                      <a:avLst/>
                    </a:prstGeom>
                  </pic:spPr>
                </pic:pic>
              </a:graphicData>
            </a:graphic>
          </wp:inline>
        </w:drawing>
      </w:r>
    </w:p>
    <w:sectPr>
      <w:footerReference r:id="rId9" w:type="default"/>
      <w:pgSz w:w="11907" w:h="16840"/>
      <w:pgMar w:top="1025" w:right="1418" w:bottom="935" w:left="1418" w:header="724" w:footer="851" w:gutter="0"/>
      <w:pgNumType w:fmt="decimal"/>
      <w:cols w:space="720" w:num="1"/>
      <w:docGrid w:linePitch="290" w:charSpace="-39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5A52C">
    <w:pPr>
      <w:pStyle w:val="11"/>
      <w:jc w:val="center"/>
    </w:pPr>
  </w:p>
  <w:p w14:paraId="078F69C0">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4AF25">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47650" cy="28448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247650" cy="284480"/>
                      </a:xfrm>
                      <a:prstGeom prst="rect">
                        <a:avLst/>
                      </a:prstGeom>
                      <a:noFill/>
                      <a:ln>
                        <a:noFill/>
                      </a:ln>
                    </wps:spPr>
                    <wps:txbx>
                      <w:txbxContent>
                        <w:p w14:paraId="3336E599">
                          <w:pPr>
                            <w:pStyle w:val="11"/>
                            <w:rPr>
                              <w:rStyle w:val="20"/>
                            </w:rPr>
                          </w:pPr>
                          <w:r>
                            <w:fldChar w:fldCharType="begin"/>
                          </w:r>
                          <w:r>
                            <w:rPr>
                              <w:rStyle w:val="20"/>
                            </w:rPr>
                            <w:instrText xml:space="preserve">PAGE  </w:instrText>
                          </w:r>
                          <w:r>
                            <w:fldChar w:fldCharType="separate"/>
                          </w:r>
                          <w:r>
                            <w:rPr>
                              <w:rStyle w:val="20"/>
                            </w:rPr>
                            <w:t>- 2 -</w:t>
                          </w:r>
                          <w:r>
                            <w:fldChar w:fldCharType="end"/>
                          </w:r>
                        </w:p>
                        <w:p w14:paraId="2DCE910F"/>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22.4pt;width:19.5pt;mso-position-horizontal:center;mso-position-horizontal-relative:margin;mso-wrap-style:none;z-index:251660288;mso-width-relative:page;mso-height-relative:page;" filled="f" stroked="f" coordsize="21600,21600" o:gfxdata="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BskHG9EAAAADAQAADwAAAAAAAAABACAAAAAiAAAAZHJz&#10;L2Rvd25yZXYueG1sUEsBAhQAFAAAAAgAh07iQE7kKBgLAgAAAgQAAA4AAAAAAAAAAQAgAAAAIAEA&#10;AGRycy9lMm9Eb2MueG1sUEsFBgAAAAAGAAYAWQEAAJ0FAAAAAA==&#10;">
              <v:fill on="f" focussize="0,0"/>
              <v:stroke on="f"/>
              <v:imagedata o:title=""/>
              <o:lock v:ext="edit" aspectratio="f"/>
              <v:textbox inset="0mm,0mm,0mm,0mm" style="mso-fit-shape-to-text:t;">
                <w:txbxContent>
                  <w:p w14:paraId="3336E599">
                    <w:pPr>
                      <w:pStyle w:val="11"/>
                      <w:rPr>
                        <w:rStyle w:val="20"/>
                      </w:rPr>
                    </w:pPr>
                    <w:r>
                      <w:fldChar w:fldCharType="begin"/>
                    </w:r>
                    <w:r>
                      <w:rPr>
                        <w:rStyle w:val="20"/>
                      </w:rPr>
                      <w:instrText xml:space="preserve">PAGE  </w:instrText>
                    </w:r>
                    <w:r>
                      <w:fldChar w:fldCharType="separate"/>
                    </w:r>
                    <w:r>
                      <w:rPr>
                        <w:rStyle w:val="20"/>
                      </w:rPr>
                      <w:t>- 2 -</w:t>
                    </w:r>
                    <w:r>
                      <w:fldChar w:fldCharType="end"/>
                    </w:r>
                  </w:p>
                  <w:p w14:paraId="2DCE910F"/>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24EB">
    <w:pPr>
      <w:pStyle w:val="11"/>
      <w:jc w:val="center"/>
    </w:pPr>
    <w:r>
      <w:fldChar w:fldCharType="begin"/>
    </w:r>
    <w:r>
      <w:instrText xml:space="preserve">PAGE   \* MERGEFORMAT</w:instrText>
    </w:r>
    <w:r>
      <w:fldChar w:fldCharType="separate"/>
    </w:r>
    <w:r>
      <w:rPr>
        <w:lang w:val="zh-CN"/>
      </w:rPr>
      <w:t>-</w:t>
    </w:r>
    <w:r>
      <w:t xml:space="preserve"> 0 -</w:t>
    </w:r>
    <w:r>
      <w:fldChar w:fldCharType="end"/>
    </w:r>
  </w:p>
  <w:p w14:paraId="497BE831">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90C05">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D8528C">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7D8528C">
                    <w:pPr>
                      <w:pStyle w:val="11"/>
                    </w:pPr>
                    <w:r>
                      <w:fldChar w:fldCharType="begin"/>
                    </w:r>
                    <w:r>
                      <w:instrText xml:space="preserve"> PAGE  \* MERGEFORMAT </w:instrText>
                    </w:r>
                    <w:r>
                      <w:fldChar w:fldCharType="separate"/>
                    </w:r>
                    <w:r>
                      <w:t>1</w:t>
                    </w:r>
                    <w:r>
                      <w:fldChar w:fldCharType="end"/>
                    </w:r>
                  </w:p>
                </w:txbxContent>
              </v:textbox>
            </v:shape>
          </w:pict>
        </mc:Fallback>
      </mc:AlternateContent>
    </w:r>
    <w:sdt>
      <w:sdtPr>
        <w:rPr>
          <w:rFonts w:hint="default"/>
          <w:lang w:val="en-US"/>
        </w:rPr>
        <w:id w:val="147468749"/>
        <w:showingPlcHdr/>
        <w:docPartObj>
          <w:docPartGallery w:val="autotext"/>
        </w:docPartObj>
      </w:sdtPr>
      <w:sdtEndPr>
        <w:rPr>
          <w:rFonts w:hint="default"/>
          <w:lang w:val="en-US"/>
        </w:rPr>
      </w:sdtEndPr>
      <w:sdtContent/>
    </w:sdt>
  </w:p>
  <w:p w14:paraId="14656F41">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D6430">
    <w:pPr>
      <w:pStyle w:val="12"/>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13C47">
    <w:pPr>
      <w:pStyle w:val="12"/>
      <w:rPr>
        <w:rFonts w:ascii="楷体_GB2312" w:eastAsia="楷体_GB2312"/>
        <w:sz w:val="28"/>
        <w:szCs w:val="28"/>
      </w:rPr>
    </w:pPr>
    <w:r>
      <w:rPr>
        <w:rFonts w:hint="eastAsia"/>
      </w:rPr>
      <w:t>　　　　　　　　　　　　　　　　　　　　　　　　　　　　　　　　　　</w:t>
    </w:r>
    <w:r>
      <w:rPr>
        <w:rFonts w:hint="eastAsia" w:ascii="楷体_GB2312" w:eastAsia="楷体_GB2312"/>
      </w:rPr>
      <w:t>　　</w:t>
    </w:r>
    <w:r>
      <w:rPr>
        <w:rFonts w:hint="eastAsia" w:ascii="楷体_GB2312" w:eastAsia="楷体_GB2312"/>
        <w:sz w:val="28"/>
        <w:szCs w:val="28"/>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5F434">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7933AF"/>
    <w:multiLevelType w:val="multilevel"/>
    <w:tmpl w:val="047933AF"/>
    <w:lvl w:ilvl="0" w:tentative="0">
      <w:start w:val="1"/>
      <w:numFmt w:val="decimal"/>
      <w:pStyle w:val="16"/>
      <w:lvlText w:val="第%1章"/>
      <w:lvlJc w:val="left"/>
      <w:pPr>
        <w:ind w:left="5382"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99F58C0"/>
    <w:multiLevelType w:val="multilevel"/>
    <w:tmpl w:val="199F58C0"/>
    <w:lvl w:ilvl="0" w:tentative="0">
      <w:start w:val="1"/>
      <w:numFmt w:val="decimal"/>
      <w:suff w:val="nothing"/>
      <w:lvlText w:val="%1."/>
      <w:lvlJc w:val="left"/>
      <w:pPr>
        <w:ind w:left="0" w:leftChars="0" w:firstLine="0" w:firstLineChars="0"/>
      </w:pPr>
      <w:rPr>
        <w:rFonts w:hint="default"/>
      </w:rPr>
    </w:lvl>
    <w:lvl w:ilvl="1" w:tentative="0">
      <w:start w:val="1"/>
      <w:numFmt w:val="decimal"/>
      <w:suff w:val="nothing"/>
      <w:lvlText w:val="%1.%2."/>
      <w:lvlJc w:val="left"/>
      <w:pPr>
        <w:ind w:left="0" w:leftChars="0" w:firstLine="0" w:firstLineChars="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
    <w:nsid w:val="26071288"/>
    <w:multiLevelType w:val="multilevel"/>
    <w:tmpl w:val="26071288"/>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default"/>
        <w:sz w:val="28"/>
        <w:szCs w:val="28"/>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
    <w:nsid w:val="32D71598"/>
    <w:multiLevelType w:val="multilevel"/>
    <w:tmpl w:val="32D71598"/>
    <w:lvl w:ilvl="0" w:tentative="0">
      <w:start w:val="1"/>
      <w:numFmt w:val="decimal"/>
      <w:pStyle w:val="2"/>
      <w:lvlText w:val="%1"/>
      <w:lvlJc w:val="left"/>
      <w:pPr>
        <w:ind w:left="432" w:hanging="432"/>
      </w:pPr>
      <w:rPr>
        <w:rFonts w:hint="eastAsia"/>
      </w:rPr>
    </w:lvl>
    <w:lvl w:ilvl="1" w:tentative="0">
      <w:start w:val="1"/>
      <w:numFmt w:val="decimal"/>
      <w:pStyle w:val="3"/>
      <w:lvlText w:val="%1.%2"/>
      <w:lvlJc w:val="left"/>
      <w:pPr>
        <w:ind w:left="576" w:hanging="576"/>
      </w:pPr>
      <w:rPr>
        <w:rFonts w:hint="default"/>
        <w:i w:val="0"/>
        <w:iCs w:val="0"/>
        <w:sz w:val="28"/>
        <w:szCs w:val="28"/>
      </w:rPr>
    </w:lvl>
    <w:lvl w:ilvl="2" w:tentative="0">
      <w:start w:val="1"/>
      <w:numFmt w:val="decimal"/>
      <w:pStyle w:val="4"/>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4">
    <w:nsid w:val="656A6EAE"/>
    <w:multiLevelType w:val="multilevel"/>
    <w:tmpl w:val="656A6EAE"/>
    <w:lvl w:ilvl="0" w:tentative="0">
      <w:start w:val="1"/>
      <w:numFmt w:val="chineseCountingThousand"/>
      <w:pStyle w:val="30"/>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hiNGI0YjIyZDU4ZDBiYmZlNGQ3ODcwMWU5NGJhMGQifQ=="/>
  </w:docVars>
  <w:rsids>
    <w:rsidRoot w:val="00000000"/>
    <w:rsid w:val="007256D8"/>
    <w:rsid w:val="00F44F67"/>
    <w:rsid w:val="01273E3B"/>
    <w:rsid w:val="02411159"/>
    <w:rsid w:val="026106C4"/>
    <w:rsid w:val="02BC6F2C"/>
    <w:rsid w:val="02F15A49"/>
    <w:rsid w:val="02F474A0"/>
    <w:rsid w:val="030376E3"/>
    <w:rsid w:val="03045CB8"/>
    <w:rsid w:val="031A4A2D"/>
    <w:rsid w:val="0385459C"/>
    <w:rsid w:val="039856CE"/>
    <w:rsid w:val="03F84D6E"/>
    <w:rsid w:val="0476467D"/>
    <w:rsid w:val="04A0155B"/>
    <w:rsid w:val="04B34F29"/>
    <w:rsid w:val="050634BB"/>
    <w:rsid w:val="050B287F"/>
    <w:rsid w:val="05214592"/>
    <w:rsid w:val="052676B9"/>
    <w:rsid w:val="053573C8"/>
    <w:rsid w:val="059C373C"/>
    <w:rsid w:val="05C649F8"/>
    <w:rsid w:val="05D728EE"/>
    <w:rsid w:val="05FB6F31"/>
    <w:rsid w:val="061A6F88"/>
    <w:rsid w:val="06262826"/>
    <w:rsid w:val="0651262C"/>
    <w:rsid w:val="06B74E72"/>
    <w:rsid w:val="06B84C89"/>
    <w:rsid w:val="06F9344F"/>
    <w:rsid w:val="079F5ED6"/>
    <w:rsid w:val="07CC1ED0"/>
    <w:rsid w:val="07DE24CD"/>
    <w:rsid w:val="07F863A6"/>
    <w:rsid w:val="08964B56"/>
    <w:rsid w:val="08A0788D"/>
    <w:rsid w:val="08A74FB5"/>
    <w:rsid w:val="08DD4532"/>
    <w:rsid w:val="090606B0"/>
    <w:rsid w:val="091837BC"/>
    <w:rsid w:val="0926237D"/>
    <w:rsid w:val="099077F7"/>
    <w:rsid w:val="09A3577C"/>
    <w:rsid w:val="0A243FB0"/>
    <w:rsid w:val="0AAD5BA8"/>
    <w:rsid w:val="0AB8072D"/>
    <w:rsid w:val="0AD61B81"/>
    <w:rsid w:val="0AFD0EBC"/>
    <w:rsid w:val="0B3465A6"/>
    <w:rsid w:val="0B3D750A"/>
    <w:rsid w:val="0B64718D"/>
    <w:rsid w:val="0B8E7D66"/>
    <w:rsid w:val="0B9F1F73"/>
    <w:rsid w:val="0BB377CC"/>
    <w:rsid w:val="0BB9501C"/>
    <w:rsid w:val="0BD848FB"/>
    <w:rsid w:val="0C4219C8"/>
    <w:rsid w:val="0C4548C9"/>
    <w:rsid w:val="0C594818"/>
    <w:rsid w:val="0C5F7F8E"/>
    <w:rsid w:val="0C6649C2"/>
    <w:rsid w:val="0C676F35"/>
    <w:rsid w:val="0C8A7DF1"/>
    <w:rsid w:val="0DB937C0"/>
    <w:rsid w:val="0DF108BC"/>
    <w:rsid w:val="0E596F18"/>
    <w:rsid w:val="0E9B0BEE"/>
    <w:rsid w:val="0F4D5DDE"/>
    <w:rsid w:val="0F600071"/>
    <w:rsid w:val="0FDC2E8C"/>
    <w:rsid w:val="10702130"/>
    <w:rsid w:val="10F20D97"/>
    <w:rsid w:val="112C24FB"/>
    <w:rsid w:val="113F222E"/>
    <w:rsid w:val="118440E5"/>
    <w:rsid w:val="118934A9"/>
    <w:rsid w:val="120506DE"/>
    <w:rsid w:val="120E5CA1"/>
    <w:rsid w:val="124F64A1"/>
    <w:rsid w:val="12B94041"/>
    <w:rsid w:val="12DE6E2F"/>
    <w:rsid w:val="12ED0C16"/>
    <w:rsid w:val="13615C6C"/>
    <w:rsid w:val="13D8078E"/>
    <w:rsid w:val="14977C8B"/>
    <w:rsid w:val="14F80546"/>
    <w:rsid w:val="1548169E"/>
    <w:rsid w:val="15973978"/>
    <w:rsid w:val="15A90C96"/>
    <w:rsid w:val="15B900D5"/>
    <w:rsid w:val="15C251DC"/>
    <w:rsid w:val="165305B2"/>
    <w:rsid w:val="16546478"/>
    <w:rsid w:val="16A843D2"/>
    <w:rsid w:val="16FC29C4"/>
    <w:rsid w:val="17407FB5"/>
    <w:rsid w:val="17CB05F3"/>
    <w:rsid w:val="18452129"/>
    <w:rsid w:val="18525AFA"/>
    <w:rsid w:val="1894253D"/>
    <w:rsid w:val="189C4C61"/>
    <w:rsid w:val="19C21C4E"/>
    <w:rsid w:val="19E5593D"/>
    <w:rsid w:val="1A085187"/>
    <w:rsid w:val="1A166F21"/>
    <w:rsid w:val="1A3366A8"/>
    <w:rsid w:val="1B9C19EA"/>
    <w:rsid w:val="1C36341E"/>
    <w:rsid w:val="1D152095"/>
    <w:rsid w:val="1DA022A7"/>
    <w:rsid w:val="1DE1641B"/>
    <w:rsid w:val="1EF232D1"/>
    <w:rsid w:val="1F0A2A78"/>
    <w:rsid w:val="1F195869"/>
    <w:rsid w:val="1F5B3666"/>
    <w:rsid w:val="1F6C01BD"/>
    <w:rsid w:val="1FA834FD"/>
    <w:rsid w:val="1FBA579B"/>
    <w:rsid w:val="1FEE1FD4"/>
    <w:rsid w:val="2020181C"/>
    <w:rsid w:val="20A57A23"/>
    <w:rsid w:val="213F79BD"/>
    <w:rsid w:val="21570ECE"/>
    <w:rsid w:val="223013B2"/>
    <w:rsid w:val="227C4964"/>
    <w:rsid w:val="228A52D3"/>
    <w:rsid w:val="228A7081"/>
    <w:rsid w:val="22A04AF7"/>
    <w:rsid w:val="22C2112D"/>
    <w:rsid w:val="22C33DF0"/>
    <w:rsid w:val="22E06CA1"/>
    <w:rsid w:val="231D324D"/>
    <w:rsid w:val="23B31966"/>
    <w:rsid w:val="23DD7177"/>
    <w:rsid w:val="24226A4A"/>
    <w:rsid w:val="2492221D"/>
    <w:rsid w:val="24F24FEE"/>
    <w:rsid w:val="2511775C"/>
    <w:rsid w:val="25551BC9"/>
    <w:rsid w:val="255E30DE"/>
    <w:rsid w:val="25711518"/>
    <w:rsid w:val="258A4B16"/>
    <w:rsid w:val="26C568DA"/>
    <w:rsid w:val="27EB2370"/>
    <w:rsid w:val="27FE6547"/>
    <w:rsid w:val="281D3443"/>
    <w:rsid w:val="28335AC5"/>
    <w:rsid w:val="28397BD4"/>
    <w:rsid w:val="285F2236"/>
    <w:rsid w:val="28844573"/>
    <w:rsid w:val="29673C78"/>
    <w:rsid w:val="2A0B4F8D"/>
    <w:rsid w:val="2A0B61F2"/>
    <w:rsid w:val="2A202A0F"/>
    <w:rsid w:val="2A677CA8"/>
    <w:rsid w:val="2B18774E"/>
    <w:rsid w:val="2BA354D5"/>
    <w:rsid w:val="2BFF63EA"/>
    <w:rsid w:val="2C8E6CA9"/>
    <w:rsid w:val="2C911563"/>
    <w:rsid w:val="2CCE31D2"/>
    <w:rsid w:val="2CEB4BC0"/>
    <w:rsid w:val="2D984D48"/>
    <w:rsid w:val="2DC07A83"/>
    <w:rsid w:val="2DD6386C"/>
    <w:rsid w:val="2E141EF5"/>
    <w:rsid w:val="2E496043"/>
    <w:rsid w:val="2E6F0050"/>
    <w:rsid w:val="2E731311"/>
    <w:rsid w:val="2E764972"/>
    <w:rsid w:val="2EEA2F03"/>
    <w:rsid w:val="2F2616D7"/>
    <w:rsid w:val="2F4F7441"/>
    <w:rsid w:val="2FAB43B4"/>
    <w:rsid w:val="2FB579C7"/>
    <w:rsid w:val="2FBB5CAE"/>
    <w:rsid w:val="3013343D"/>
    <w:rsid w:val="304F63CF"/>
    <w:rsid w:val="30711881"/>
    <w:rsid w:val="30850E88"/>
    <w:rsid w:val="3104250D"/>
    <w:rsid w:val="313905F0"/>
    <w:rsid w:val="3148438F"/>
    <w:rsid w:val="3163258B"/>
    <w:rsid w:val="326B7E02"/>
    <w:rsid w:val="32FF4F22"/>
    <w:rsid w:val="3345384E"/>
    <w:rsid w:val="339715FE"/>
    <w:rsid w:val="33A45A46"/>
    <w:rsid w:val="33D34C71"/>
    <w:rsid w:val="34047DA5"/>
    <w:rsid w:val="34777CE2"/>
    <w:rsid w:val="34A75871"/>
    <w:rsid w:val="34C46423"/>
    <w:rsid w:val="351E50D1"/>
    <w:rsid w:val="35251912"/>
    <w:rsid w:val="35BC70FA"/>
    <w:rsid w:val="35C42453"/>
    <w:rsid w:val="36183502"/>
    <w:rsid w:val="365E6403"/>
    <w:rsid w:val="36687282"/>
    <w:rsid w:val="37AA4C1A"/>
    <w:rsid w:val="384C25B1"/>
    <w:rsid w:val="38617CAB"/>
    <w:rsid w:val="386D5023"/>
    <w:rsid w:val="398D772B"/>
    <w:rsid w:val="39FF69C5"/>
    <w:rsid w:val="3A86417A"/>
    <w:rsid w:val="3AFF6407"/>
    <w:rsid w:val="3B070FC8"/>
    <w:rsid w:val="3B134A1E"/>
    <w:rsid w:val="3B2B37AE"/>
    <w:rsid w:val="3B8F1FE2"/>
    <w:rsid w:val="3B9259C0"/>
    <w:rsid w:val="3BE6503C"/>
    <w:rsid w:val="3CF43EAD"/>
    <w:rsid w:val="3D2E7899"/>
    <w:rsid w:val="3D494544"/>
    <w:rsid w:val="3D497FDD"/>
    <w:rsid w:val="3DAE7C70"/>
    <w:rsid w:val="3DC90D6A"/>
    <w:rsid w:val="3DDF42CD"/>
    <w:rsid w:val="3DE75487"/>
    <w:rsid w:val="3DEB454B"/>
    <w:rsid w:val="3E3068D7"/>
    <w:rsid w:val="3E343C9D"/>
    <w:rsid w:val="3EBB63A3"/>
    <w:rsid w:val="3EC6100D"/>
    <w:rsid w:val="3EF06066"/>
    <w:rsid w:val="3F4F492A"/>
    <w:rsid w:val="3F8C20F5"/>
    <w:rsid w:val="3FC574F3"/>
    <w:rsid w:val="40062F2A"/>
    <w:rsid w:val="401A15ED"/>
    <w:rsid w:val="404A3387"/>
    <w:rsid w:val="409619DD"/>
    <w:rsid w:val="40FC7A22"/>
    <w:rsid w:val="41023096"/>
    <w:rsid w:val="410F0A26"/>
    <w:rsid w:val="41171FD0"/>
    <w:rsid w:val="416729BB"/>
    <w:rsid w:val="41807B75"/>
    <w:rsid w:val="41854851"/>
    <w:rsid w:val="41BF5E34"/>
    <w:rsid w:val="42075BA1"/>
    <w:rsid w:val="421F113C"/>
    <w:rsid w:val="423050F8"/>
    <w:rsid w:val="426052B1"/>
    <w:rsid w:val="42BC0C0E"/>
    <w:rsid w:val="42D57A4D"/>
    <w:rsid w:val="42F519CE"/>
    <w:rsid w:val="43274DD5"/>
    <w:rsid w:val="433F4FDC"/>
    <w:rsid w:val="434D1CD9"/>
    <w:rsid w:val="439D0AC1"/>
    <w:rsid w:val="44727FC9"/>
    <w:rsid w:val="447D40A7"/>
    <w:rsid w:val="44CF4FA2"/>
    <w:rsid w:val="45534CCD"/>
    <w:rsid w:val="456C47D9"/>
    <w:rsid w:val="458B70C4"/>
    <w:rsid w:val="459667BD"/>
    <w:rsid w:val="45B778DE"/>
    <w:rsid w:val="45E83F3B"/>
    <w:rsid w:val="463616F2"/>
    <w:rsid w:val="464E341B"/>
    <w:rsid w:val="46954459"/>
    <w:rsid w:val="46987301"/>
    <w:rsid w:val="46B300A5"/>
    <w:rsid w:val="46C93299"/>
    <w:rsid w:val="46F04E55"/>
    <w:rsid w:val="47095F17"/>
    <w:rsid w:val="471B1570"/>
    <w:rsid w:val="479B5ECC"/>
    <w:rsid w:val="47BC567F"/>
    <w:rsid w:val="484440CC"/>
    <w:rsid w:val="48D93A13"/>
    <w:rsid w:val="48E1779E"/>
    <w:rsid w:val="49240008"/>
    <w:rsid w:val="493279A7"/>
    <w:rsid w:val="49634005"/>
    <w:rsid w:val="49941F24"/>
    <w:rsid w:val="49ED38CE"/>
    <w:rsid w:val="4A1E5FD7"/>
    <w:rsid w:val="4A412C94"/>
    <w:rsid w:val="4A800BE6"/>
    <w:rsid w:val="4AC76815"/>
    <w:rsid w:val="4AE40A60"/>
    <w:rsid w:val="4B0435C5"/>
    <w:rsid w:val="4B4B41DB"/>
    <w:rsid w:val="4BFD21B6"/>
    <w:rsid w:val="4C675BBA"/>
    <w:rsid w:val="4C953077"/>
    <w:rsid w:val="4CBB28BC"/>
    <w:rsid w:val="4CEE2A3C"/>
    <w:rsid w:val="4CF74DF1"/>
    <w:rsid w:val="4D163C3E"/>
    <w:rsid w:val="4D1D265B"/>
    <w:rsid w:val="4D7C105A"/>
    <w:rsid w:val="4D9A3D6D"/>
    <w:rsid w:val="4DB304D7"/>
    <w:rsid w:val="4E9C3B15"/>
    <w:rsid w:val="4EAC1FAA"/>
    <w:rsid w:val="4FA47125"/>
    <w:rsid w:val="4FAF0E71"/>
    <w:rsid w:val="508927CE"/>
    <w:rsid w:val="50BF52B7"/>
    <w:rsid w:val="50C96CF3"/>
    <w:rsid w:val="5151220A"/>
    <w:rsid w:val="515626A1"/>
    <w:rsid w:val="51BC69A8"/>
    <w:rsid w:val="51E732F9"/>
    <w:rsid w:val="524F671C"/>
    <w:rsid w:val="525564B4"/>
    <w:rsid w:val="528767A6"/>
    <w:rsid w:val="531B2103"/>
    <w:rsid w:val="5394125E"/>
    <w:rsid w:val="53B86CFB"/>
    <w:rsid w:val="543851AD"/>
    <w:rsid w:val="543A1E06"/>
    <w:rsid w:val="54831E37"/>
    <w:rsid w:val="549F173E"/>
    <w:rsid w:val="550614EE"/>
    <w:rsid w:val="552A3C28"/>
    <w:rsid w:val="5536601F"/>
    <w:rsid w:val="559513D4"/>
    <w:rsid w:val="55B87E48"/>
    <w:rsid w:val="55FF3167"/>
    <w:rsid w:val="566E223B"/>
    <w:rsid w:val="56D007FF"/>
    <w:rsid w:val="5729257C"/>
    <w:rsid w:val="575E7440"/>
    <w:rsid w:val="5815308E"/>
    <w:rsid w:val="581B0800"/>
    <w:rsid w:val="581E5EEA"/>
    <w:rsid w:val="58627B7D"/>
    <w:rsid w:val="587E07BE"/>
    <w:rsid w:val="588A01CF"/>
    <w:rsid w:val="589C4E3D"/>
    <w:rsid w:val="58DA5965"/>
    <w:rsid w:val="58FC2CF1"/>
    <w:rsid w:val="59060509"/>
    <w:rsid w:val="59637709"/>
    <w:rsid w:val="5990437C"/>
    <w:rsid w:val="5999312B"/>
    <w:rsid w:val="5A137381"/>
    <w:rsid w:val="5A2C3F9F"/>
    <w:rsid w:val="5A7A601D"/>
    <w:rsid w:val="5A9102A6"/>
    <w:rsid w:val="5AC671DB"/>
    <w:rsid w:val="5AFB3C21"/>
    <w:rsid w:val="5B115748"/>
    <w:rsid w:val="5B2800E5"/>
    <w:rsid w:val="5B2D7AB3"/>
    <w:rsid w:val="5B3F7D02"/>
    <w:rsid w:val="5B8B2F47"/>
    <w:rsid w:val="5BD26138"/>
    <w:rsid w:val="5C5C0E94"/>
    <w:rsid w:val="5C5C1331"/>
    <w:rsid w:val="5C7211A8"/>
    <w:rsid w:val="5CA778E0"/>
    <w:rsid w:val="5CC934CD"/>
    <w:rsid w:val="5CE9174A"/>
    <w:rsid w:val="5D0B433F"/>
    <w:rsid w:val="5D79219C"/>
    <w:rsid w:val="5DAF73C1"/>
    <w:rsid w:val="5E066F4A"/>
    <w:rsid w:val="5E191473"/>
    <w:rsid w:val="5E1E62F4"/>
    <w:rsid w:val="5E2928CC"/>
    <w:rsid w:val="5ED12224"/>
    <w:rsid w:val="5ED2780B"/>
    <w:rsid w:val="5EE17A4E"/>
    <w:rsid w:val="5EE27322"/>
    <w:rsid w:val="5F131BD1"/>
    <w:rsid w:val="600F4147"/>
    <w:rsid w:val="604364E6"/>
    <w:rsid w:val="60BD1C95"/>
    <w:rsid w:val="60FD6695"/>
    <w:rsid w:val="61CA3C69"/>
    <w:rsid w:val="620852FA"/>
    <w:rsid w:val="62486413"/>
    <w:rsid w:val="6281787A"/>
    <w:rsid w:val="630E1F93"/>
    <w:rsid w:val="63520F1A"/>
    <w:rsid w:val="638135AD"/>
    <w:rsid w:val="63C72943"/>
    <w:rsid w:val="63CD67F3"/>
    <w:rsid w:val="64446389"/>
    <w:rsid w:val="649E4FF6"/>
    <w:rsid w:val="64F61D79"/>
    <w:rsid w:val="6563304C"/>
    <w:rsid w:val="656C5937"/>
    <w:rsid w:val="65FB4F33"/>
    <w:rsid w:val="66022B46"/>
    <w:rsid w:val="67495959"/>
    <w:rsid w:val="67B10EDE"/>
    <w:rsid w:val="67F97B21"/>
    <w:rsid w:val="68201038"/>
    <w:rsid w:val="689B6629"/>
    <w:rsid w:val="68C21DBA"/>
    <w:rsid w:val="68D61B92"/>
    <w:rsid w:val="68F62348"/>
    <w:rsid w:val="690D0A0C"/>
    <w:rsid w:val="6938470E"/>
    <w:rsid w:val="696372B1"/>
    <w:rsid w:val="69E71C90"/>
    <w:rsid w:val="6A914FEE"/>
    <w:rsid w:val="6A974F0E"/>
    <w:rsid w:val="6A9C0CCD"/>
    <w:rsid w:val="6AAE53DB"/>
    <w:rsid w:val="6AB866F9"/>
    <w:rsid w:val="6AEA7C8A"/>
    <w:rsid w:val="6B064398"/>
    <w:rsid w:val="6B3E1D84"/>
    <w:rsid w:val="6BB42046"/>
    <w:rsid w:val="6BFB6DB8"/>
    <w:rsid w:val="6D6261FE"/>
    <w:rsid w:val="6D943EDD"/>
    <w:rsid w:val="6DC96FAF"/>
    <w:rsid w:val="6E0127B0"/>
    <w:rsid w:val="6E222AF0"/>
    <w:rsid w:val="6E494CC8"/>
    <w:rsid w:val="6E795D9A"/>
    <w:rsid w:val="6E940155"/>
    <w:rsid w:val="6EC13D39"/>
    <w:rsid w:val="6EF56BFD"/>
    <w:rsid w:val="6F076528"/>
    <w:rsid w:val="6F3E1611"/>
    <w:rsid w:val="6F810B92"/>
    <w:rsid w:val="6F854443"/>
    <w:rsid w:val="702267B1"/>
    <w:rsid w:val="702D7525"/>
    <w:rsid w:val="70956D9D"/>
    <w:rsid w:val="70A46C08"/>
    <w:rsid w:val="70A901E3"/>
    <w:rsid w:val="70F51137"/>
    <w:rsid w:val="71280976"/>
    <w:rsid w:val="71450956"/>
    <w:rsid w:val="71755DD4"/>
    <w:rsid w:val="718A18F9"/>
    <w:rsid w:val="72E2393D"/>
    <w:rsid w:val="7305449F"/>
    <w:rsid w:val="730B69EF"/>
    <w:rsid w:val="736519FB"/>
    <w:rsid w:val="744639CC"/>
    <w:rsid w:val="748702F8"/>
    <w:rsid w:val="74B529DF"/>
    <w:rsid w:val="74BC3B37"/>
    <w:rsid w:val="75AF74EF"/>
    <w:rsid w:val="75DF38FA"/>
    <w:rsid w:val="764B7DA3"/>
    <w:rsid w:val="76AD2208"/>
    <w:rsid w:val="76E43A77"/>
    <w:rsid w:val="772571F2"/>
    <w:rsid w:val="77463171"/>
    <w:rsid w:val="77B91682"/>
    <w:rsid w:val="782013CC"/>
    <w:rsid w:val="78627CF8"/>
    <w:rsid w:val="78703A71"/>
    <w:rsid w:val="78AE5CFE"/>
    <w:rsid w:val="78AE6759"/>
    <w:rsid w:val="78CC5E92"/>
    <w:rsid w:val="78E9549E"/>
    <w:rsid w:val="78F4247E"/>
    <w:rsid w:val="79291C4C"/>
    <w:rsid w:val="79673F3D"/>
    <w:rsid w:val="7A613399"/>
    <w:rsid w:val="7AF4420D"/>
    <w:rsid w:val="7B0208F2"/>
    <w:rsid w:val="7CF74440"/>
    <w:rsid w:val="7CFB7AD5"/>
    <w:rsid w:val="7D254B52"/>
    <w:rsid w:val="7D9F4904"/>
    <w:rsid w:val="7E1F77F3"/>
    <w:rsid w:val="7E5C22A5"/>
    <w:rsid w:val="7E5D7B42"/>
    <w:rsid w:val="7E6478FC"/>
    <w:rsid w:val="7E7062A0"/>
    <w:rsid w:val="7E7A711F"/>
    <w:rsid w:val="7E927FC5"/>
    <w:rsid w:val="7EB037B2"/>
    <w:rsid w:val="7EC648E9"/>
    <w:rsid w:val="7ED33124"/>
    <w:rsid w:val="7EE03046"/>
    <w:rsid w:val="7F2F76E5"/>
    <w:rsid w:val="7F5C116A"/>
    <w:rsid w:val="7F670538"/>
    <w:rsid w:val="7FCE01BF"/>
    <w:rsid w:val="7FE201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9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99"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99"/>
    <w:pPr>
      <w:numPr>
        <w:ilvl w:val="0"/>
        <w:numId w:val="1"/>
      </w:numPr>
      <w:tabs>
        <w:tab w:val="right" w:leader="dot" w:pos="9061"/>
      </w:tabs>
      <w:spacing w:line="360" w:lineRule="auto"/>
      <w:jc w:val="center"/>
      <w:outlineLvl w:val="0"/>
    </w:pPr>
    <w:rPr>
      <w:b/>
      <w:iCs/>
      <w:sz w:val="36"/>
      <w:szCs w:val="20"/>
    </w:rPr>
  </w:style>
  <w:style w:type="paragraph" w:styleId="3">
    <w:name w:val="heading 2"/>
    <w:basedOn w:val="1"/>
    <w:next w:val="1"/>
    <w:link w:val="25"/>
    <w:qFormat/>
    <w:uiPriority w:val="0"/>
    <w:pPr>
      <w:numPr>
        <w:ilvl w:val="1"/>
        <w:numId w:val="1"/>
      </w:numPr>
      <w:spacing w:before="50" w:beforeLines="50"/>
      <w:outlineLvl w:val="1"/>
    </w:pPr>
    <w:rPr>
      <w:b/>
    </w:rPr>
  </w:style>
  <w:style w:type="paragraph" w:styleId="4">
    <w:name w:val="heading 3"/>
    <w:basedOn w:val="1"/>
    <w:next w:val="1"/>
    <w:link w:val="28"/>
    <w:qFormat/>
    <w:uiPriority w:val="99"/>
    <w:pPr>
      <w:keepNext/>
      <w:keepLines/>
      <w:numPr>
        <w:ilvl w:val="2"/>
        <w:numId w:val="1"/>
      </w:numPr>
      <w:spacing w:line="360" w:lineRule="auto"/>
      <w:ind w:left="0" w:firstLine="200" w:firstLineChars="200"/>
      <w:jc w:val="left"/>
      <w:outlineLvl w:val="2"/>
    </w:pPr>
    <w:rPr>
      <w:bCs/>
      <w:kern w:val="0"/>
      <w:sz w:val="24"/>
      <w:szCs w:val="32"/>
    </w:rPr>
  </w:style>
  <w:style w:type="paragraph" w:styleId="5">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6">
    <w:name w:val="List 3"/>
    <w:basedOn w:val="1"/>
    <w:qFormat/>
    <w:uiPriority w:val="99"/>
    <w:pPr>
      <w:ind w:left="100" w:leftChars="400" w:hanging="200" w:hangingChars="200"/>
    </w:pPr>
  </w:style>
  <w:style w:type="paragraph" w:styleId="7">
    <w:name w:val="Normal Indent"/>
    <w:basedOn w:val="1"/>
    <w:next w:val="1"/>
    <w:qFormat/>
    <w:uiPriority w:val="99"/>
    <w:pPr>
      <w:ind w:firstLine="420" w:firstLineChars="200"/>
    </w:pPr>
    <w:rPr>
      <w:kern w:val="0"/>
    </w:rPr>
  </w:style>
  <w:style w:type="paragraph" w:styleId="8">
    <w:name w:val="annotation text"/>
    <w:basedOn w:val="1"/>
    <w:qFormat/>
    <w:uiPriority w:val="99"/>
    <w:pPr>
      <w:spacing w:after="200" w:line="276" w:lineRule="auto"/>
      <w:jc w:val="left"/>
    </w:pPr>
    <w:rPr>
      <w:kern w:val="0"/>
    </w:rPr>
  </w:style>
  <w:style w:type="paragraph" w:styleId="9">
    <w:name w:val="Body Text"/>
    <w:basedOn w:val="1"/>
    <w:qFormat/>
    <w:uiPriority w:val="99"/>
    <w:pPr>
      <w:spacing w:after="120"/>
    </w:pPr>
    <w:rPr>
      <w:kern w:val="0"/>
    </w:rPr>
  </w:style>
  <w:style w:type="paragraph" w:styleId="10">
    <w:name w:val="Plain Text"/>
    <w:basedOn w:val="1"/>
    <w:qFormat/>
    <w:uiPriority w:val="0"/>
    <w:rPr>
      <w:rFonts w:ascii="宋体" w:hAnsi="Courier New"/>
      <w:kern w:val="0"/>
    </w:rPr>
  </w:style>
  <w:style w:type="paragraph" w:styleId="11">
    <w:name w:val="footer"/>
    <w:basedOn w:val="1"/>
    <w:qFormat/>
    <w:uiPriority w:val="99"/>
    <w:pPr>
      <w:tabs>
        <w:tab w:val="center" w:pos="4153"/>
        <w:tab w:val="right" w:pos="8306"/>
      </w:tabs>
      <w:snapToGrid w:val="0"/>
      <w:jc w:val="left"/>
    </w:pPr>
    <w:rPr>
      <w:kern w:val="0"/>
      <w:sz w:val="18"/>
      <w:szCs w:val="18"/>
    </w:rPr>
  </w:style>
  <w:style w:type="paragraph" w:styleId="12">
    <w:name w:val="header"/>
    <w:basedOn w:val="1"/>
    <w:qFormat/>
    <w:uiPriority w:val="99"/>
    <w:pPr>
      <w:pBdr>
        <w:bottom w:val="single" w:color="auto" w:sz="6" w:space="1"/>
      </w:pBdr>
      <w:tabs>
        <w:tab w:val="center" w:pos="4153"/>
        <w:tab w:val="right" w:pos="8306"/>
      </w:tabs>
      <w:snapToGrid w:val="0"/>
      <w:jc w:val="center"/>
    </w:pPr>
    <w:rPr>
      <w:kern w:val="0"/>
      <w:sz w:val="18"/>
      <w:szCs w:val="18"/>
    </w:rPr>
  </w:style>
  <w:style w:type="paragraph" w:styleId="13">
    <w:name w:val="toc 1"/>
    <w:basedOn w:val="1"/>
    <w:next w:val="1"/>
    <w:qFormat/>
    <w:uiPriority w:val="39"/>
    <w:pPr>
      <w:spacing w:before="120" w:after="120"/>
      <w:jc w:val="left"/>
    </w:pPr>
    <w:rPr>
      <w:b/>
      <w:bCs/>
      <w:caps/>
      <w:sz w:val="24"/>
      <w:szCs w:val="20"/>
    </w:rPr>
  </w:style>
  <w:style w:type="paragraph" w:styleId="14">
    <w:name w:val="toc 2"/>
    <w:basedOn w:val="1"/>
    <w:next w:val="1"/>
    <w:qFormat/>
    <w:uiPriority w:val="39"/>
    <w:pPr>
      <w:spacing w:line="360" w:lineRule="auto"/>
      <w:ind w:left="210"/>
      <w:jc w:val="left"/>
    </w:pPr>
    <w:rPr>
      <w:smallCaps/>
      <w:sz w:val="24"/>
      <w:szCs w:val="20"/>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Title"/>
    <w:basedOn w:val="1"/>
    <w:qFormat/>
    <w:uiPriority w:val="0"/>
    <w:pPr>
      <w:numPr>
        <w:ilvl w:val="0"/>
        <w:numId w:val="2"/>
      </w:numPr>
      <w:spacing w:before="240" w:after="60" w:line="276" w:lineRule="auto"/>
      <w:jc w:val="center"/>
      <w:outlineLvl w:val="0"/>
    </w:pPr>
    <w:rPr>
      <w:b/>
      <w:bCs/>
      <w:kern w:val="0"/>
      <w:sz w:val="32"/>
      <w:szCs w:val="32"/>
    </w:rPr>
  </w:style>
  <w:style w:type="table" w:styleId="18">
    <w:name w:val="Table Grid"/>
    <w:basedOn w:val="1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page number"/>
    <w:basedOn w:val="19"/>
    <w:qFormat/>
    <w:uiPriority w:val="0"/>
  </w:style>
  <w:style w:type="character" w:styleId="21">
    <w:name w:val="Hyperlink"/>
    <w:basedOn w:val="19"/>
    <w:qFormat/>
    <w:uiPriority w:val="99"/>
    <w:rPr>
      <w:rFonts w:cs="Times New Roman"/>
      <w:color w:val="1F4F88"/>
      <w:u w:val="none"/>
    </w:rPr>
  </w:style>
  <w:style w:type="paragraph" w:styleId="22">
    <w:name w:val="List Paragraph"/>
    <w:basedOn w:val="1"/>
    <w:qFormat/>
    <w:uiPriority w:val="99"/>
    <w:pPr>
      <w:ind w:firstLine="420" w:firstLineChars="200"/>
    </w:pPr>
    <w:rPr>
      <w:szCs w:val="24"/>
    </w:rPr>
  </w:style>
  <w:style w:type="paragraph" w:customStyle="1" w:styleId="23">
    <w:name w:val="正文（缩进）"/>
    <w:basedOn w:val="1"/>
    <w:semiHidden/>
    <w:qFormat/>
    <w:uiPriority w:val="99"/>
    <w:pPr>
      <w:spacing w:beforeLines="50" w:afterLines="50" w:line="360" w:lineRule="auto"/>
      <w:ind w:firstLine="480" w:firstLineChars="200"/>
    </w:pPr>
    <w:rPr>
      <w:kern w:val="0"/>
      <w:sz w:val="24"/>
      <w:szCs w:val="20"/>
    </w:rPr>
  </w:style>
  <w:style w:type="paragraph" w:customStyle="1" w:styleId="24">
    <w:name w:val="标书正文格式"/>
    <w:basedOn w:val="10"/>
    <w:qFormat/>
    <w:uiPriority w:val="0"/>
    <w:pPr>
      <w:spacing w:line="360" w:lineRule="auto"/>
      <w:ind w:firstLine="200" w:firstLineChars="200"/>
    </w:pPr>
    <w:rPr>
      <w:rFonts w:hAnsi="宋体"/>
      <w:color w:val="000000"/>
      <w:sz w:val="24"/>
      <w:szCs w:val="24"/>
    </w:rPr>
  </w:style>
  <w:style w:type="character" w:customStyle="1" w:styleId="25">
    <w:name w:val="标题 2 字符"/>
    <w:link w:val="3"/>
    <w:qFormat/>
    <w:locked/>
    <w:uiPriority w:val="0"/>
    <w:rPr>
      <w:b/>
    </w:rPr>
  </w:style>
  <w:style w:type="character" w:customStyle="1" w:styleId="26">
    <w:name w:val="font11"/>
    <w:basedOn w:val="19"/>
    <w:qFormat/>
    <w:uiPriority w:val="0"/>
    <w:rPr>
      <w:rFonts w:hint="eastAsia" w:ascii="微软雅黑" w:hAnsi="微软雅黑" w:eastAsia="微软雅黑" w:cs="微软雅黑"/>
      <w:b/>
      <w:bCs/>
      <w:color w:val="000000"/>
      <w:sz w:val="21"/>
      <w:szCs w:val="21"/>
      <w:u w:val="none"/>
    </w:rPr>
  </w:style>
  <w:style w:type="character" w:customStyle="1" w:styleId="27">
    <w:name w:val="font21"/>
    <w:basedOn w:val="19"/>
    <w:qFormat/>
    <w:uiPriority w:val="0"/>
    <w:rPr>
      <w:rFonts w:hint="eastAsia" w:ascii="微软雅黑" w:hAnsi="微软雅黑" w:eastAsia="微软雅黑" w:cs="微软雅黑"/>
      <w:color w:val="000000"/>
      <w:sz w:val="21"/>
      <w:szCs w:val="21"/>
      <w:u w:val="none"/>
    </w:rPr>
  </w:style>
  <w:style w:type="character" w:customStyle="1" w:styleId="28">
    <w:name w:val="标题 3 Char"/>
    <w:link w:val="4"/>
    <w:qFormat/>
    <w:uiPriority w:val="99"/>
    <w:rPr>
      <w:bCs/>
      <w:kern w:val="0"/>
      <w:sz w:val="24"/>
      <w:szCs w:val="32"/>
    </w:rPr>
  </w:style>
  <w:style w:type="paragraph" w:customStyle="1" w:styleId="29">
    <w:name w:val="标书正文"/>
    <w:basedOn w:val="10"/>
    <w:qFormat/>
    <w:uiPriority w:val="9"/>
    <w:pPr>
      <w:spacing w:line="360" w:lineRule="auto"/>
      <w:jc w:val="left"/>
    </w:pPr>
  </w:style>
  <w:style w:type="paragraph" w:customStyle="1" w:styleId="30">
    <w:name w:val="一级标题"/>
    <w:basedOn w:val="10"/>
    <w:qFormat/>
    <w:uiPriority w:val="1"/>
    <w:pPr>
      <w:numPr>
        <w:ilvl w:val="0"/>
        <w:numId w:val="3"/>
      </w:numPr>
      <w:spacing w:line="360" w:lineRule="auto"/>
      <w:ind w:left="420"/>
      <w:outlineLvl w:val="1"/>
    </w:pPr>
    <w:rPr>
      <w:rFonts w:ascii="黑体" w:eastAsia="黑体"/>
      <w:b/>
      <w:bCs/>
      <w:sz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4800</Words>
  <Characters>5272</Characters>
  <Lines>0</Lines>
  <Paragraphs>0</Paragraphs>
  <TotalTime>0</TotalTime>
  <ScaleCrop>false</ScaleCrop>
  <LinksUpToDate>false</LinksUpToDate>
  <CharactersWithSpaces>5656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2024-04-02T03:23:00Z</dcterms:created>
  <dc:creator>Lenovo</dc:creator>
  <cp:lastModifiedBy>王瑄</cp:lastModifiedBy>
  <dcterms:modified xsi:type="dcterms:W3CDTF">2026-09-17T03:14:38Z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99B024F267BD4D018D16F4157E0953D6_13</vt:lpwstr>
  </property>
  <property fmtid="{D5CDD505-2E9C-101B-9397-08002B2CF9AE}" pid="4" name="KSOTemplateDocerSaveRecord">
    <vt:lpwstr>eyJoZGlkIjoiZWQxZjNmOWI4MjYxMjE3YWYxMWY4NzIzOWZkNTY1ZGEiLCJ1c2VySWQiOiIxNzY1MTE0NzEzIn0=</vt:lpwstr>
  </property>
</Properties>
</file>