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23A79">
      <w:pPr>
        <w:ind w:left="3411" w:leftChars="104" w:right="280" w:hanging="3193" w:hangingChars="994"/>
        <w:jc w:val="both"/>
        <w:rPr>
          <w:rFonts w:hint="eastAsia" w:ascii="宋体" w:hAnsi="宋体" w:eastAsia="宋体" w:cs="宋体"/>
          <w:sz w:val="32"/>
          <w:szCs w:val="32"/>
        </w:rPr>
      </w:pPr>
      <w:r>
        <w:rPr>
          <w:rFonts w:hint="eastAsia" w:ascii="宋体" w:hAnsi="宋体" w:eastAsia="宋体" w:cs="宋体"/>
          <w:b/>
          <w:bCs/>
          <w:color w:val="000000"/>
          <w:kern w:val="0"/>
          <w:sz w:val="32"/>
          <w:szCs w:val="32"/>
          <w:lang w:val="en-US" w:eastAsia="zh-CN"/>
        </w:rPr>
        <w:t>济南</w:t>
      </w:r>
      <w:r>
        <w:rPr>
          <w:rFonts w:hint="eastAsia" w:ascii="宋体" w:hAnsi="宋体" w:eastAsia="宋体" w:cs="宋体"/>
          <w:b/>
          <w:bCs/>
          <w:color w:val="000000"/>
          <w:kern w:val="0"/>
          <w:sz w:val="32"/>
          <w:szCs w:val="32"/>
        </w:rPr>
        <w:t>卡车</w:t>
      </w:r>
      <w:r>
        <w:rPr>
          <w:rFonts w:hint="eastAsia" w:ascii="宋体" w:hAnsi="宋体" w:eastAsia="宋体" w:cs="宋体"/>
          <w:b/>
          <w:bCs/>
          <w:color w:val="000000"/>
          <w:kern w:val="0"/>
          <w:sz w:val="32"/>
          <w:szCs w:val="32"/>
          <w:lang w:val="en-US" w:eastAsia="zh-CN"/>
        </w:rPr>
        <w:t>股份有限</w:t>
      </w:r>
      <w:r>
        <w:rPr>
          <w:rFonts w:hint="eastAsia" w:ascii="宋体" w:hAnsi="宋体" w:eastAsia="宋体" w:cs="宋体"/>
          <w:b/>
          <w:bCs/>
          <w:color w:val="000000"/>
          <w:kern w:val="0"/>
          <w:sz w:val="32"/>
          <w:szCs w:val="32"/>
        </w:rPr>
        <w:t>公司</w:t>
      </w:r>
      <w:r>
        <w:rPr>
          <w:rFonts w:hint="eastAsia" w:ascii="宋体" w:hAnsi="宋体" w:eastAsia="宋体" w:cs="宋体"/>
          <w:b/>
          <w:bCs/>
          <w:sz w:val="32"/>
          <w:szCs w:val="32"/>
          <w:lang w:val="en-US" w:eastAsia="zh-CN"/>
        </w:rPr>
        <w:t>整车仓储部</w:t>
      </w:r>
      <w:r>
        <w:rPr>
          <w:rFonts w:hint="eastAsia" w:ascii="宋体" w:hAnsi="宋体" w:eastAsia="宋体" w:cs="宋体"/>
          <w:b/>
          <w:bCs/>
          <w:sz w:val="32"/>
          <w:szCs w:val="32"/>
        </w:rPr>
        <w:t>8平</w:t>
      </w:r>
      <w:r>
        <w:rPr>
          <w:rFonts w:hint="eastAsia" w:ascii="宋体" w:hAnsi="宋体" w:eastAsia="宋体" w:cs="宋体"/>
          <w:b/>
          <w:bCs/>
          <w:sz w:val="32"/>
          <w:szCs w:val="32"/>
          <w:lang w:val="en-US" w:eastAsia="zh-CN"/>
        </w:rPr>
        <w:t>台</w:t>
      </w:r>
      <w:r>
        <w:rPr>
          <w:rFonts w:hint="eastAsia" w:ascii="宋体" w:hAnsi="宋体" w:eastAsia="宋体" w:cs="宋体"/>
          <w:b/>
          <w:bCs/>
          <w:sz w:val="32"/>
          <w:szCs w:val="32"/>
        </w:rPr>
        <w:t>维修</w:t>
      </w:r>
      <w:r>
        <w:rPr>
          <w:rFonts w:hint="eastAsia" w:ascii="宋体" w:hAnsi="宋体" w:eastAsia="宋体" w:cs="宋体"/>
          <w:b/>
          <w:bCs/>
          <w:sz w:val="32"/>
          <w:szCs w:val="32"/>
          <w:lang w:val="en-US" w:eastAsia="zh-CN"/>
        </w:rPr>
        <w:t xml:space="preserve">勘察      </w:t>
      </w:r>
      <w:r>
        <w:rPr>
          <w:rFonts w:hint="eastAsia" w:ascii="宋体" w:hAnsi="宋体" w:eastAsia="宋体" w:cs="宋体"/>
          <w:b/>
          <w:bCs/>
          <w:sz w:val="32"/>
          <w:szCs w:val="32"/>
        </w:rPr>
        <w:t>设计方案招标公告</w:t>
      </w:r>
    </w:p>
    <w:p w14:paraId="2C846385">
      <w:pPr>
        <w:keepNext w:val="0"/>
        <w:keepLines w:val="0"/>
        <w:pageBreakBefore w:val="0"/>
        <w:widowControl w:val="0"/>
        <w:kinsoku/>
        <w:wordWrap/>
        <w:overflowPunct/>
        <w:topLinePunct w:val="0"/>
        <w:autoSpaceDE/>
        <w:autoSpaceDN/>
        <w:bidi w:val="0"/>
        <w:adjustRightInd w:val="0"/>
        <w:snapToGrid w:val="0"/>
        <w:spacing w:line="360" w:lineRule="auto"/>
        <w:ind w:right="960" w:firstLine="241" w:firstLineChars="100"/>
        <w:textAlignment w:val="auto"/>
        <w:rPr>
          <w:rFonts w:hint="eastAsia" w:ascii="宋体" w:hAnsi="宋体" w:eastAsia="宋体" w:cs="宋体"/>
          <w:b/>
          <w:bCs/>
          <w:color w:val="000000"/>
          <w:kern w:val="0"/>
          <w:sz w:val="24"/>
          <w:szCs w:val="24"/>
          <w:lang w:val="en-US" w:eastAsia="zh-CN"/>
        </w:rPr>
      </w:pPr>
    </w:p>
    <w:p w14:paraId="1BFA849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960" w:rightChars="0" w:firstLine="211" w:firstLineChars="100"/>
        <w:textAlignment w:val="auto"/>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1、招标形式：</w:t>
      </w:r>
      <w:r>
        <w:rPr>
          <w:rFonts w:hint="eastAsia" w:ascii="宋体" w:hAnsi="宋体" w:eastAsia="宋体" w:cs="宋体"/>
          <w:b/>
          <w:bCs/>
          <w:color w:val="000000"/>
          <w:kern w:val="0"/>
          <w:sz w:val="21"/>
          <w:szCs w:val="21"/>
        </w:rPr>
        <w:t>公开招标</w:t>
      </w:r>
    </w:p>
    <w:p w14:paraId="75EEF6E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960" w:rightChars="0" w:firstLine="632" w:firstLineChars="300"/>
        <w:textAlignment w:val="auto"/>
        <w:rPr>
          <w:rFonts w:hint="eastAsia" w:ascii="宋体" w:hAnsi="宋体" w:eastAsia="宋体" w:cs="宋体"/>
          <w:b/>
          <w:bCs/>
          <w:color w:val="000000"/>
          <w:kern w:val="0"/>
          <w:sz w:val="21"/>
          <w:szCs w:val="21"/>
          <w:lang w:val="en-US" w:eastAsia="zh-CN"/>
        </w:rPr>
      </w:pPr>
      <w:r>
        <w:rPr>
          <w:rFonts w:hint="eastAsia" w:ascii="宋体" w:hAnsi="宋体" w:eastAsia="宋体" w:cs="宋体"/>
          <w:b/>
          <w:bCs/>
          <w:sz w:val="21"/>
          <w:szCs w:val="21"/>
          <w:lang w:val="en-US" w:eastAsia="zh-CN"/>
        </w:rPr>
        <w:t>招标</w:t>
      </w:r>
      <w:r>
        <w:rPr>
          <w:rFonts w:hint="eastAsia" w:ascii="宋体" w:hAnsi="宋体" w:eastAsia="宋体" w:cs="宋体"/>
          <w:b/>
          <w:bCs/>
          <w:sz w:val="21"/>
          <w:szCs w:val="21"/>
        </w:rPr>
        <w:t>编号：ZBGL2026080249</w:t>
      </w:r>
      <w:bookmarkStart w:id="0" w:name="_GoBack"/>
      <w:bookmarkEnd w:id="0"/>
      <w:r>
        <w:rPr>
          <w:rFonts w:hint="eastAsia" w:ascii="宋体" w:hAnsi="宋体" w:eastAsia="宋体" w:cs="宋体"/>
          <w:b/>
          <w:bCs/>
          <w:sz w:val="21"/>
          <w:szCs w:val="21"/>
          <w:lang w:val="en-US" w:eastAsia="zh-CN"/>
        </w:rPr>
        <w:t xml:space="preserve">           </w:t>
      </w:r>
    </w:p>
    <w:p w14:paraId="5E16C13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宋体" w:hAnsi="宋体" w:eastAsia="宋体" w:cs="宋体"/>
          <w:b w:val="0"/>
          <w:bCs w:val="0"/>
          <w:sz w:val="21"/>
          <w:szCs w:val="21"/>
          <w:lang w:val="en-US" w:eastAsia="zh-CN"/>
        </w:rPr>
      </w:pPr>
      <w:r>
        <w:rPr>
          <w:rFonts w:hint="eastAsia" w:ascii="宋体" w:hAnsi="宋体" w:eastAsia="宋体" w:cs="宋体"/>
          <w:b/>
          <w:bCs/>
          <w:color w:val="000000"/>
          <w:kern w:val="0"/>
          <w:sz w:val="21"/>
          <w:szCs w:val="21"/>
          <w:lang w:val="en-US" w:eastAsia="zh-CN"/>
        </w:rPr>
        <w:t xml:space="preserve">      </w:t>
      </w:r>
      <w:r>
        <w:rPr>
          <w:rFonts w:hint="eastAsia" w:ascii="宋体" w:hAnsi="宋体" w:eastAsia="宋体" w:cs="宋体"/>
          <w:b/>
          <w:bCs/>
          <w:sz w:val="21"/>
          <w:szCs w:val="21"/>
          <w:lang w:val="en-US" w:eastAsia="zh-CN"/>
        </w:rPr>
        <w:t>评标方式：技术标入围后，合理最低价格中标</w:t>
      </w:r>
    </w:p>
    <w:p w14:paraId="5F7CD229">
      <w:pPr>
        <w:keepNext w:val="0"/>
        <w:keepLines w:val="0"/>
        <w:pageBreakBefore w:val="0"/>
        <w:widowControl w:val="0"/>
        <w:kinsoku/>
        <w:wordWrap/>
        <w:overflowPunct/>
        <w:topLinePunct w:val="0"/>
        <w:autoSpaceDE/>
        <w:autoSpaceDN/>
        <w:bidi w:val="0"/>
        <w:adjustRightInd w:val="0"/>
        <w:snapToGrid w:val="0"/>
        <w:spacing w:line="360" w:lineRule="auto"/>
        <w:ind w:firstLine="632" w:firstLineChars="300"/>
        <w:textAlignment w:val="auto"/>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sz w:val="21"/>
          <w:szCs w:val="21"/>
          <w:highlight w:val="none"/>
        </w:rPr>
        <w:t>本着公平、公正、公开的原则，在满足技术要求的前提下，</w:t>
      </w:r>
      <w:r>
        <w:rPr>
          <w:rFonts w:hint="eastAsia" w:ascii="宋体" w:hAnsi="宋体" w:eastAsia="宋体" w:cs="宋体"/>
          <w:b/>
          <w:bCs/>
          <w:color w:val="000000"/>
          <w:sz w:val="21"/>
          <w:szCs w:val="21"/>
          <w:highlight w:val="none"/>
          <w:lang w:val="en-US" w:eastAsia="zh-CN"/>
        </w:rPr>
        <w:t>采用</w:t>
      </w:r>
      <w:r>
        <w:rPr>
          <w:rFonts w:hint="eastAsia" w:ascii="宋体" w:hAnsi="宋体" w:eastAsia="宋体" w:cs="宋体"/>
          <w:b/>
          <w:bCs/>
          <w:sz w:val="21"/>
          <w:szCs w:val="21"/>
          <w:lang w:val="en-US" w:eastAsia="zh-CN"/>
        </w:rPr>
        <w:t>合理最低价格</w:t>
      </w:r>
      <w:r>
        <w:rPr>
          <w:rFonts w:hint="eastAsia" w:ascii="宋体" w:hAnsi="宋体" w:eastAsia="宋体" w:cs="宋体"/>
          <w:b/>
          <w:bCs/>
          <w:color w:val="000000"/>
          <w:sz w:val="21"/>
          <w:szCs w:val="21"/>
          <w:highlight w:val="none"/>
        </w:rPr>
        <w:t>确定中标人，对未中标单位不做任何解释。</w:t>
      </w:r>
    </w:p>
    <w:p w14:paraId="10BF91CA">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color w:val="000000"/>
          <w:kern w:val="0"/>
          <w:sz w:val="21"/>
          <w:szCs w:val="21"/>
          <w:lang w:eastAsia="zh-CN"/>
        </w:rPr>
      </w:pPr>
      <w:r>
        <w:rPr>
          <w:rFonts w:hint="eastAsia" w:ascii="宋体" w:hAnsi="宋体" w:eastAsia="宋体" w:cs="宋体"/>
          <w:b/>
          <w:bCs/>
          <w:color w:val="000000"/>
          <w:kern w:val="0"/>
          <w:sz w:val="21"/>
          <w:szCs w:val="21"/>
          <w:lang w:val="en-US" w:eastAsia="zh-CN"/>
        </w:rPr>
        <w:t>项目</w:t>
      </w:r>
      <w:r>
        <w:rPr>
          <w:rFonts w:hint="eastAsia" w:ascii="宋体" w:hAnsi="宋体" w:eastAsia="宋体" w:cs="宋体"/>
          <w:b/>
          <w:bCs/>
          <w:color w:val="000000"/>
          <w:kern w:val="0"/>
          <w:sz w:val="21"/>
          <w:szCs w:val="21"/>
        </w:rPr>
        <w:t>内容</w:t>
      </w:r>
      <w:r>
        <w:rPr>
          <w:rFonts w:hint="eastAsia" w:ascii="宋体" w:hAnsi="宋体" w:eastAsia="宋体" w:cs="宋体"/>
          <w:b/>
          <w:bCs/>
          <w:color w:val="000000"/>
          <w:kern w:val="0"/>
          <w:sz w:val="21"/>
          <w:szCs w:val="21"/>
          <w:lang w:eastAsia="zh-CN"/>
        </w:rPr>
        <w:t>：</w:t>
      </w:r>
    </w:p>
    <w:p w14:paraId="6BACA4B8">
      <w:pPr>
        <w:pStyle w:val="2"/>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ascii="宋体" w:hAnsi="宋体" w:eastAsia="宋体" w:cs="宋体"/>
          <w:b/>
          <w:bCs w:val="0"/>
          <w:sz w:val="21"/>
          <w:szCs w:val="21"/>
        </w:rPr>
      </w:pPr>
      <w:r>
        <w:rPr>
          <w:rFonts w:hint="eastAsia" w:ascii="宋体" w:hAnsi="宋体" w:eastAsia="宋体" w:cs="宋体"/>
          <w:b/>
          <w:bCs w:val="0"/>
          <w:kern w:val="1"/>
          <w:sz w:val="21"/>
          <w:szCs w:val="21"/>
          <w:highlight w:val="none"/>
          <w:lang w:val="en-US" w:eastAsia="zh-CN"/>
        </w:rPr>
        <w:t>卡车公司党家庄厂区整车仓储部8平台2008年设计并投入使用，挡土墙采用MU30块石、M5水泥砂浆砌筑。目前</w:t>
      </w:r>
      <w:r>
        <w:rPr>
          <w:rFonts w:hint="eastAsia" w:cs="宋体"/>
          <w:b/>
          <w:bCs w:val="0"/>
          <w:kern w:val="1"/>
          <w:sz w:val="21"/>
          <w:szCs w:val="21"/>
          <w:highlight w:val="none"/>
          <w:lang w:val="en-US" w:eastAsia="zh-CN"/>
        </w:rPr>
        <w:t>有2处档土墙</w:t>
      </w:r>
      <w:r>
        <w:rPr>
          <w:rFonts w:hint="eastAsia" w:ascii="宋体" w:hAnsi="宋体" w:eastAsia="宋体" w:cs="宋体"/>
          <w:b/>
          <w:bCs w:val="0"/>
          <w:kern w:val="1"/>
          <w:sz w:val="21"/>
          <w:szCs w:val="21"/>
          <w:highlight w:val="none"/>
          <w:lang w:val="en-US" w:eastAsia="zh-CN"/>
        </w:rPr>
        <w:t>出现墙体外凸，</w:t>
      </w:r>
      <w:r>
        <w:rPr>
          <w:rFonts w:hint="eastAsia" w:cs="宋体"/>
          <w:b/>
          <w:bCs w:val="0"/>
          <w:kern w:val="1"/>
          <w:sz w:val="21"/>
          <w:szCs w:val="21"/>
          <w:highlight w:val="none"/>
          <w:lang w:val="en-US" w:eastAsia="zh-CN"/>
        </w:rPr>
        <w:t>存在安全隐患，</w:t>
      </w:r>
      <w:r>
        <w:rPr>
          <w:rFonts w:hint="eastAsia" w:ascii="宋体" w:hAnsi="宋体" w:eastAsia="宋体" w:cs="宋体"/>
          <w:b/>
          <w:bCs w:val="0"/>
          <w:kern w:val="1"/>
          <w:sz w:val="21"/>
          <w:szCs w:val="21"/>
          <w:highlight w:val="none"/>
          <w:lang w:val="en-US" w:eastAsia="zh-CN"/>
        </w:rPr>
        <w:t>需</w:t>
      </w:r>
      <w:r>
        <w:rPr>
          <w:rFonts w:hint="eastAsia" w:cs="宋体"/>
          <w:b/>
          <w:bCs w:val="0"/>
          <w:kern w:val="1"/>
          <w:sz w:val="21"/>
          <w:szCs w:val="21"/>
          <w:highlight w:val="none"/>
          <w:lang w:val="en-US" w:eastAsia="zh-CN"/>
        </w:rPr>
        <w:t>进行安全</w:t>
      </w:r>
      <w:r>
        <w:rPr>
          <w:rFonts w:hint="eastAsia" w:ascii="宋体" w:hAnsi="宋体" w:eastAsia="宋体" w:cs="宋体"/>
          <w:b/>
          <w:bCs w:val="0"/>
          <w:kern w:val="1"/>
          <w:sz w:val="21"/>
          <w:szCs w:val="21"/>
          <w:highlight w:val="none"/>
          <w:lang w:val="en-US" w:eastAsia="zh-CN"/>
        </w:rPr>
        <w:t>加固。</w:t>
      </w:r>
      <w:r>
        <w:rPr>
          <w:rFonts w:hint="eastAsia" w:cs="宋体"/>
          <w:b/>
          <w:bCs w:val="0"/>
          <w:kern w:val="1"/>
          <w:sz w:val="21"/>
          <w:szCs w:val="21"/>
          <w:highlight w:val="none"/>
          <w:lang w:val="en-US" w:eastAsia="zh-CN"/>
        </w:rPr>
        <w:t>申请有资质的单位进行</w:t>
      </w:r>
      <w:r>
        <w:rPr>
          <w:rFonts w:hint="eastAsia" w:ascii="宋体" w:hAnsi="宋体" w:eastAsia="宋体" w:cs="宋体"/>
          <w:b/>
          <w:bCs w:val="0"/>
          <w:kern w:val="1"/>
          <w:sz w:val="21"/>
          <w:szCs w:val="21"/>
          <w:highlight w:val="none"/>
          <w:lang w:val="en-US" w:eastAsia="zh-CN"/>
        </w:rPr>
        <w:t>勘</w:t>
      </w:r>
      <w:r>
        <w:rPr>
          <w:rFonts w:hint="eastAsia" w:cs="宋体"/>
          <w:b/>
          <w:bCs w:val="0"/>
          <w:kern w:val="1"/>
          <w:sz w:val="21"/>
          <w:szCs w:val="21"/>
          <w:highlight w:val="none"/>
          <w:lang w:val="en-US" w:eastAsia="zh-CN"/>
        </w:rPr>
        <w:t>察，</w:t>
      </w:r>
      <w:r>
        <w:rPr>
          <w:rFonts w:hint="eastAsia" w:ascii="宋体" w:hAnsi="宋体" w:eastAsia="宋体" w:cs="宋体"/>
          <w:b/>
          <w:bCs w:val="0"/>
          <w:kern w:val="1"/>
          <w:sz w:val="21"/>
          <w:szCs w:val="21"/>
          <w:highlight w:val="none"/>
          <w:lang w:val="en-US" w:eastAsia="zh-CN"/>
        </w:rPr>
        <w:t>提供合规的</w:t>
      </w:r>
      <w:r>
        <w:rPr>
          <w:rFonts w:hint="eastAsia" w:cs="宋体"/>
          <w:b/>
          <w:bCs w:val="0"/>
          <w:kern w:val="1"/>
          <w:sz w:val="21"/>
          <w:szCs w:val="21"/>
          <w:highlight w:val="none"/>
          <w:lang w:val="en-US" w:eastAsia="zh-CN"/>
        </w:rPr>
        <w:t>岩土</w:t>
      </w:r>
      <w:r>
        <w:rPr>
          <w:rFonts w:hint="eastAsia" w:ascii="宋体" w:hAnsi="宋体" w:eastAsia="宋体" w:cs="宋体"/>
          <w:b/>
          <w:bCs w:val="0"/>
          <w:kern w:val="1"/>
          <w:sz w:val="21"/>
          <w:szCs w:val="21"/>
          <w:highlight w:val="none"/>
          <w:lang w:val="en-US" w:eastAsia="zh-CN"/>
        </w:rPr>
        <w:t>勘</w:t>
      </w:r>
      <w:r>
        <w:rPr>
          <w:rFonts w:hint="eastAsia" w:cs="宋体"/>
          <w:b/>
          <w:bCs w:val="0"/>
          <w:kern w:val="1"/>
          <w:sz w:val="21"/>
          <w:szCs w:val="21"/>
          <w:highlight w:val="none"/>
          <w:lang w:val="en-US" w:eastAsia="zh-CN"/>
        </w:rPr>
        <w:t>察报告</w:t>
      </w:r>
      <w:r>
        <w:rPr>
          <w:rFonts w:hint="eastAsia" w:ascii="宋体" w:hAnsi="宋体" w:eastAsia="宋体" w:cs="宋体"/>
          <w:b/>
          <w:bCs w:val="0"/>
          <w:kern w:val="1"/>
          <w:sz w:val="21"/>
          <w:szCs w:val="21"/>
          <w:highlight w:val="none"/>
          <w:lang w:val="en-US" w:eastAsia="zh-CN"/>
        </w:rPr>
        <w:t>及</w:t>
      </w:r>
      <w:r>
        <w:rPr>
          <w:rFonts w:hint="eastAsia" w:cs="宋体"/>
          <w:b/>
          <w:bCs w:val="0"/>
          <w:kern w:val="1"/>
          <w:sz w:val="21"/>
          <w:szCs w:val="21"/>
          <w:highlight w:val="none"/>
          <w:lang w:val="en-US" w:eastAsia="zh-CN"/>
        </w:rPr>
        <w:t>整固</w:t>
      </w:r>
      <w:r>
        <w:rPr>
          <w:rFonts w:hint="eastAsia" w:ascii="宋体" w:hAnsi="宋体" w:eastAsia="宋体" w:cs="宋体"/>
          <w:b/>
          <w:bCs w:val="0"/>
          <w:kern w:val="1"/>
          <w:sz w:val="21"/>
          <w:szCs w:val="21"/>
          <w:highlight w:val="none"/>
          <w:lang w:val="en-US" w:eastAsia="zh-CN"/>
        </w:rPr>
        <w:t>设计方案，确保挡土墙整改、加固的实施。</w:t>
      </w:r>
    </w:p>
    <w:p w14:paraId="6FC2B4F7">
      <w:pPr>
        <w:keepNext w:val="0"/>
        <w:keepLines w:val="0"/>
        <w:pageBreakBefore w:val="0"/>
        <w:widowControl/>
        <w:kinsoku/>
        <w:wordWrap/>
        <w:overflowPunct/>
        <w:topLinePunct w:val="0"/>
        <w:autoSpaceDE/>
        <w:autoSpaceDN/>
        <w:bidi w:val="0"/>
        <w:adjustRightInd w:val="0"/>
        <w:snapToGrid/>
        <w:spacing w:line="360" w:lineRule="auto"/>
        <w:ind w:firstLine="211" w:firstLineChars="100"/>
        <w:jc w:val="left"/>
        <w:textAlignment w:val="auto"/>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3、投标方资格要求</w:t>
      </w:r>
    </w:p>
    <w:p w14:paraId="739D3CC5">
      <w:pPr>
        <w:keepNext w:val="0"/>
        <w:keepLines w:val="0"/>
        <w:pageBreakBefore w:val="0"/>
        <w:widowControl/>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 </w:t>
      </w:r>
      <w:r>
        <w:rPr>
          <w:rFonts w:hint="eastAsia" w:ascii="宋体" w:hAnsi="宋体" w:eastAsia="宋体" w:cs="宋体"/>
          <w:b/>
          <w:bCs/>
          <w:color w:val="000000"/>
          <w:kern w:val="0"/>
          <w:sz w:val="21"/>
          <w:szCs w:val="21"/>
          <w:lang w:val="en-US" w:eastAsia="zh-CN"/>
        </w:rPr>
        <w:t xml:space="preserve"> </w:t>
      </w:r>
      <w:r>
        <w:rPr>
          <w:rFonts w:hint="eastAsia" w:ascii="宋体" w:hAnsi="宋体" w:eastAsia="宋体" w:cs="宋体"/>
          <w:b/>
          <w:bCs/>
          <w:color w:val="000000"/>
          <w:kern w:val="0"/>
          <w:sz w:val="21"/>
          <w:szCs w:val="21"/>
        </w:rPr>
        <w:t>招标方通过公开招标寻找能够提供良好服务的厂家作为本项目的投标方。为此，招标方要求投标方满足以下要求。</w:t>
      </w:r>
    </w:p>
    <w:p w14:paraId="0880C0BD">
      <w:pPr>
        <w:keepNext w:val="0"/>
        <w:keepLines w:val="0"/>
        <w:pageBreakBefore w:val="0"/>
        <w:widowControl/>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bCs/>
          <w:sz w:val="21"/>
          <w:szCs w:val="21"/>
        </w:rPr>
      </w:pPr>
      <w:r>
        <w:rPr>
          <w:rFonts w:hint="eastAsia" w:ascii="宋体" w:hAnsi="宋体" w:eastAsia="宋体" w:cs="宋体"/>
          <w:b/>
          <w:bCs/>
          <w:color w:val="000000"/>
          <w:kern w:val="0"/>
          <w:sz w:val="21"/>
          <w:szCs w:val="21"/>
        </w:rPr>
        <w:t> 3.1资质要求</w:t>
      </w:r>
    </w:p>
    <w:p w14:paraId="02886018">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①公司注册资本不少于</w:t>
      </w:r>
      <w:r>
        <w:rPr>
          <w:rFonts w:hint="eastAsia" w:ascii="宋体" w:hAnsi="宋体" w:eastAsia="宋体" w:cs="宋体"/>
          <w:b/>
          <w:bCs/>
          <w:sz w:val="21"/>
          <w:szCs w:val="21"/>
          <w:u w:val="single"/>
          <w:lang w:val="en-US" w:eastAsia="zh-CN"/>
        </w:rPr>
        <w:t>3</w:t>
      </w:r>
      <w:r>
        <w:rPr>
          <w:rFonts w:hint="eastAsia" w:ascii="宋体" w:hAnsi="宋体" w:eastAsia="宋体" w:cs="宋体"/>
          <w:b/>
          <w:bCs/>
          <w:sz w:val="21"/>
          <w:szCs w:val="21"/>
          <w:u w:val="single"/>
        </w:rPr>
        <w:t>00</w:t>
      </w:r>
      <w:r>
        <w:rPr>
          <w:rFonts w:hint="eastAsia" w:ascii="宋体" w:hAnsi="宋体" w:eastAsia="宋体" w:cs="宋体"/>
          <w:b/>
          <w:bCs/>
          <w:sz w:val="21"/>
          <w:szCs w:val="21"/>
        </w:rPr>
        <w:t>万元（人民币）；</w:t>
      </w:r>
    </w:p>
    <w:p w14:paraId="5EB21EBF">
      <w:pPr>
        <w:keepNext w:val="0"/>
        <w:keepLines w:val="0"/>
        <w:pageBreakBefore w:val="0"/>
        <w:widowControl w:val="0"/>
        <w:kinsoku/>
        <w:wordWrap/>
        <w:overflowPunct/>
        <w:topLinePunct w:val="0"/>
        <w:autoSpaceDE/>
        <w:autoSpaceDN/>
        <w:bidi w:val="0"/>
        <w:adjustRightInd/>
        <w:snapToGrid/>
        <w:spacing w:after="0" w:line="360" w:lineRule="auto"/>
        <w:ind w:left="0" w:firstLine="211" w:firstLineChars="100"/>
        <w:textAlignment w:val="auto"/>
        <w:rPr>
          <w:rFonts w:hint="eastAsia" w:ascii="宋体" w:hAnsi="宋体" w:eastAsia="宋体" w:cs="宋体"/>
          <w:b/>
          <w:bCs/>
          <w:strike w:val="0"/>
          <w:dstrike w:val="0"/>
          <w:color w:val="FF0000"/>
          <w:sz w:val="21"/>
          <w:szCs w:val="21"/>
          <w:highlight w:val="none"/>
          <w:shd w:val="clear" w:color="auto" w:fill="FCFCFC"/>
          <w:lang w:val="en-US" w:eastAsia="zh-CN"/>
        </w:rPr>
      </w:pPr>
      <w:r>
        <w:rPr>
          <w:rFonts w:hint="eastAsia" w:ascii="宋体" w:hAnsi="宋体" w:eastAsia="宋体" w:cs="宋体"/>
          <w:b/>
          <w:bCs/>
          <w:color w:val="FF0000"/>
          <w:sz w:val="21"/>
          <w:szCs w:val="21"/>
        </w:rPr>
        <w:t>②</w:t>
      </w:r>
      <w:r>
        <w:rPr>
          <w:rFonts w:hint="eastAsia" w:ascii="宋体" w:hAnsi="宋体" w:eastAsia="宋体" w:cs="宋体"/>
          <w:b/>
          <w:bCs/>
          <w:strike w:val="0"/>
          <w:dstrike w:val="0"/>
          <w:color w:val="FF0000"/>
          <w:sz w:val="21"/>
          <w:szCs w:val="21"/>
          <w:highlight w:val="none"/>
          <w:lang w:val="en-US" w:eastAsia="zh-CN"/>
        </w:rPr>
        <w:t>投标方公司须成立三年以上，须具备建设行政主管部门颁发的工程勘察综合甲级资质或工程勘察专业类岩土工程勘察乙级以上资质并同时具备国家住建部颁发的岩土工程设计乙级以上资质。</w:t>
      </w:r>
      <w:r>
        <w:rPr>
          <w:rFonts w:hint="eastAsia" w:ascii="宋体" w:hAnsi="宋体" w:eastAsia="宋体" w:cs="宋体"/>
          <w:b/>
          <w:bCs/>
          <w:color w:val="FF0000"/>
          <w:spacing w:val="8"/>
          <w:sz w:val="21"/>
          <w:szCs w:val="21"/>
        </w:rPr>
        <w:t>且资质证书均处于有效期内</w:t>
      </w:r>
      <w:r>
        <w:rPr>
          <w:rFonts w:hint="eastAsia" w:ascii="宋体" w:hAnsi="宋体" w:eastAsia="宋体" w:cs="宋体"/>
          <w:b/>
          <w:bCs/>
          <w:color w:val="FF0000"/>
          <w:spacing w:val="8"/>
          <w:sz w:val="21"/>
          <w:szCs w:val="21"/>
          <w:lang w:eastAsia="zh-CN"/>
        </w:rPr>
        <w:t>。</w:t>
      </w:r>
    </w:p>
    <w:p w14:paraId="78467584">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③在社会上和重汽集团内的其它招标过程中没有不良行为记录；无招标违规、谎报年度报告信息、提供虚假资质资料等行为和行政处罚记录；</w:t>
      </w:r>
    </w:p>
    <w:p w14:paraId="0B50112B">
      <w:pPr>
        <w:pStyle w:val="3"/>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④公司财务良好，经营稳定，有全面履约的能力；供方之间有良好的竞争关系；</w:t>
      </w:r>
    </w:p>
    <w:p w14:paraId="210559D8">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color w:val="000000"/>
          <w:kern w:val="0"/>
          <w:sz w:val="21"/>
          <w:szCs w:val="21"/>
        </w:rPr>
        <w:t>⑤投标单位应具有良好的商业信誉，没有被处于责令停产、财产被冻结、接管、破产、且财务状况良好。投标单位未在“信用中国”网站（www.creditchina.gov.cn）或各级信用信息共享平台列入失信被执行人名单。</w:t>
      </w:r>
    </w:p>
    <w:p w14:paraId="233D9FAF">
      <w:pPr>
        <w:pStyle w:val="4"/>
        <w:keepNext w:val="0"/>
        <w:keepLines w:val="0"/>
        <w:pageBreakBefore w:val="0"/>
        <w:widowControl w:val="0"/>
        <w:kinsoku/>
        <w:wordWrap/>
        <w:overflowPunct/>
        <w:topLinePunct w:val="0"/>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⑥投标方的直接或间接股东、法定代表人、董事、监事、高管非重汽员工及其亲属；</w:t>
      </w:r>
    </w:p>
    <w:p w14:paraId="0E7A9068">
      <w:pPr>
        <w:pStyle w:val="4"/>
        <w:keepNext w:val="0"/>
        <w:keepLines w:val="0"/>
        <w:pageBreakBefore w:val="0"/>
        <w:widowControl w:val="0"/>
        <w:kinsoku/>
        <w:wordWrap/>
        <w:overflowPunct/>
        <w:topLinePunct w:val="0"/>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⑦应签订“安全协议书”明确双方安全责任与义务；严禁拍照；</w:t>
      </w:r>
    </w:p>
    <w:p w14:paraId="62F087D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jc w:val="left"/>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3.2内容如下：详细内容请看标书技术和商务要求</w:t>
      </w:r>
    </w:p>
    <w:p w14:paraId="3C4C686A">
      <w:pPr>
        <w:pStyle w:val="4"/>
        <w:keepNext w:val="0"/>
        <w:keepLines w:val="0"/>
        <w:pageBreakBefore w:val="0"/>
        <w:widowControl w:val="0"/>
        <w:numPr>
          <w:ilvl w:val="0"/>
          <w:numId w:val="0"/>
        </w:numPr>
        <w:kinsoku/>
        <w:wordWrap/>
        <w:overflowPunct/>
        <w:topLinePunct w:val="0"/>
        <w:bidi w:val="0"/>
        <w:adjustRightInd w:val="0"/>
        <w:spacing w:line="360" w:lineRule="auto"/>
        <w:ind w:firstLine="227" w:firstLineChars="100"/>
        <w:textAlignment w:val="auto"/>
        <w:rPr>
          <w:rFonts w:hint="eastAsia" w:ascii="宋体" w:hAnsi="宋体" w:eastAsia="宋体" w:cs="宋体"/>
          <w:b/>
          <w:bCs/>
          <w:spacing w:val="8"/>
          <w:sz w:val="21"/>
          <w:szCs w:val="21"/>
          <w:lang w:val="en-US" w:eastAsia="zh-CN"/>
        </w:rPr>
      </w:pPr>
      <w:r>
        <w:rPr>
          <w:rFonts w:hint="eastAsia" w:ascii="宋体" w:hAnsi="宋体" w:eastAsia="宋体" w:cs="宋体"/>
          <w:b/>
          <w:bCs/>
          <w:spacing w:val="8"/>
          <w:sz w:val="21"/>
          <w:szCs w:val="21"/>
          <w:lang w:val="en-US" w:eastAsia="zh-CN"/>
        </w:rPr>
        <w:t>3.2.1</w:t>
      </w:r>
      <w:r>
        <w:rPr>
          <w:rFonts w:hint="eastAsia" w:ascii="宋体" w:hAnsi="宋体" w:eastAsia="宋体" w:cs="宋体"/>
          <w:b/>
          <w:bCs/>
          <w:spacing w:val="8"/>
          <w:sz w:val="21"/>
          <w:szCs w:val="21"/>
        </w:rPr>
        <w:t>勘察</w:t>
      </w:r>
      <w:r>
        <w:rPr>
          <w:rFonts w:hint="eastAsia" w:ascii="宋体" w:hAnsi="宋体" w:eastAsia="宋体" w:cs="宋体"/>
          <w:b/>
          <w:bCs/>
          <w:spacing w:val="8"/>
          <w:sz w:val="21"/>
          <w:szCs w:val="21"/>
          <w:lang w:val="en-US" w:eastAsia="zh-CN"/>
        </w:rPr>
        <w:t>具体</w:t>
      </w:r>
      <w:r>
        <w:rPr>
          <w:rFonts w:hint="eastAsia" w:ascii="宋体" w:hAnsi="宋体" w:eastAsia="宋体" w:cs="宋体"/>
          <w:b/>
          <w:bCs/>
          <w:spacing w:val="8"/>
          <w:sz w:val="21"/>
          <w:szCs w:val="21"/>
        </w:rPr>
        <w:t>要求：</w:t>
      </w:r>
    </w:p>
    <w:p w14:paraId="278F5D12">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leftChars="0" w:firstLine="227" w:firstLineChars="1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1)</w:t>
      </w:r>
      <w:r>
        <w:rPr>
          <w:rFonts w:hint="eastAsia" w:ascii="宋体" w:hAnsi="宋体" w:eastAsia="宋体" w:cs="宋体"/>
          <w:b/>
          <w:bCs/>
          <w:spacing w:val="8"/>
          <w:sz w:val="21"/>
          <w:szCs w:val="21"/>
        </w:rPr>
        <w:t>查明</w:t>
      </w:r>
      <w:r>
        <w:rPr>
          <w:rFonts w:hint="eastAsia" w:ascii="宋体" w:hAnsi="宋体" w:eastAsia="宋体" w:cs="宋体"/>
          <w:b/>
          <w:bCs/>
          <w:kern w:val="1"/>
          <w:sz w:val="21"/>
          <w:szCs w:val="21"/>
          <w:highlight w:val="none"/>
          <w:lang w:val="en-US" w:eastAsia="zh-CN"/>
        </w:rPr>
        <w:t>党家庄厂区整车仓储部8平台</w:t>
      </w:r>
      <w:r>
        <w:rPr>
          <w:rFonts w:hint="eastAsia" w:ascii="宋体" w:hAnsi="宋体" w:eastAsia="宋体" w:cs="宋体"/>
          <w:b/>
          <w:bCs/>
          <w:spacing w:val="8"/>
          <w:sz w:val="21"/>
          <w:szCs w:val="21"/>
        </w:rPr>
        <w:t>的</w:t>
      </w:r>
      <w:r>
        <w:rPr>
          <w:rFonts w:hint="eastAsia" w:ascii="宋体" w:hAnsi="宋体" w:eastAsia="宋体" w:cs="宋体"/>
          <w:b/>
          <w:bCs/>
          <w:kern w:val="1"/>
          <w:sz w:val="21"/>
          <w:szCs w:val="21"/>
          <w:highlight w:val="none"/>
          <w:lang w:val="en-US" w:eastAsia="zh-CN"/>
        </w:rPr>
        <w:t>出现墙体外凸</w:t>
      </w:r>
      <w:r>
        <w:rPr>
          <w:rFonts w:hint="eastAsia" w:ascii="宋体" w:hAnsi="宋体" w:eastAsia="宋体" w:cs="宋体"/>
          <w:b/>
          <w:bCs/>
          <w:spacing w:val="8"/>
          <w:sz w:val="21"/>
          <w:szCs w:val="21"/>
        </w:rPr>
        <w:t>现象的存在情况</w:t>
      </w:r>
      <w:r>
        <w:rPr>
          <w:rFonts w:hint="eastAsia" w:ascii="宋体" w:hAnsi="宋体" w:eastAsia="宋体" w:cs="宋体"/>
          <w:b/>
          <w:bCs/>
          <w:spacing w:val="8"/>
          <w:sz w:val="21"/>
          <w:szCs w:val="21"/>
          <w:lang w:val="en-US" w:eastAsia="zh-CN"/>
        </w:rPr>
        <w:t>原因。接到中标通知后，</w:t>
      </w:r>
      <w:r>
        <w:rPr>
          <w:rFonts w:hint="eastAsia" w:ascii="宋体" w:hAnsi="宋体" w:cs="宋体"/>
          <w:b/>
          <w:bCs/>
          <w:spacing w:val="8"/>
          <w:sz w:val="21"/>
          <w:szCs w:val="21"/>
          <w:lang w:val="en-US" w:eastAsia="zh-CN"/>
        </w:rPr>
        <w:t>3</w:t>
      </w:r>
      <w:r>
        <w:rPr>
          <w:rFonts w:hint="eastAsia" w:ascii="宋体" w:hAnsi="宋体" w:eastAsia="宋体" w:cs="宋体"/>
          <w:b/>
          <w:bCs/>
          <w:spacing w:val="8"/>
          <w:sz w:val="21"/>
          <w:szCs w:val="21"/>
          <w:lang w:val="en-US" w:eastAsia="zh-CN"/>
        </w:rPr>
        <w:t>天内完成检测，勘察。</w:t>
      </w:r>
    </w:p>
    <w:p w14:paraId="41F235D5">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2)</w:t>
      </w:r>
      <w:r>
        <w:rPr>
          <w:rFonts w:hint="eastAsia" w:ascii="宋体" w:hAnsi="宋体" w:eastAsia="宋体" w:cs="宋体"/>
          <w:b/>
          <w:bCs/>
          <w:spacing w:val="8"/>
          <w:sz w:val="21"/>
          <w:szCs w:val="21"/>
        </w:rPr>
        <w:t>对</w:t>
      </w:r>
      <w:r>
        <w:rPr>
          <w:rFonts w:hint="eastAsia" w:ascii="宋体" w:hAnsi="宋体" w:cs="宋体"/>
          <w:b/>
          <w:bCs/>
          <w:kern w:val="1"/>
          <w:highlight w:val="none"/>
          <w:lang w:val="en-US" w:eastAsia="zh-CN"/>
        </w:rPr>
        <w:t>挡土墙</w:t>
      </w:r>
      <w:r>
        <w:rPr>
          <w:rFonts w:hint="eastAsia" w:ascii="宋体" w:hAnsi="宋体" w:eastAsia="宋体" w:cs="宋体"/>
          <w:b/>
          <w:bCs/>
          <w:spacing w:val="8"/>
          <w:sz w:val="21"/>
          <w:szCs w:val="21"/>
        </w:rPr>
        <w:t>范围内的地质构造、地层结构及其均匀性，以及各岩土层的物理力学性质和工程特性做出评价。有无影响稳定性的不良地质作用，场地不良地质作用的成因、分布、规模、发展趋势，稳定性做出评价，提出预防措施的建议。</w:t>
      </w:r>
    </w:p>
    <w:p w14:paraId="29A92C52">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227" w:firstLineChars="100"/>
        <w:textAlignment w:val="auto"/>
        <w:rPr>
          <w:rFonts w:hint="eastAsia" w:ascii="宋体" w:hAnsi="宋体" w:eastAsia="宋体" w:cs="宋体"/>
          <w:b/>
          <w:bCs/>
          <w:sz w:val="21"/>
          <w:szCs w:val="21"/>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3)</w:t>
      </w:r>
      <w:r>
        <w:rPr>
          <w:rFonts w:hint="eastAsia" w:ascii="宋体" w:hAnsi="宋体" w:eastAsia="宋体" w:cs="宋体"/>
          <w:b/>
          <w:bCs/>
          <w:spacing w:val="8"/>
          <w:sz w:val="21"/>
          <w:szCs w:val="21"/>
          <w:lang w:val="en-US" w:eastAsia="zh-CN"/>
        </w:rPr>
        <w:t>如需要提供</w:t>
      </w:r>
      <w:r>
        <w:rPr>
          <w:rFonts w:hint="eastAsia" w:ascii="宋体" w:hAnsi="宋体" w:eastAsia="宋体" w:cs="宋体"/>
          <w:b/>
          <w:bCs/>
          <w:spacing w:val="8"/>
          <w:sz w:val="21"/>
          <w:szCs w:val="21"/>
        </w:rPr>
        <w:t>对应的地基承载力特征值及变形计算参数，预估基础沉降量，估算的期望差和总基础和桩沉降值，并对设计与施工应注意的问题提出建议</w:t>
      </w:r>
      <w:r>
        <w:rPr>
          <w:rFonts w:hint="eastAsia" w:ascii="宋体" w:hAnsi="宋体" w:eastAsia="宋体" w:cs="宋体"/>
          <w:b/>
          <w:bCs/>
          <w:spacing w:val="8"/>
          <w:sz w:val="21"/>
          <w:szCs w:val="21"/>
          <w:lang w:eastAsia="zh-CN"/>
        </w:rPr>
        <w:t>）</w:t>
      </w:r>
    </w:p>
    <w:p w14:paraId="44B50F11">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4)如需要</w:t>
      </w:r>
      <w:r>
        <w:rPr>
          <w:rFonts w:hint="eastAsia" w:ascii="宋体" w:hAnsi="宋体" w:eastAsia="宋体" w:cs="宋体"/>
          <w:b/>
          <w:bCs/>
          <w:spacing w:val="8"/>
          <w:sz w:val="21"/>
          <w:szCs w:val="21"/>
        </w:rPr>
        <w:t>对周围环境影响分析和评价</w:t>
      </w:r>
      <w:r>
        <w:rPr>
          <w:rFonts w:hint="eastAsia" w:ascii="宋体" w:hAnsi="宋体" w:eastAsia="宋体" w:cs="宋体"/>
          <w:b/>
          <w:bCs/>
          <w:spacing w:val="8"/>
          <w:sz w:val="21"/>
          <w:szCs w:val="21"/>
          <w:lang w:eastAsia="zh-CN"/>
        </w:rPr>
        <w:t>，</w:t>
      </w:r>
      <w:r>
        <w:rPr>
          <w:rFonts w:hint="eastAsia" w:ascii="宋体" w:hAnsi="宋体" w:eastAsia="宋体" w:cs="宋体"/>
          <w:b/>
          <w:bCs/>
          <w:spacing w:val="8"/>
          <w:sz w:val="21"/>
          <w:szCs w:val="21"/>
          <w:lang w:val="en-US" w:eastAsia="zh-CN"/>
        </w:rPr>
        <w:t>对</w:t>
      </w:r>
      <w:r>
        <w:rPr>
          <w:rFonts w:hint="eastAsia" w:ascii="宋体" w:hAnsi="宋体" w:cs="宋体"/>
          <w:b/>
          <w:bCs/>
          <w:kern w:val="1"/>
          <w:highlight w:val="none"/>
          <w:lang w:val="en-US" w:eastAsia="zh-CN"/>
        </w:rPr>
        <w:t>挡土墙</w:t>
      </w:r>
      <w:r>
        <w:rPr>
          <w:rFonts w:hint="eastAsia" w:ascii="宋体" w:hAnsi="宋体" w:eastAsia="宋体" w:cs="宋体"/>
          <w:b/>
          <w:bCs/>
          <w:spacing w:val="8"/>
          <w:sz w:val="21"/>
          <w:szCs w:val="21"/>
        </w:rPr>
        <w:t>场地土的标准冻结深度</w:t>
      </w:r>
      <w:r>
        <w:rPr>
          <w:rFonts w:hint="eastAsia" w:ascii="宋体" w:hAnsi="宋体" w:eastAsia="宋体" w:cs="宋体"/>
          <w:b/>
          <w:bCs/>
          <w:spacing w:val="8"/>
          <w:sz w:val="21"/>
          <w:szCs w:val="21"/>
          <w:lang w:val="en-US" w:eastAsia="zh-CN"/>
        </w:rPr>
        <w:t>；</w:t>
      </w:r>
      <w:r>
        <w:rPr>
          <w:rFonts w:hint="eastAsia" w:ascii="宋体" w:hAnsi="宋体" w:eastAsia="宋体" w:cs="宋体"/>
          <w:b/>
          <w:bCs/>
          <w:spacing w:val="8"/>
          <w:sz w:val="21"/>
          <w:szCs w:val="21"/>
        </w:rPr>
        <w:t>对场地和地基的地震效应、场地地震安全性做出初步评价。</w:t>
      </w:r>
    </w:p>
    <w:p w14:paraId="306F90AB">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5)如需要提供</w:t>
      </w:r>
      <w:r>
        <w:rPr>
          <w:rFonts w:hint="eastAsia" w:ascii="宋体" w:hAnsi="宋体" w:eastAsia="宋体" w:cs="宋体"/>
          <w:b/>
          <w:bCs/>
          <w:spacing w:val="8"/>
          <w:sz w:val="21"/>
          <w:szCs w:val="21"/>
        </w:rPr>
        <w:t>深基坑开挖的边坡稳定计算、支护设计及施工降水所需的岩土技术参数，论证其对周围已有建筑物和地下设施的影响。</w:t>
      </w:r>
    </w:p>
    <w:p w14:paraId="0931B6A1">
      <w:pPr>
        <w:pStyle w:val="4"/>
        <w:keepNext w:val="0"/>
        <w:keepLines w:val="0"/>
        <w:pageBreakBefore w:val="0"/>
        <w:widowControl w:val="0"/>
        <w:numPr>
          <w:ilvl w:val="0"/>
          <w:numId w:val="0"/>
        </w:numPr>
        <w:kinsoku/>
        <w:wordWrap/>
        <w:overflowPunct/>
        <w:topLinePunct w:val="0"/>
        <w:bidi w:val="0"/>
        <w:adjustRightInd w:val="0"/>
        <w:spacing w:line="360" w:lineRule="auto"/>
        <w:ind w:firstLine="227" w:firstLineChars="100"/>
        <w:textAlignment w:val="auto"/>
        <w:rPr>
          <w:rFonts w:hint="eastAsia" w:ascii="宋体" w:hAnsi="宋体" w:eastAsia="宋体" w:cs="宋体"/>
          <w:b/>
          <w:bCs/>
          <w:spacing w:val="8"/>
          <w:sz w:val="21"/>
          <w:szCs w:val="21"/>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6)</w:t>
      </w:r>
      <w:r>
        <w:rPr>
          <w:rFonts w:hint="eastAsia" w:ascii="宋体" w:hAnsi="宋体" w:eastAsia="宋体" w:cs="宋体"/>
          <w:b/>
          <w:bCs/>
          <w:spacing w:val="8"/>
          <w:sz w:val="21"/>
          <w:szCs w:val="21"/>
          <w:lang w:val="en-US" w:eastAsia="zh-CN"/>
        </w:rPr>
        <w:t>提供合规的</w:t>
      </w:r>
      <w:r>
        <w:rPr>
          <w:rFonts w:hint="eastAsia" w:ascii="宋体" w:hAnsi="宋体" w:eastAsia="宋体" w:cs="宋体"/>
          <w:b/>
          <w:bCs/>
          <w:spacing w:val="8"/>
          <w:sz w:val="21"/>
          <w:szCs w:val="21"/>
        </w:rPr>
        <w:t>勘察</w:t>
      </w:r>
      <w:r>
        <w:rPr>
          <w:rFonts w:hint="eastAsia" w:ascii="宋体" w:hAnsi="宋体" w:eastAsia="宋体" w:cs="宋体"/>
          <w:b/>
          <w:bCs/>
          <w:spacing w:val="8"/>
          <w:sz w:val="21"/>
          <w:szCs w:val="21"/>
          <w:lang w:val="en-US" w:eastAsia="zh-CN"/>
        </w:rPr>
        <w:t>报告，做为维修加固设计依据。</w:t>
      </w:r>
    </w:p>
    <w:p w14:paraId="61B41FD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lang w:val="en-US" w:eastAsia="zh-CN"/>
        </w:rPr>
        <w:t>①</w:t>
      </w:r>
      <w:r>
        <w:rPr>
          <w:rFonts w:hint="eastAsia" w:ascii="宋体" w:hAnsi="宋体" w:eastAsia="宋体" w:cs="宋体"/>
          <w:b/>
          <w:bCs/>
          <w:spacing w:val="8"/>
          <w:sz w:val="21"/>
          <w:szCs w:val="21"/>
        </w:rPr>
        <w:t>场地的工程地质条件</w:t>
      </w:r>
    </w:p>
    <w:p w14:paraId="5D3198E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rPr>
        <w:t>②场地、地基的建筑抗震设计条件</w:t>
      </w:r>
    </w:p>
    <w:p w14:paraId="42A0851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rPr>
        <w:t>③地基基础方案分析评价及相关建议</w:t>
      </w:r>
    </w:p>
    <w:p w14:paraId="2377A000">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rPr>
        <w:t>④桩基工程设计与施工建议</w:t>
      </w:r>
      <w:r>
        <w:rPr>
          <w:rFonts w:hint="eastAsia" w:ascii="宋体" w:hAnsi="宋体" w:eastAsia="宋体" w:cs="宋体"/>
          <w:b/>
          <w:bCs/>
          <w:spacing w:val="8"/>
          <w:sz w:val="21"/>
          <w:szCs w:val="21"/>
          <w:lang w:val="en-US" w:eastAsia="zh-CN"/>
        </w:rPr>
        <w:t>及</w:t>
      </w:r>
      <w:r>
        <w:rPr>
          <w:rFonts w:hint="eastAsia" w:ascii="宋体" w:hAnsi="宋体" w:eastAsia="宋体" w:cs="宋体"/>
          <w:b/>
          <w:bCs/>
          <w:spacing w:val="8"/>
          <w:sz w:val="21"/>
          <w:szCs w:val="21"/>
        </w:rPr>
        <w:t>其它合理化建议</w:t>
      </w:r>
    </w:p>
    <w:p w14:paraId="0D0C53C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lang w:val="en-US" w:eastAsia="zh-CN"/>
        </w:rPr>
      </w:pPr>
      <w:r>
        <w:rPr>
          <w:rFonts w:hint="eastAsia" w:ascii="宋体" w:hAnsi="宋体" w:eastAsia="宋体" w:cs="宋体"/>
          <w:b/>
          <w:bCs/>
          <w:spacing w:val="8"/>
          <w:sz w:val="21"/>
          <w:szCs w:val="21"/>
        </w:rPr>
        <w:t>⑤上述方案及建议的计算图表（计算书）及方案草图</w:t>
      </w:r>
    </w:p>
    <w:p w14:paraId="7E54EEE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3.2.2设计要求及报告</w:t>
      </w:r>
      <w:r>
        <w:rPr>
          <w:rFonts w:hint="eastAsia" w:ascii="宋体" w:hAnsi="宋体" w:eastAsia="宋体" w:cs="宋体"/>
          <w:b/>
          <w:bCs/>
          <w:sz w:val="21"/>
          <w:szCs w:val="21"/>
          <w:lang w:eastAsia="zh-CN"/>
        </w:rPr>
        <w:t>：</w:t>
      </w:r>
    </w:p>
    <w:p w14:paraId="18302C97">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454" w:firstLineChars="200"/>
        <w:textAlignment w:val="auto"/>
        <w:rPr>
          <w:rFonts w:hint="default" w:ascii="宋体" w:hAnsi="宋体" w:eastAsia="宋体" w:cs="宋体"/>
          <w:b/>
          <w:bCs/>
          <w:sz w:val="21"/>
          <w:szCs w:val="21"/>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1)</w:t>
      </w:r>
      <w:r>
        <w:rPr>
          <w:rFonts w:hint="eastAsia" w:ascii="宋体" w:hAnsi="宋体" w:eastAsia="宋体" w:cs="宋体"/>
          <w:b/>
          <w:bCs/>
          <w:spacing w:val="8"/>
          <w:sz w:val="21"/>
          <w:szCs w:val="21"/>
          <w:lang w:val="en-US" w:eastAsia="zh-CN"/>
        </w:rPr>
        <w:t>提供</w:t>
      </w:r>
      <w:r>
        <w:rPr>
          <w:rFonts w:hint="eastAsia" w:ascii="宋体" w:hAnsi="宋体" w:eastAsia="宋体" w:cs="宋体"/>
          <w:b/>
          <w:bCs/>
          <w:kern w:val="1"/>
          <w:sz w:val="21"/>
          <w:szCs w:val="21"/>
          <w:highlight w:val="none"/>
          <w:lang w:val="en-US" w:eastAsia="zh-CN"/>
        </w:rPr>
        <w:t>挡土墙</w:t>
      </w:r>
      <w:r>
        <w:rPr>
          <w:rFonts w:hint="eastAsia" w:ascii="宋体" w:hAnsi="宋体" w:eastAsia="宋体" w:cs="宋体"/>
          <w:b/>
          <w:bCs/>
          <w:spacing w:val="8"/>
          <w:sz w:val="21"/>
          <w:szCs w:val="21"/>
        </w:rPr>
        <w:t>施工</w:t>
      </w:r>
      <w:r>
        <w:rPr>
          <w:rFonts w:hint="eastAsia" w:ascii="宋体" w:hAnsi="宋体" w:eastAsia="宋体" w:cs="宋体"/>
          <w:b/>
          <w:bCs/>
          <w:spacing w:val="8"/>
          <w:sz w:val="21"/>
          <w:szCs w:val="21"/>
          <w:lang w:val="en-US" w:eastAsia="zh-CN"/>
        </w:rPr>
        <w:t>经济合理的维修加固设计方案。</w:t>
      </w:r>
      <w:r>
        <w:rPr>
          <w:rFonts w:ascii="宋体" w:hAnsi="宋体" w:eastAsia="宋体" w:cs="宋体"/>
          <w:b/>
          <w:bCs/>
          <w:sz w:val="21"/>
          <w:szCs w:val="21"/>
        </w:rPr>
        <w:t>围绕</w:t>
      </w:r>
      <w:r>
        <w:rPr>
          <w:rStyle w:val="11"/>
          <w:rFonts w:ascii="宋体" w:hAnsi="宋体" w:eastAsia="宋体" w:cs="宋体"/>
          <w:b/>
          <w:bCs/>
          <w:sz w:val="21"/>
          <w:szCs w:val="21"/>
        </w:rPr>
        <w:t>安全合规、经济最优、施工可行、长效耐久</w:t>
      </w:r>
      <w:r>
        <w:rPr>
          <w:rFonts w:ascii="宋体" w:hAnsi="宋体" w:eastAsia="宋体" w:cs="宋体"/>
          <w:b/>
          <w:bCs/>
          <w:sz w:val="21"/>
          <w:szCs w:val="21"/>
        </w:rPr>
        <w:t>核心原则，结合国标规范，系统梳理挡土墙维修加固设计的核心要求、方案选型、施工管控及经济优化要点，形成完整规范的设计方案要求文档。</w:t>
      </w:r>
    </w:p>
    <w:p w14:paraId="6E560AA3">
      <w:pPr>
        <w:keepNext w:val="0"/>
        <w:keepLines w:val="0"/>
        <w:pageBreakBefore w:val="0"/>
        <w:widowControl w:val="0"/>
        <w:kinsoku/>
        <w:wordWrap/>
        <w:overflowPunct/>
        <w:topLinePunct w:val="0"/>
        <w:autoSpaceDE/>
        <w:autoSpaceDN/>
        <w:bidi w:val="0"/>
        <w:spacing w:after="0" w:line="360" w:lineRule="auto"/>
        <w:ind w:firstLine="454"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2)</w:t>
      </w:r>
      <w:r>
        <w:rPr>
          <w:rFonts w:hint="eastAsia" w:ascii="宋体" w:hAnsi="宋体" w:eastAsia="宋体" w:cs="宋体"/>
          <w:b/>
          <w:bCs/>
          <w:spacing w:val="8"/>
          <w:sz w:val="21"/>
          <w:szCs w:val="21"/>
          <w:lang w:val="en-US" w:eastAsia="zh-CN"/>
        </w:rPr>
        <w:t>完成检测，勘察后，</w:t>
      </w:r>
      <w:r>
        <w:rPr>
          <w:rFonts w:hint="eastAsia" w:ascii="宋体" w:hAnsi="宋体" w:eastAsia="宋体" w:cs="宋体"/>
          <w:b/>
          <w:bCs/>
          <w:color w:val="auto"/>
          <w:sz w:val="21"/>
          <w:szCs w:val="21"/>
          <w:highlight w:val="none"/>
          <w:lang w:val="en-US" w:eastAsia="zh-CN"/>
        </w:rPr>
        <w:t>设计单位10日历日内完成初方案设计（含工艺、总图、建安等），提交委托</w:t>
      </w:r>
      <w:r>
        <w:rPr>
          <w:rFonts w:hint="eastAsia" w:ascii="宋体" w:hAnsi="宋体" w:cs="宋体"/>
          <w:b/>
          <w:bCs/>
          <w:color w:val="auto"/>
          <w:sz w:val="21"/>
          <w:szCs w:val="21"/>
          <w:highlight w:val="none"/>
          <w:lang w:val="en-US" w:eastAsia="zh-CN"/>
        </w:rPr>
        <w:t>单位</w:t>
      </w:r>
      <w:r>
        <w:rPr>
          <w:rFonts w:hint="eastAsia" w:ascii="宋体" w:hAnsi="宋体" w:eastAsia="宋体" w:cs="宋体"/>
          <w:b/>
          <w:bCs/>
          <w:color w:val="auto"/>
          <w:sz w:val="21"/>
          <w:szCs w:val="21"/>
          <w:highlight w:val="none"/>
          <w:lang w:val="en-US" w:eastAsia="zh-CN"/>
        </w:rPr>
        <w:t>组织</w:t>
      </w:r>
      <w:r>
        <w:rPr>
          <w:rFonts w:hint="eastAsia" w:ascii="宋体" w:hAnsi="宋体" w:cs="宋体"/>
          <w:b/>
          <w:bCs/>
          <w:color w:val="auto"/>
          <w:sz w:val="21"/>
          <w:szCs w:val="21"/>
          <w:highlight w:val="none"/>
          <w:lang w:val="en-US" w:eastAsia="zh-CN"/>
        </w:rPr>
        <w:t>相关人员</w:t>
      </w:r>
      <w:r>
        <w:rPr>
          <w:rFonts w:hint="eastAsia" w:ascii="宋体" w:hAnsi="宋体" w:eastAsia="宋体" w:cs="宋体"/>
          <w:b/>
          <w:bCs/>
          <w:color w:val="auto"/>
          <w:sz w:val="21"/>
          <w:szCs w:val="21"/>
          <w:highlight w:val="none"/>
          <w:lang w:val="en-US" w:eastAsia="zh-CN"/>
        </w:rPr>
        <w:t>评审。</w:t>
      </w:r>
    </w:p>
    <w:p w14:paraId="61D26975">
      <w:pPr>
        <w:keepNext w:val="0"/>
        <w:keepLines w:val="0"/>
        <w:pageBreakBefore w:val="0"/>
        <w:widowControl w:val="0"/>
        <w:kinsoku/>
        <w:wordWrap/>
        <w:overflowPunct/>
        <w:topLinePunct w:val="0"/>
        <w:autoSpaceDE/>
        <w:autoSpaceDN/>
        <w:bidi w:val="0"/>
        <w:spacing w:after="0" w:line="360" w:lineRule="auto"/>
        <w:ind w:firstLine="454"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3)</w:t>
      </w:r>
      <w:r>
        <w:rPr>
          <w:rFonts w:hint="eastAsia" w:ascii="宋体" w:hAnsi="宋体" w:eastAsia="宋体" w:cs="宋体"/>
          <w:b/>
          <w:bCs/>
          <w:color w:val="auto"/>
          <w:sz w:val="21"/>
          <w:szCs w:val="21"/>
          <w:highlight w:val="none"/>
          <w:lang w:val="en-US" w:eastAsia="zh-CN"/>
        </w:rPr>
        <w:t>设计单位完成最终设计后，应于 2天内向招标人提交设计文件。</w:t>
      </w:r>
    </w:p>
    <w:p w14:paraId="703D7EBA">
      <w:pPr>
        <w:keepNext w:val="0"/>
        <w:keepLines w:val="0"/>
        <w:pageBreakBefore w:val="0"/>
        <w:widowControl w:val="0"/>
        <w:kinsoku/>
        <w:wordWrap/>
        <w:overflowPunct/>
        <w:topLinePunct w:val="0"/>
        <w:autoSpaceDE/>
        <w:autoSpaceDN/>
        <w:bidi w:val="0"/>
        <w:spacing w:after="0" w:line="360" w:lineRule="auto"/>
        <w:ind w:firstLine="454" w:firstLineChars="200"/>
        <w:textAlignment w:val="auto"/>
        <w:rPr>
          <w:rFonts w:hint="eastAsia" w:ascii="宋体" w:hAnsi="宋体" w:eastAsia="宋体" w:cs="宋体"/>
          <w:b/>
          <w:bCs/>
          <w:color w:val="auto"/>
          <w:sz w:val="21"/>
          <w:szCs w:val="21"/>
          <w:lang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4)</w:t>
      </w:r>
      <w:r>
        <w:rPr>
          <w:rFonts w:hint="eastAsia" w:ascii="宋体" w:hAnsi="宋体" w:eastAsia="宋体" w:cs="宋体"/>
          <w:b/>
          <w:bCs/>
          <w:color w:val="auto"/>
          <w:sz w:val="21"/>
          <w:szCs w:val="21"/>
          <w:lang w:eastAsia="zh-CN"/>
        </w:rPr>
        <w:t>所有方案成果的计量单位均采用中华人民共和国法定计量单位。长度单位：总平面图标注尺寸以米(m)为单位，设计图标注尺寸以毫米(mm)为单位。面积单位：均以平方米(m</w:t>
      </w:r>
      <w:r>
        <w:rPr>
          <w:rFonts w:hint="eastAsia" w:ascii="宋体" w:hAnsi="宋体" w:eastAsia="宋体" w:cs="宋体"/>
          <w:b/>
          <w:bCs/>
          <w:color w:val="auto"/>
          <w:sz w:val="21"/>
          <w:szCs w:val="21"/>
          <w:vertAlign w:val="superscript"/>
          <w:lang w:eastAsia="zh-CN"/>
        </w:rPr>
        <w:t>2</w:t>
      </w:r>
      <w:r>
        <w:rPr>
          <w:rFonts w:hint="eastAsia" w:ascii="宋体" w:hAnsi="宋体" w:eastAsia="宋体" w:cs="宋体"/>
          <w:b/>
          <w:bCs/>
          <w:color w:val="auto"/>
          <w:sz w:val="21"/>
          <w:szCs w:val="21"/>
          <w:lang w:eastAsia="zh-CN"/>
        </w:rPr>
        <w:t>)为单位。体积单位：均以立方米(m</w:t>
      </w:r>
      <w:r>
        <w:rPr>
          <w:rFonts w:hint="eastAsia" w:ascii="宋体" w:hAnsi="宋体" w:eastAsia="宋体" w:cs="宋体"/>
          <w:b/>
          <w:bCs/>
          <w:color w:val="auto"/>
          <w:sz w:val="21"/>
          <w:szCs w:val="21"/>
          <w:vertAlign w:val="superscript"/>
          <w:lang w:eastAsia="zh-CN"/>
        </w:rPr>
        <w:t>3</w:t>
      </w:r>
      <w:r>
        <w:rPr>
          <w:rFonts w:hint="eastAsia" w:ascii="宋体" w:hAnsi="宋体" w:eastAsia="宋体" w:cs="宋体"/>
          <w:b/>
          <w:bCs/>
          <w:color w:val="auto"/>
          <w:sz w:val="21"/>
          <w:szCs w:val="21"/>
          <w:lang w:eastAsia="zh-CN"/>
        </w:rPr>
        <w:t>)为单位。</w:t>
      </w:r>
      <w:r>
        <w:rPr>
          <w:rFonts w:hint="eastAsia" w:ascii="宋体" w:cs="宋体"/>
          <w:b/>
          <w:bCs/>
          <w:spacing w:val="8"/>
          <w:sz w:val="21"/>
          <w:szCs w:val="21"/>
        </w:rPr>
        <w:t>勘察报告的文字、术语、代号、符号、数字、计量单位、标点均应符合国家有关标准的规定</w:t>
      </w:r>
      <w:r>
        <w:rPr>
          <w:rFonts w:hint="eastAsia" w:ascii="宋体" w:cs="宋体"/>
          <w:b/>
          <w:bCs/>
          <w:spacing w:val="8"/>
          <w:sz w:val="21"/>
          <w:szCs w:val="21"/>
          <w:lang w:eastAsia="zh-CN"/>
        </w:rPr>
        <w:t>。</w:t>
      </w:r>
    </w:p>
    <w:p w14:paraId="7F96ACE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54" w:firstLineChars="2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5)</w:t>
      </w:r>
      <w:r>
        <w:rPr>
          <w:rFonts w:hint="eastAsia" w:ascii="宋体" w:hAnsi="宋体" w:eastAsia="宋体" w:cs="宋体"/>
          <w:b/>
          <w:bCs/>
          <w:spacing w:val="8"/>
          <w:sz w:val="21"/>
          <w:szCs w:val="21"/>
        </w:rPr>
        <w:t>须在规定的时间内编制工程勘察文件和岩土工程设计文件，按合同规定提交勘察</w:t>
      </w:r>
      <w:r>
        <w:rPr>
          <w:rFonts w:hint="eastAsia" w:ascii="宋体" w:hAnsi="宋体" w:eastAsia="宋体" w:cs="宋体"/>
          <w:b/>
          <w:bCs/>
          <w:spacing w:val="8"/>
          <w:sz w:val="21"/>
          <w:szCs w:val="21"/>
          <w:lang w:val="en-US" w:eastAsia="zh-CN"/>
        </w:rPr>
        <w:t>和设计</w:t>
      </w:r>
      <w:r>
        <w:rPr>
          <w:rFonts w:hint="eastAsia" w:ascii="宋体" w:hAnsi="宋体" w:eastAsia="宋体" w:cs="宋体"/>
          <w:b/>
          <w:bCs/>
          <w:spacing w:val="8"/>
          <w:sz w:val="21"/>
          <w:szCs w:val="21"/>
        </w:rPr>
        <w:t>成果。</w:t>
      </w:r>
    </w:p>
    <w:p w14:paraId="3215DC8C">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54" w:firstLineChars="200"/>
        <w:textAlignment w:val="auto"/>
        <w:rPr>
          <w:rFonts w:ascii="宋体" w:cs="宋体"/>
          <w:b/>
          <w:bCs/>
          <w:spacing w:val="8"/>
          <w:sz w:val="24"/>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6)</w:t>
      </w:r>
      <w:r>
        <w:rPr>
          <w:rFonts w:hint="eastAsia" w:ascii="宋体" w:cs="宋体"/>
          <w:b/>
          <w:bCs/>
          <w:spacing w:val="8"/>
          <w:sz w:val="21"/>
          <w:szCs w:val="21"/>
        </w:rPr>
        <w:t>提供经评审批复后的最终成果资料书面</w:t>
      </w:r>
      <w:r>
        <w:rPr>
          <w:rFonts w:hint="eastAsia" w:ascii="宋体" w:cs="宋体"/>
          <w:b/>
          <w:bCs/>
          <w:spacing w:val="8"/>
          <w:sz w:val="21"/>
          <w:szCs w:val="21"/>
          <w:u w:val="single"/>
        </w:rPr>
        <w:t xml:space="preserve"> </w:t>
      </w:r>
      <w:r>
        <w:rPr>
          <w:rFonts w:hint="eastAsia" w:ascii="宋体" w:cs="宋体"/>
          <w:b/>
          <w:bCs/>
          <w:spacing w:val="8"/>
          <w:sz w:val="21"/>
          <w:szCs w:val="21"/>
          <w:u w:val="single"/>
          <w:lang w:val="en-US" w:eastAsia="zh-CN"/>
        </w:rPr>
        <w:t>5</w:t>
      </w:r>
      <w:r>
        <w:rPr>
          <w:rFonts w:hint="eastAsia" w:ascii="宋体" w:cs="宋体"/>
          <w:b/>
          <w:bCs/>
          <w:spacing w:val="8"/>
          <w:sz w:val="21"/>
          <w:szCs w:val="21"/>
          <w:u w:val="single"/>
        </w:rPr>
        <w:t xml:space="preserve"> </w:t>
      </w:r>
      <w:r>
        <w:rPr>
          <w:rFonts w:hint="eastAsia" w:ascii="宋体" w:cs="宋体"/>
          <w:b/>
          <w:bCs/>
          <w:spacing w:val="8"/>
          <w:sz w:val="21"/>
          <w:szCs w:val="21"/>
        </w:rPr>
        <w:t>份，电子版</w:t>
      </w:r>
      <w:r>
        <w:rPr>
          <w:rFonts w:hint="eastAsia" w:ascii="宋体" w:cs="宋体"/>
          <w:b/>
          <w:bCs/>
          <w:spacing w:val="8"/>
          <w:sz w:val="21"/>
          <w:szCs w:val="21"/>
          <w:u w:val="single"/>
        </w:rPr>
        <w:t xml:space="preserve"> 2</w:t>
      </w:r>
      <w:r>
        <w:rPr>
          <w:rFonts w:hint="eastAsia" w:ascii="宋体" w:cs="宋体"/>
          <w:b/>
          <w:bCs/>
          <w:spacing w:val="8"/>
          <w:sz w:val="21"/>
          <w:szCs w:val="21"/>
        </w:rPr>
        <w:t>份，费用包含在报价中。</w:t>
      </w:r>
    </w:p>
    <w:p w14:paraId="3C9F556F">
      <w:pPr>
        <w:keepNext w:val="0"/>
        <w:keepLines w:val="0"/>
        <w:pageBreakBefore w:val="0"/>
        <w:widowControl/>
        <w:kinsoku/>
        <w:wordWrap/>
        <w:overflowPunct/>
        <w:topLinePunct w:val="0"/>
        <w:bidi w:val="0"/>
        <w:spacing w:line="360" w:lineRule="auto"/>
        <w:jc w:val="left"/>
        <w:textAlignment w:val="auto"/>
        <w:rPr>
          <w:rFonts w:hint="eastAsia" w:ascii="宋体" w:hAnsi="宋体" w:eastAsia="宋体" w:cs="宋体"/>
          <w:b/>
          <w:bCs/>
          <w:color w:val="000000"/>
          <w:kern w:val="0"/>
          <w:sz w:val="21"/>
          <w:szCs w:val="21"/>
        </w:rPr>
      </w:pPr>
    </w:p>
    <w:p w14:paraId="4A15D990">
      <w:pPr>
        <w:keepNext w:val="0"/>
        <w:keepLines w:val="0"/>
        <w:pageBreakBefore w:val="0"/>
        <w:widowControl/>
        <w:kinsoku/>
        <w:wordWrap/>
        <w:overflowPunct/>
        <w:topLinePunct w:val="0"/>
        <w:bidi w:val="0"/>
        <w:spacing w:line="360" w:lineRule="auto"/>
        <w:jc w:val="left"/>
        <w:textAlignment w:val="auto"/>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3.</w:t>
      </w:r>
      <w:r>
        <w:rPr>
          <w:rFonts w:hint="eastAsia" w:ascii="宋体" w:hAnsi="宋体" w:eastAsia="宋体" w:cs="宋体"/>
          <w:b/>
          <w:bCs/>
          <w:color w:val="000000"/>
          <w:kern w:val="0"/>
          <w:sz w:val="21"/>
          <w:szCs w:val="21"/>
          <w:lang w:val="en-US" w:eastAsia="zh-CN"/>
        </w:rPr>
        <w:t>3</w:t>
      </w:r>
      <w:r>
        <w:rPr>
          <w:rFonts w:hint="eastAsia" w:ascii="宋体" w:hAnsi="宋体" w:eastAsia="宋体" w:cs="宋体"/>
          <w:b/>
          <w:bCs/>
          <w:color w:val="000000"/>
          <w:kern w:val="0"/>
          <w:sz w:val="21"/>
          <w:szCs w:val="21"/>
        </w:rPr>
        <w:t>特别要求</w:t>
      </w:r>
    </w:p>
    <w:p w14:paraId="40E86E55">
      <w:pPr>
        <w:keepNext w:val="0"/>
        <w:keepLines w:val="0"/>
        <w:pageBreakBefore w:val="0"/>
        <w:widowControl/>
        <w:kinsoku/>
        <w:wordWrap/>
        <w:overflowPunct/>
        <w:topLinePunct w:val="0"/>
        <w:bidi w:val="0"/>
        <w:spacing w:line="360" w:lineRule="auto"/>
        <w:ind w:hanging="420"/>
        <w:jc w:val="left"/>
        <w:textAlignment w:val="auto"/>
        <w:rPr>
          <w:rFonts w:hint="eastAsia" w:ascii="宋体" w:hAnsi="宋体" w:eastAsia="宋体" w:cs="宋体"/>
          <w:b/>
          <w:bCs/>
          <w:color w:val="000000"/>
          <w:kern w:val="0"/>
          <w:sz w:val="21"/>
          <w:szCs w:val="21"/>
          <w:lang w:eastAsia="zh-CN"/>
        </w:rPr>
      </w:pPr>
      <w:r>
        <w:rPr>
          <w:rFonts w:hint="eastAsia" w:ascii="宋体" w:hAnsi="宋体" w:eastAsia="宋体" w:cs="宋体"/>
          <w:b/>
          <w:bCs/>
          <w:color w:val="000000"/>
          <w:kern w:val="0"/>
          <w:sz w:val="21"/>
          <w:szCs w:val="21"/>
        </w:rPr>
        <w:t xml:space="preserve">    不接受联合体投标</w:t>
      </w:r>
      <w:r>
        <w:rPr>
          <w:rFonts w:hint="eastAsia" w:ascii="宋体" w:hAnsi="宋体" w:eastAsia="宋体" w:cs="宋体"/>
          <w:b/>
          <w:bCs/>
          <w:color w:val="000000"/>
          <w:kern w:val="0"/>
          <w:sz w:val="21"/>
          <w:szCs w:val="21"/>
          <w:lang w:eastAsia="zh-CN"/>
        </w:rPr>
        <w:t>。</w:t>
      </w:r>
    </w:p>
    <w:p w14:paraId="4F9C31A5">
      <w:pPr>
        <w:keepNext w:val="0"/>
        <w:keepLines w:val="0"/>
        <w:pageBreakBefore w:val="0"/>
        <w:widowControl/>
        <w:kinsoku/>
        <w:wordWrap/>
        <w:overflowPunct/>
        <w:topLinePunct w:val="0"/>
        <w:bidi w:val="0"/>
        <w:spacing w:line="360"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4、招标项目报名及文件的获取：</w:t>
      </w:r>
    </w:p>
    <w:p w14:paraId="657186CE">
      <w:pPr>
        <w:keepNext w:val="0"/>
        <w:keepLines w:val="0"/>
        <w:pageBreakBefore w:val="0"/>
        <w:widowControl/>
        <w:kinsoku/>
        <w:wordWrap/>
        <w:overflowPunct/>
        <w:topLinePunct w:val="0"/>
        <w:bidi w:val="0"/>
        <w:spacing w:line="360" w:lineRule="auto"/>
        <w:ind w:firstLine="211" w:firstLineChars="100"/>
        <w:jc w:val="left"/>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rPr>
        <w:t>4.1</w:t>
      </w:r>
      <w:r>
        <w:rPr>
          <w:rFonts w:hint="eastAsia" w:ascii="宋体" w:hAnsi="宋体" w:eastAsia="宋体" w:cs="宋体"/>
          <w:b/>
          <w:bCs/>
          <w:sz w:val="21"/>
          <w:szCs w:val="21"/>
          <w:lang w:eastAsia="zh-CN"/>
        </w:rPr>
        <w:t>应标</w:t>
      </w:r>
      <w:r>
        <w:rPr>
          <w:rFonts w:hint="eastAsia" w:ascii="宋体" w:hAnsi="宋体" w:eastAsia="宋体" w:cs="宋体"/>
          <w:b/>
          <w:bCs/>
          <w:sz w:val="21"/>
          <w:szCs w:val="21"/>
        </w:rPr>
        <w:t>时间：凡有意参加投标者，请于20</w:t>
      </w:r>
      <w:r>
        <w:rPr>
          <w:rFonts w:hint="eastAsia" w:ascii="宋体" w:hAnsi="宋体" w:eastAsia="宋体" w:cs="宋体"/>
          <w:b/>
          <w:bCs/>
          <w:sz w:val="21"/>
          <w:szCs w:val="21"/>
          <w:lang w:val="en-US" w:eastAsia="zh-CN"/>
        </w:rPr>
        <w:t>26</w:t>
      </w:r>
      <w:r>
        <w:rPr>
          <w:rFonts w:hint="eastAsia" w:ascii="宋体" w:hAnsi="宋体" w:eastAsia="宋体" w:cs="宋体"/>
          <w:b/>
          <w:bCs/>
          <w:sz w:val="21"/>
          <w:szCs w:val="21"/>
        </w:rPr>
        <w:t>年</w:t>
      </w:r>
      <w:r>
        <w:rPr>
          <w:rFonts w:hint="eastAsia" w:ascii="宋体" w:hAnsi="宋体" w:eastAsia="宋体" w:cs="宋体"/>
          <w:b/>
          <w:bCs/>
          <w:color w:val="FF0000"/>
          <w:sz w:val="21"/>
          <w:szCs w:val="21"/>
          <w:u w:val="single"/>
        </w:rPr>
        <w:t xml:space="preserve"> </w:t>
      </w:r>
      <w:r>
        <w:rPr>
          <w:rFonts w:hint="eastAsia" w:ascii="宋体" w:hAnsi="宋体" w:cs="宋体"/>
          <w:b/>
          <w:bCs/>
          <w:color w:val="FF0000"/>
          <w:sz w:val="21"/>
          <w:szCs w:val="21"/>
          <w:u w:val="single"/>
          <w:lang w:val="en-US" w:eastAsia="zh-CN"/>
        </w:rPr>
        <w:t>9</w:t>
      </w:r>
      <w:r>
        <w:rPr>
          <w:rFonts w:hint="eastAsia" w:ascii="宋体" w:hAnsi="宋体" w:eastAsia="宋体" w:cs="宋体"/>
          <w:b/>
          <w:bCs/>
          <w:color w:val="FF0000"/>
          <w:sz w:val="21"/>
          <w:szCs w:val="21"/>
          <w:u w:val="single"/>
        </w:rPr>
        <w:t>月</w:t>
      </w:r>
      <w:r>
        <w:rPr>
          <w:rFonts w:hint="eastAsia" w:ascii="宋体" w:hAnsi="宋体" w:cs="宋体"/>
          <w:b/>
          <w:bCs/>
          <w:color w:val="FF0000"/>
          <w:sz w:val="21"/>
          <w:szCs w:val="21"/>
          <w:u w:val="single"/>
          <w:lang w:val="en-US" w:eastAsia="zh-CN"/>
        </w:rPr>
        <w:t>3</w:t>
      </w:r>
      <w:r>
        <w:rPr>
          <w:rFonts w:hint="eastAsia" w:ascii="宋体" w:hAnsi="宋体" w:eastAsia="宋体" w:cs="宋体"/>
          <w:b/>
          <w:bCs/>
          <w:color w:val="FF0000"/>
          <w:sz w:val="21"/>
          <w:szCs w:val="21"/>
          <w:u w:val="single"/>
        </w:rPr>
        <w:t>日</w:t>
      </w:r>
      <w:r>
        <w:rPr>
          <w:rFonts w:hint="eastAsia" w:ascii="宋体" w:hAnsi="宋体" w:eastAsia="宋体" w:cs="宋体"/>
          <w:b/>
          <w:bCs/>
          <w:color w:val="FF0000"/>
          <w:sz w:val="21"/>
          <w:szCs w:val="21"/>
          <w:u w:val="single"/>
          <w:lang w:val="en-US" w:eastAsia="zh-CN"/>
        </w:rPr>
        <w:t>上</w:t>
      </w:r>
      <w:r>
        <w:rPr>
          <w:rFonts w:hint="eastAsia" w:ascii="宋体" w:hAnsi="宋体" w:eastAsia="宋体" w:cs="宋体"/>
          <w:b/>
          <w:bCs/>
          <w:color w:val="FF0000"/>
          <w:sz w:val="21"/>
          <w:szCs w:val="21"/>
          <w:u w:val="single"/>
        </w:rPr>
        <w:t>午</w:t>
      </w:r>
      <w:r>
        <w:rPr>
          <w:rFonts w:hint="eastAsia" w:ascii="宋体" w:hAnsi="宋体" w:eastAsia="宋体" w:cs="宋体"/>
          <w:b/>
          <w:bCs/>
          <w:color w:val="FF0000"/>
          <w:sz w:val="21"/>
          <w:szCs w:val="21"/>
          <w:u w:val="single"/>
          <w:lang w:val="en-US" w:eastAsia="zh-CN"/>
        </w:rPr>
        <w:t>9</w:t>
      </w:r>
      <w:r>
        <w:rPr>
          <w:rFonts w:hint="eastAsia" w:ascii="宋体" w:hAnsi="宋体" w:eastAsia="宋体" w:cs="宋体"/>
          <w:b/>
          <w:bCs/>
          <w:color w:val="FF0000"/>
          <w:sz w:val="21"/>
          <w:szCs w:val="21"/>
          <w:u w:val="single"/>
        </w:rPr>
        <w:t>:00</w:t>
      </w:r>
      <w:r>
        <w:rPr>
          <w:rFonts w:hint="eastAsia" w:ascii="宋体" w:hAnsi="宋体" w:eastAsia="宋体" w:cs="宋体"/>
          <w:b/>
          <w:bCs/>
          <w:sz w:val="21"/>
          <w:szCs w:val="21"/>
        </w:rPr>
        <w:t>前</w:t>
      </w:r>
      <w:r>
        <w:rPr>
          <w:rFonts w:hint="eastAsia" w:ascii="宋体" w:hAnsi="宋体" w:eastAsia="宋体" w:cs="宋体"/>
          <w:b/>
          <w:bCs/>
          <w:sz w:val="21"/>
          <w:szCs w:val="21"/>
          <w:lang w:val="en-US" w:eastAsia="zh-CN"/>
        </w:rPr>
        <w:t>在重汽e采通完成</w:t>
      </w:r>
      <w:r>
        <w:rPr>
          <w:rFonts w:hint="eastAsia" w:ascii="宋体" w:hAnsi="宋体" w:eastAsia="宋体" w:cs="宋体"/>
          <w:b/>
          <w:bCs/>
          <w:sz w:val="21"/>
          <w:szCs w:val="21"/>
          <w:lang w:eastAsia="zh-CN"/>
        </w:rPr>
        <w:t>应标。并</w:t>
      </w:r>
      <w:r>
        <w:rPr>
          <w:rFonts w:hint="eastAsia" w:ascii="宋体" w:hAnsi="宋体" w:eastAsia="宋体" w:cs="宋体"/>
          <w:b/>
          <w:bCs/>
          <w:sz w:val="21"/>
          <w:szCs w:val="21"/>
          <w:lang w:val="en-US" w:eastAsia="zh-CN"/>
        </w:rPr>
        <w:t>按应标要求</w:t>
      </w:r>
      <w:r>
        <w:rPr>
          <w:rFonts w:hint="eastAsia" w:ascii="宋体" w:hAnsi="宋体" w:eastAsia="宋体" w:cs="宋体"/>
          <w:b/>
          <w:bCs/>
          <w:sz w:val="21"/>
          <w:szCs w:val="21"/>
          <w:lang w:eastAsia="zh-CN"/>
        </w:rPr>
        <w:t>递交各种报名手续进行初审。</w:t>
      </w:r>
    </w:p>
    <w:p w14:paraId="78E973D6">
      <w:pPr>
        <w:keepNext w:val="0"/>
        <w:keepLines w:val="0"/>
        <w:pageBreakBefore w:val="0"/>
        <w:kinsoku/>
        <w:wordWrap/>
        <w:overflowPunct/>
        <w:topLinePunct w:val="0"/>
        <w:bidi w:val="0"/>
        <w:spacing w:line="360" w:lineRule="auto"/>
        <w:ind w:left="494" w:leftChars="200" w:hanging="74" w:hangingChars="35"/>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lang w:val="en-US" w:eastAsia="zh-CN"/>
        </w:rPr>
        <w:t>1</w:t>
      </w:r>
      <w:r>
        <w:rPr>
          <w:rFonts w:hint="eastAsia" w:ascii="宋体" w:hAnsi="宋体" w:eastAsia="宋体" w:cs="宋体"/>
          <w:b/>
          <w:bCs/>
          <w:color w:val="FF0000"/>
          <w:sz w:val="21"/>
          <w:szCs w:val="21"/>
        </w:rPr>
        <w:t>）</w:t>
      </w:r>
      <w:r>
        <w:rPr>
          <w:rFonts w:hint="eastAsia" w:ascii="宋体" w:hAnsi="宋体" w:eastAsia="宋体" w:cs="宋体"/>
          <w:b/>
          <w:bCs/>
          <w:color w:val="FF0000"/>
          <w:sz w:val="21"/>
          <w:szCs w:val="21"/>
          <w:lang w:val="en-US" w:eastAsia="zh-CN"/>
        </w:rPr>
        <w:t>应标</w:t>
      </w:r>
      <w:r>
        <w:rPr>
          <w:rFonts w:hint="eastAsia" w:ascii="宋体" w:hAnsi="宋体" w:eastAsia="宋体" w:cs="宋体"/>
          <w:b/>
          <w:bCs/>
          <w:color w:val="FF0000"/>
          <w:sz w:val="21"/>
          <w:szCs w:val="21"/>
        </w:rPr>
        <w:t>时间：202</w:t>
      </w:r>
      <w:r>
        <w:rPr>
          <w:rFonts w:hint="eastAsia" w:ascii="宋体" w:hAnsi="宋体" w:eastAsia="宋体" w:cs="宋体"/>
          <w:b/>
          <w:bCs/>
          <w:color w:val="FF0000"/>
          <w:sz w:val="21"/>
          <w:szCs w:val="21"/>
          <w:lang w:val="en-US" w:eastAsia="zh-CN"/>
        </w:rPr>
        <w:t>6</w:t>
      </w:r>
      <w:r>
        <w:rPr>
          <w:rFonts w:hint="eastAsia" w:ascii="宋体" w:hAnsi="宋体" w:eastAsia="宋体" w:cs="宋体"/>
          <w:b/>
          <w:bCs/>
          <w:color w:val="FF0000"/>
          <w:sz w:val="21"/>
          <w:szCs w:val="21"/>
        </w:rPr>
        <w:t>年</w:t>
      </w:r>
      <w:r>
        <w:rPr>
          <w:rFonts w:hint="eastAsia" w:ascii="宋体" w:hAnsi="宋体" w:cs="宋体"/>
          <w:b/>
          <w:bCs/>
          <w:color w:val="FF0000"/>
          <w:sz w:val="21"/>
          <w:szCs w:val="21"/>
          <w:lang w:val="en-US" w:eastAsia="zh-CN"/>
        </w:rPr>
        <w:t>8</w:t>
      </w:r>
      <w:r>
        <w:rPr>
          <w:rFonts w:hint="eastAsia" w:ascii="宋体" w:hAnsi="宋体" w:eastAsia="宋体" w:cs="宋体"/>
          <w:b/>
          <w:bCs/>
          <w:color w:val="FF0000"/>
          <w:sz w:val="21"/>
          <w:szCs w:val="21"/>
        </w:rPr>
        <w:t xml:space="preserve"> </w:t>
      </w:r>
      <w:r>
        <w:rPr>
          <w:rFonts w:hint="eastAsia" w:ascii="宋体" w:hAnsi="宋体" w:eastAsia="宋体" w:cs="宋体"/>
          <w:b/>
          <w:bCs/>
          <w:color w:val="FF0000"/>
          <w:sz w:val="21"/>
          <w:szCs w:val="21"/>
          <w:lang w:val="en-US" w:eastAsia="zh-CN"/>
        </w:rPr>
        <w:t xml:space="preserve">月 </w:t>
      </w:r>
      <w:r>
        <w:rPr>
          <w:rFonts w:hint="eastAsia" w:ascii="宋体" w:hAnsi="宋体" w:cs="宋体"/>
          <w:b/>
          <w:bCs/>
          <w:color w:val="FF0000"/>
          <w:sz w:val="21"/>
          <w:szCs w:val="21"/>
          <w:lang w:val="en-US" w:eastAsia="zh-CN"/>
        </w:rPr>
        <w:t>26</w:t>
      </w:r>
      <w:r>
        <w:rPr>
          <w:rFonts w:hint="eastAsia" w:ascii="宋体" w:hAnsi="宋体" w:eastAsia="宋体" w:cs="宋体"/>
          <w:b/>
          <w:bCs/>
          <w:color w:val="FF0000"/>
          <w:sz w:val="21"/>
          <w:szCs w:val="21"/>
          <w:lang w:val="en-US" w:eastAsia="zh-CN"/>
        </w:rPr>
        <w:t xml:space="preserve"> </w:t>
      </w:r>
      <w:r>
        <w:rPr>
          <w:rFonts w:hint="eastAsia" w:ascii="宋体" w:hAnsi="宋体" w:eastAsia="宋体" w:cs="宋体"/>
          <w:b/>
          <w:bCs/>
          <w:color w:val="FF0000"/>
          <w:sz w:val="21"/>
          <w:szCs w:val="21"/>
        </w:rPr>
        <w:t>日</w:t>
      </w:r>
      <w:r>
        <w:rPr>
          <w:rFonts w:hint="eastAsia" w:ascii="宋体" w:hAnsi="宋体" w:eastAsia="宋体" w:cs="宋体"/>
          <w:b/>
          <w:bCs/>
          <w:color w:val="FF0000"/>
          <w:sz w:val="21"/>
          <w:szCs w:val="21"/>
          <w:lang w:val="en-US" w:eastAsia="zh-CN"/>
        </w:rPr>
        <w:t>15</w:t>
      </w:r>
      <w:r>
        <w:rPr>
          <w:rFonts w:hint="eastAsia" w:ascii="宋体" w:hAnsi="宋体" w:eastAsia="宋体" w:cs="宋体"/>
          <w:b/>
          <w:bCs/>
          <w:color w:val="FF0000"/>
          <w:sz w:val="21"/>
          <w:szCs w:val="21"/>
        </w:rPr>
        <w:t>:00时</w:t>
      </w:r>
      <w:r>
        <w:rPr>
          <w:rFonts w:hint="eastAsia" w:ascii="宋体" w:hAnsi="宋体" w:eastAsia="宋体" w:cs="宋体"/>
          <w:b/>
          <w:bCs/>
          <w:color w:val="FF0000"/>
          <w:sz w:val="21"/>
          <w:szCs w:val="21"/>
          <w:lang w:val="en-US" w:eastAsia="zh-CN"/>
        </w:rPr>
        <w:t>--2026年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月</w:t>
      </w:r>
      <w:r>
        <w:rPr>
          <w:rFonts w:hint="eastAsia" w:ascii="宋体" w:hAnsi="宋体" w:cs="宋体"/>
          <w:b/>
          <w:bCs/>
          <w:color w:val="FF0000"/>
          <w:sz w:val="21"/>
          <w:szCs w:val="21"/>
          <w:lang w:val="en-US" w:eastAsia="zh-CN"/>
        </w:rPr>
        <w:t>3</w:t>
      </w:r>
      <w:r>
        <w:rPr>
          <w:rFonts w:hint="eastAsia" w:ascii="宋体" w:hAnsi="宋体" w:eastAsia="宋体" w:cs="宋体"/>
          <w:b/>
          <w:bCs/>
          <w:color w:val="FF0000"/>
          <w:sz w:val="21"/>
          <w:szCs w:val="21"/>
          <w:lang w:val="en-US" w:eastAsia="zh-CN"/>
        </w:rPr>
        <w:t>日9</w:t>
      </w:r>
      <w:r>
        <w:rPr>
          <w:rFonts w:hint="eastAsia" w:ascii="宋体" w:hAnsi="宋体" w:eastAsia="宋体" w:cs="宋体"/>
          <w:b/>
          <w:bCs/>
          <w:color w:val="FF0000"/>
          <w:sz w:val="21"/>
          <w:szCs w:val="21"/>
        </w:rPr>
        <w:t>:00时</w:t>
      </w:r>
    </w:p>
    <w:p w14:paraId="330752D7">
      <w:pPr>
        <w:keepNext w:val="0"/>
        <w:keepLines w:val="0"/>
        <w:pageBreakBefore w:val="0"/>
        <w:kinsoku/>
        <w:wordWrap/>
        <w:overflowPunct/>
        <w:topLinePunct w:val="0"/>
        <w:bidi w:val="0"/>
        <w:spacing w:line="360" w:lineRule="auto"/>
        <w:ind w:left="494" w:leftChars="200" w:hanging="74" w:hangingChars="35"/>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lang w:val="en-US" w:eastAsia="zh-CN"/>
        </w:rPr>
        <w:t>2</w:t>
      </w:r>
      <w:r>
        <w:rPr>
          <w:rFonts w:hint="eastAsia" w:ascii="宋体" w:hAnsi="宋体" w:eastAsia="宋体" w:cs="宋体"/>
          <w:b/>
          <w:bCs/>
          <w:color w:val="FF0000"/>
          <w:sz w:val="21"/>
          <w:szCs w:val="21"/>
        </w:rPr>
        <w:t>）</w:t>
      </w:r>
      <w:r>
        <w:rPr>
          <w:rFonts w:hint="eastAsia" w:ascii="宋体" w:hAnsi="宋体" w:eastAsia="宋体" w:cs="宋体"/>
          <w:b/>
          <w:bCs/>
          <w:color w:val="FF0000"/>
          <w:sz w:val="21"/>
          <w:szCs w:val="21"/>
          <w:lang w:val="en-US" w:eastAsia="zh-CN"/>
        </w:rPr>
        <w:t>投标时间：2026年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 xml:space="preserve">月 </w:t>
      </w:r>
      <w:r>
        <w:rPr>
          <w:rFonts w:hint="eastAsia" w:ascii="宋体" w:hAnsi="宋体" w:cs="宋体"/>
          <w:b/>
          <w:bCs/>
          <w:color w:val="FF0000"/>
          <w:sz w:val="21"/>
          <w:szCs w:val="21"/>
          <w:lang w:val="en-US" w:eastAsia="zh-CN"/>
        </w:rPr>
        <w:t>3</w:t>
      </w:r>
      <w:r>
        <w:rPr>
          <w:rFonts w:hint="eastAsia" w:ascii="宋体" w:hAnsi="宋体" w:eastAsia="宋体" w:cs="宋体"/>
          <w:b/>
          <w:bCs/>
          <w:color w:val="FF0000"/>
          <w:sz w:val="21"/>
          <w:szCs w:val="21"/>
          <w:lang w:val="en-US" w:eastAsia="zh-CN"/>
        </w:rPr>
        <w:t xml:space="preserve"> 日9</w:t>
      </w:r>
      <w:r>
        <w:rPr>
          <w:rFonts w:hint="eastAsia" w:ascii="宋体" w:hAnsi="宋体" w:eastAsia="宋体" w:cs="宋体"/>
          <w:b/>
          <w:bCs/>
          <w:color w:val="FF0000"/>
          <w:sz w:val="21"/>
          <w:szCs w:val="21"/>
        </w:rPr>
        <w:t>:00时</w:t>
      </w:r>
      <w:r>
        <w:rPr>
          <w:rFonts w:hint="eastAsia" w:ascii="宋体" w:hAnsi="宋体" w:eastAsia="宋体" w:cs="宋体"/>
          <w:b/>
          <w:bCs/>
          <w:color w:val="FF0000"/>
          <w:sz w:val="21"/>
          <w:szCs w:val="21"/>
          <w:lang w:val="en-US" w:eastAsia="zh-CN"/>
        </w:rPr>
        <w:t>--2026年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月</w:t>
      </w:r>
      <w:r>
        <w:rPr>
          <w:rFonts w:hint="eastAsia" w:ascii="宋体" w:hAnsi="宋体" w:cs="宋体"/>
          <w:b/>
          <w:bCs/>
          <w:color w:val="FF0000"/>
          <w:sz w:val="21"/>
          <w:szCs w:val="21"/>
          <w:lang w:val="en-US" w:eastAsia="zh-CN"/>
        </w:rPr>
        <w:t>7</w:t>
      </w:r>
      <w:r>
        <w:rPr>
          <w:rFonts w:hint="eastAsia" w:ascii="宋体" w:hAnsi="宋体" w:eastAsia="宋体" w:cs="宋体"/>
          <w:b/>
          <w:bCs/>
          <w:color w:val="FF0000"/>
          <w:sz w:val="21"/>
          <w:szCs w:val="21"/>
          <w:lang w:val="en-US" w:eastAsia="zh-CN"/>
        </w:rPr>
        <w:t>日9</w:t>
      </w:r>
      <w:r>
        <w:rPr>
          <w:rFonts w:hint="eastAsia" w:ascii="宋体" w:hAnsi="宋体" w:eastAsia="宋体" w:cs="宋体"/>
          <w:b/>
          <w:bCs/>
          <w:color w:val="FF0000"/>
          <w:sz w:val="21"/>
          <w:szCs w:val="21"/>
        </w:rPr>
        <w:t>:00时</w:t>
      </w:r>
    </w:p>
    <w:p w14:paraId="7EF70368">
      <w:pPr>
        <w:keepNext w:val="0"/>
        <w:keepLines w:val="0"/>
        <w:pageBreakBefore w:val="0"/>
        <w:kinsoku/>
        <w:wordWrap/>
        <w:overflowPunct/>
        <w:topLinePunct w:val="0"/>
        <w:bidi w:val="0"/>
        <w:spacing w:line="360" w:lineRule="auto"/>
        <w:ind w:left="494" w:leftChars="200" w:hanging="74" w:hangingChars="35"/>
        <w:textAlignment w:val="auto"/>
        <w:rPr>
          <w:rFonts w:hint="eastAsia" w:ascii="宋体" w:hAnsi="宋体" w:eastAsia="宋体" w:cs="宋体"/>
          <w:b/>
          <w:bCs/>
          <w:sz w:val="21"/>
          <w:szCs w:val="21"/>
          <w:lang w:val="en-US" w:eastAsia="zh-CN"/>
        </w:rPr>
      </w:pPr>
      <w:r>
        <w:rPr>
          <w:rFonts w:hint="eastAsia" w:ascii="宋体" w:hAnsi="宋体" w:eastAsia="宋体" w:cs="宋体"/>
          <w:b/>
          <w:bCs/>
          <w:color w:val="FF0000"/>
          <w:sz w:val="21"/>
          <w:szCs w:val="21"/>
          <w:lang w:val="en-US" w:eastAsia="zh-CN"/>
        </w:rPr>
        <w:t>3</w:t>
      </w:r>
      <w:r>
        <w:rPr>
          <w:rFonts w:hint="eastAsia" w:ascii="宋体" w:hAnsi="宋体" w:eastAsia="宋体" w:cs="宋体"/>
          <w:b/>
          <w:bCs/>
          <w:color w:val="FF0000"/>
          <w:sz w:val="21"/>
          <w:szCs w:val="21"/>
        </w:rPr>
        <w:t>）</w:t>
      </w:r>
      <w:r>
        <w:rPr>
          <w:rFonts w:hint="eastAsia" w:ascii="宋体" w:hAnsi="宋体" w:eastAsia="宋体" w:cs="宋体"/>
          <w:b/>
          <w:bCs/>
          <w:color w:val="FF0000"/>
          <w:sz w:val="21"/>
          <w:szCs w:val="21"/>
          <w:lang w:val="en-US" w:eastAsia="zh-CN"/>
        </w:rPr>
        <w:t>开标时间：2026年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月</w:t>
      </w:r>
      <w:r>
        <w:rPr>
          <w:rFonts w:hint="eastAsia" w:ascii="宋体" w:hAnsi="宋体" w:cs="宋体"/>
          <w:b/>
          <w:bCs/>
          <w:color w:val="FF0000"/>
          <w:sz w:val="21"/>
          <w:szCs w:val="21"/>
          <w:lang w:val="en-US" w:eastAsia="zh-CN"/>
        </w:rPr>
        <w:t>8</w:t>
      </w:r>
      <w:r>
        <w:rPr>
          <w:rFonts w:hint="eastAsia" w:ascii="宋体" w:hAnsi="宋体" w:eastAsia="宋体" w:cs="宋体"/>
          <w:b/>
          <w:bCs/>
          <w:color w:val="FF0000"/>
          <w:sz w:val="21"/>
          <w:szCs w:val="21"/>
          <w:lang w:val="en-US" w:eastAsia="zh-CN"/>
        </w:rPr>
        <w:t>日9</w:t>
      </w:r>
      <w:r>
        <w:rPr>
          <w:rFonts w:hint="eastAsia" w:ascii="宋体" w:hAnsi="宋体" w:eastAsia="宋体" w:cs="宋体"/>
          <w:b/>
          <w:bCs/>
          <w:color w:val="FF0000"/>
          <w:sz w:val="21"/>
          <w:szCs w:val="21"/>
        </w:rPr>
        <w:t>:</w:t>
      </w:r>
      <w:r>
        <w:rPr>
          <w:rFonts w:hint="eastAsia" w:ascii="宋体" w:hAnsi="宋体" w:eastAsia="宋体" w:cs="宋体"/>
          <w:b/>
          <w:bCs/>
          <w:color w:val="FF0000"/>
          <w:sz w:val="21"/>
          <w:szCs w:val="21"/>
          <w:lang w:val="en-US" w:eastAsia="zh-CN"/>
        </w:rPr>
        <w:t>00</w:t>
      </w:r>
      <w:r>
        <w:rPr>
          <w:rFonts w:hint="eastAsia" w:ascii="宋体" w:hAnsi="宋体" w:eastAsia="宋体" w:cs="宋体"/>
          <w:b/>
          <w:bCs/>
          <w:color w:val="FF0000"/>
          <w:sz w:val="21"/>
          <w:szCs w:val="21"/>
        </w:rPr>
        <w:t>时</w:t>
      </w:r>
      <w:r>
        <w:rPr>
          <w:rFonts w:hint="eastAsia" w:ascii="宋体" w:hAnsi="宋体" w:eastAsia="宋体" w:cs="宋体"/>
          <w:b/>
          <w:bCs/>
          <w:color w:val="FF0000"/>
          <w:sz w:val="21"/>
          <w:szCs w:val="21"/>
          <w:lang w:val="en-US" w:eastAsia="zh-CN"/>
        </w:rPr>
        <w:t>(初定）</w:t>
      </w:r>
    </w:p>
    <w:p w14:paraId="0A1E8ADC">
      <w:pPr>
        <w:pStyle w:val="4"/>
        <w:keepNext w:val="0"/>
        <w:keepLines w:val="0"/>
        <w:pageBreakBefore w:val="0"/>
        <w:tabs>
          <w:tab w:val="left" w:pos="2286"/>
        </w:tabs>
        <w:kinsoku/>
        <w:wordWrap/>
        <w:overflowPunct/>
        <w:topLinePunct w:val="0"/>
        <w:bidi w:val="0"/>
        <w:snapToGrid w:val="0"/>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应标</w:t>
      </w:r>
      <w:r>
        <w:rPr>
          <w:rFonts w:hint="eastAsia" w:ascii="宋体" w:hAnsi="宋体" w:eastAsia="宋体" w:cs="宋体"/>
          <w:b/>
          <w:bCs/>
          <w:sz w:val="21"/>
          <w:szCs w:val="21"/>
        </w:rPr>
        <w:t>方式：</w:t>
      </w:r>
      <w:r>
        <w:rPr>
          <w:rFonts w:hint="eastAsia" w:ascii="宋体" w:hAnsi="宋体" w:eastAsia="宋体" w:cs="宋体"/>
          <w:b/>
          <w:bCs/>
          <w:sz w:val="21"/>
          <w:szCs w:val="21"/>
          <w:lang w:val="en-US" w:eastAsia="zh-CN"/>
        </w:rPr>
        <w:t>方式为电子化线上</w:t>
      </w:r>
      <w:r>
        <w:rPr>
          <w:rFonts w:hint="eastAsia" w:ascii="宋体" w:hAnsi="宋体" w:eastAsia="宋体" w:cs="宋体"/>
          <w:b/>
          <w:bCs/>
          <w:sz w:val="21"/>
          <w:szCs w:val="21"/>
          <w:lang w:eastAsia="zh-CN"/>
        </w:rPr>
        <w:t>应标</w:t>
      </w:r>
      <w:r>
        <w:rPr>
          <w:rFonts w:hint="eastAsia" w:ascii="宋体" w:hAnsi="宋体" w:eastAsia="宋体" w:cs="宋体"/>
          <w:b/>
          <w:bCs/>
          <w:sz w:val="21"/>
          <w:szCs w:val="21"/>
          <w:lang w:val="en-US" w:eastAsia="zh-CN"/>
        </w:rPr>
        <w:t>，投标方先进入中国重汽e采通进行登录，并查看招标文件相关公告及信息，并按要求提供资质文件、业务简介、项目业绩，</w:t>
      </w:r>
      <w:r>
        <w:rPr>
          <w:rFonts w:hint="eastAsia" w:ascii="宋体" w:hAnsi="宋体" w:eastAsia="宋体" w:cs="宋体"/>
          <w:b/>
          <w:bCs/>
          <w:color w:val="FF0000"/>
          <w:sz w:val="21"/>
          <w:szCs w:val="21"/>
          <w:lang w:val="en-US" w:eastAsia="zh-CN"/>
        </w:rPr>
        <w:t>后附说明</w:t>
      </w:r>
      <w:r>
        <w:rPr>
          <w:rFonts w:hint="eastAsia" w:ascii="宋体" w:hAnsi="宋体" w:eastAsia="宋体" w:cs="宋体"/>
          <w:b/>
          <w:bCs/>
          <w:sz w:val="21"/>
          <w:szCs w:val="21"/>
          <w:lang w:val="en-US" w:eastAsia="zh-CN"/>
        </w:rPr>
        <w:t>。</w:t>
      </w:r>
    </w:p>
    <w:p w14:paraId="32DBD8B1">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4.</w:t>
      </w: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招标文件的获取以报名单位通过资质审核并缴纳投标保证金之后，招标项目联系人通过</w:t>
      </w:r>
      <w:r>
        <w:rPr>
          <w:rFonts w:hint="eastAsia" w:ascii="宋体" w:hAnsi="宋体" w:eastAsia="宋体" w:cs="宋体"/>
          <w:b/>
          <w:bCs/>
          <w:sz w:val="21"/>
          <w:szCs w:val="21"/>
          <w:lang w:eastAsia="zh-CN"/>
        </w:rPr>
        <w:t>微信</w:t>
      </w:r>
      <w:r>
        <w:rPr>
          <w:rFonts w:hint="eastAsia" w:ascii="宋体" w:hAnsi="宋体" w:eastAsia="宋体" w:cs="宋体"/>
          <w:b/>
          <w:bCs/>
          <w:sz w:val="21"/>
          <w:szCs w:val="21"/>
        </w:rPr>
        <w:t>形式发送投标人。</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投标人应提交人民</w:t>
      </w:r>
      <w:r>
        <w:rPr>
          <w:rFonts w:hint="eastAsia" w:ascii="宋体" w:hAnsi="宋体" w:eastAsia="宋体" w:cs="宋体"/>
          <w:b/>
          <w:bCs/>
          <w:sz w:val="21"/>
          <w:szCs w:val="21"/>
          <w:lang w:eastAsia="zh-CN"/>
        </w:rPr>
        <w:t>币</w:t>
      </w:r>
      <w:r>
        <w:rPr>
          <w:rFonts w:hint="eastAsia" w:ascii="宋体" w:hAnsi="宋体" w:eastAsia="宋体" w:cs="宋体"/>
          <w:b/>
          <w:bCs/>
          <w:color w:val="FF0000"/>
          <w:sz w:val="21"/>
          <w:szCs w:val="21"/>
          <w:u w:val="single"/>
          <w:lang w:eastAsia="zh-CN"/>
        </w:rPr>
        <w:t>伍仟元</w:t>
      </w:r>
      <w:r>
        <w:rPr>
          <w:rFonts w:hint="eastAsia" w:ascii="宋体" w:hAnsi="宋体" w:eastAsia="宋体" w:cs="宋体"/>
          <w:b/>
          <w:bCs/>
          <w:sz w:val="21"/>
          <w:szCs w:val="21"/>
        </w:rPr>
        <w:t>投标保证金</w:t>
      </w:r>
      <w:r>
        <w:rPr>
          <w:rFonts w:hint="eastAsia" w:ascii="宋体" w:hAnsi="宋体" w:eastAsia="宋体" w:cs="宋体"/>
          <w:b/>
          <w:bCs/>
          <w:sz w:val="21"/>
          <w:szCs w:val="21"/>
          <w:lang w:eastAsia="zh-CN"/>
        </w:rPr>
        <w:t>，并在保证金上注明项目名称，并截图发给招标联系人）</w:t>
      </w:r>
    </w:p>
    <w:p w14:paraId="3B815742">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4.3</w:t>
      </w:r>
      <w:r>
        <w:rPr>
          <w:rFonts w:hint="eastAsia" w:ascii="宋体" w:hAnsi="宋体" w:eastAsia="宋体" w:cs="宋体"/>
          <w:b/>
          <w:bCs/>
          <w:sz w:val="21"/>
          <w:szCs w:val="21"/>
        </w:rPr>
        <w:t>缴纳投标保证金账户信息：</w:t>
      </w:r>
    </w:p>
    <w:p w14:paraId="140F4BEA">
      <w:pPr>
        <w:keepNext w:val="0"/>
        <w:keepLines w:val="0"/>
        <w:pageBreakBefore w:val="0"/>
        <w:widowControl w:val="0"/>
        <w:kinsoku/>
        <w:wordWrap/>
        <w:overflowPunct/>
        <w:topLinePunct w:val="0"/>
        <w:autoSpaceDE/>
        <w:autoSpaceDN/>
        <w:bidi w:val="0"/>
        <w:adjustRightInd/>
        <w:snapToGrid/>
        <w:spacing w:line="360" w:lineRule="auto"/>
        <w:ind w:left="878" w:leftChars="418" w:firstLine="0" w:firstLineChars="0"/>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rPr>
        <w:t>账号：531900051810601</w:t>
      </w:r>
      <w:r>
        <w:rPr>
          <w:rFonts w:hint="eastAsia" w:ascii="宋体" w:hAnsi="宋体" w:eastAsia="宋体" w:cs="宋体"/>
          <w:b/>
          <w:bCs/>
          <w:color w:val="FF0000"/>
          <w:sz w:val="21"/>
          <w:szCs w:val="21"/>
        </w:rPr>
        <w:br w:type="textWrapping"/>
      </w:r>
      <w:r>
        <w:rPr>
          <w:rFonts w:hint="eastAsia" w:ascii="宋体" w:hAnsi="宋体" w:eastAsia="宋体" w:cs="宋体"/>
          <w:b/>
          <w:bCs/>
          <w:color w:val="FF0000"/>
          <w:sz w:val="21"/>
          <w:szCs w:val="21"/>
        </w:rPr>
        <w:t>户名：中国重汽集团济南卡车股份有限公司</w:t>
      </w:r>
      <w:r>
        <w:rPr>
          <w:rFonts w:hint="eastAsia" w:ascii="宋体" w:hAnsi="宋体" w:eastAsia="宋体" w:cs="宋体"/>
          <w:b/>
          <w:bCs/>
          <w:color w:val="FF0000"/>
          <w:sz w:val="21"/>
          <w:szCs w:val="21"/>
        </w:rPr>
        <w:br w:type="textWrapping"/>
      </w:r>
      <w:r>
        <w:rPr>
          <w:rFonts w:hint="eastAsia" w:ascii="宋体" w:hAnsi="宋体" w:eastAsia="宋体" w:cs="宋体"/>
          <w:b/>
          <w:bCs/>
          <w:color w:val="FF0000"/>
          <w:sz w:val="21"/>
          <w:szCs w:val="21"/>
        </w:rPr>
        <w:t>开户银行：招商银行股份有限公司济南分行营业部</w:t>
      </w:r>
      <w:r>
        <w:rPr>
          <w:rFonts w:hint="eastAsia" w:ascii="宋体" w:hAnsi="宋体" w:eastAsia="宋体" w:cs="宋体"/>
          <w:b/>
          <w:bCs/>
          <w:color w:val="FF0000"/>
          <w:sz w:val="21"/>
          <w:szCs w:val="21"/>
        </w:rPr>
        <w:br w:type="textWrapping"/>
      </w:r>
      <w:r>
        <w:rPr>
          <w:rFonts w:hint="eastAsia" w:ascii="宋体" w:hAnsi="宋体" w:eastAsia="宋体" w:cs="宋体"/>
          <w:b/>
          <w:bCs/>
          <w:color w:val="FF0000"/>
          <w:sz w:val="21"/>
          <w:szCs w:val="21"/>
        </w:rPr>
        <w:t>联行号：308451028020 投标保证金等需要支付到此账号</w:t>
      </w:r>
    </w:p>
    <w:p w14:paraId="43C2A879">
      <w:pPr>
        <w:keepNext w:val="0"/>
        <w:keepLines w:val="0"/>
        <w:pageBreakBefore w:val="0"/>
        <w:widowControl w:val="0"/>
        <w:kinsoku/>
        <w:wordWrap/>
        <w:overflowPunct/>
        <w:topLinePunct w:val="0"/>
        <w:autoSpaceDE/>
        <w:autoSpaceDN/>
        <w:bidi w:val="0"/>
        <w:spacing w:line="360" w:lineRule="auto"/>
        <w:ind w:left="160" w:leftChars="76" w:firstLine="632" w:firstLineChars="300"/>
        <w:textAlignment w:val="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在摘要、用途或备注上明确项目名称：</w:t>
      </w:r>
    </w:p>
    <w:p w14:paraId="5BD152BD">
      <w:pPr>
        <w:keepNext w:val="0"/>
        <w:keepLines w:val="0"/>
        <w:pageBreakBefore w:val="0"/>
        <w:widowControl w:val="0"/>
        <w:kinsoku/>
        <w:wordWrap/>
        <w:overflowPunct/>
        <w:topLinePunct w:val="0"/>
        <w:autoSpaceDE/>
        <w:autoSpaceDN/>
        <w:bidi w:val="0"/>
        <w:adjustRightInd w:val="0"/>
        <w:snapToGrid w:val="0"/>
        <w:spacing w:line="360" w:lineRule="auto"/>
        <w:ind w:firstLine="843" w:firstLineChars="400"/>
        <w:jc w:val="left"/>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lang w:val="en-US" w:eastAsia="zh-CN"/>
        </w:rPr>
        <w:t>动能部高宝庆---整车仓储部8平台项目投标保证金</w:t>
      </w:r>
    </w:p>
    <w:p w14:paraId="568818A2">
      <w:pPr>
        <w:keepNext w:val="0"/>
        <w:keepLines w:val="0"/>
        <w:pageBreakBefore w:val="0"/>
        <w:widowControl w:val="0"/>
        <w:kinsoku/>
        <w:wordWrap/>
        <w:overflowPunct/>
        <w:topLinePunct w:val="0"/>
        <w:autoSpaceDE/>
        <w:autoSpaceDN/>
        <w:bidi w:val="0"/>
        <w:adjustRightInd/>
        <w:snapToGrid/>
        <w:spacing w:line="360" w:lineRule="auto"/>
        <w:ind w:left="160" w:leftChars="76"/>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rPr>
        <w:t>注：</w:t>
      </w:r>
      <w:r>
        <w:rPr>
          <w:rFonts w:hint="eastAsia" w:ascii="宋体" w:hAnsi="宋体" w:eastAsia="宋体" w:cs="宋体"/>
          <w:b/>
          <w:bCs/>
          <w:color w:val="auto"/>
          <w:sz w:val="21"/>
          <w:szCs w:val="21"/>
          <w:lang w:val="en-US" w:eastAsia="zh-CN"/>
        </w:rPr>
        <w:t>经应标审核通过后，投标厂家在两天内交</w:t>
      </w:r>
      <w:r>
        <w:rPr>
          <w:rFonts w:hint="eastAsia" w:ascii="宋体" w:hAnsi="宋体" w:eastAsia="宋体" w:cs="宋体"/>
          <w:b/>
          <w:bCs/>
          <w:color w:val="auto"/>
          <w:sz w:val="21"/>
          <w:szCs w:val="21"/>
        </w:rPr>
        <w:t>投标保证金</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需从对方单位账户转出，</w:t>
      </w:r>
      <w:r>
        <w:rPr>
          <w:rFonts w:hint="eastAsia" w:ascii="宋体" w:hAnsi="宋体" w:eastAsia="宋体" w:cs="宋体"/>
          <w:b/>
          <w:bCs/>
          <w:color w:val="auto"/>
          <w:sz w:val="21"/>
          <w:szCs w:val="21"/>
          <w:lang w:eastAsia="zh-CN"/>
        </w:rPr>
        <w:t>如无保证金的备注，保证金将无法退回。</w:t>
      </w:r>
    </w:p>
    <w:p w14:paraId="02B5637C">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5、投标文件的递交</w:t>
      </w:r>
    </w:p>
    <w:p w14:paraId="6F053D8B">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5.1 投标文件递交的截止时间</w:t>
      </w:r>
      <w:r>
        <w:rPr>
          <w:rFonts w:hint="eastAsia" w:ascii="宋体" w:hAnsi="宋体" w:eastAsia="宋体" w:cs="宋体"/>
          <w:b/>
          <w:bCs/>
          <w:kern w:val="0"/>
          <w:sz w:val="21"/>
          <w:szCs w:val="21"/>
        </w:rPr>
        <w:t>详见</w:t>
      </w:r>
      <w:r>
        <w:rPr>
          <w:rFonts w:hint="eastAsia" w:ascii="宋体" w:hAnsi="宋体" w:eastAsia="宋体" w:cs="宋体"/>
          <w:b/>
          <w:bCs/>
          <w:sz w:val="21"/>
          <w:szCs w:val="21"/>
          <w:lang w:val="en-US" w:eastAsia="zh-CN"/>
        </w:rPr>
        <w:t>中国重汽e采通具体公示明细</w:t>
      </w:r>
      <w:r>
        <w:rPr>
          <w:rFonts w:hint="eastAsia" w:ascii="宋体" w:hAnsi="宋体" w:eastAsia="宋体" w:cs="宋体"/>
          <w:b/>
          <w:bCs/>
          <w:sz w:val="21"/>
          <w:szCs w:val="21"/>
        </w:rPr>
        <w:t>。</w:t>
      </w:r>
    </w:p>
    <w:p w14:paraId="7824B12D">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 xml:space="preserve">5.2 </w:t>
      </w:r>
      <w:r>
        <w:rPr>
          <w:rFonts w:hint="eastAsia" w:ascii="宋体" w:hAnsi="宋体" w:eastAsia="宋体" w:cs="宋体"/>
          <w:b/>
          <w:bCs/>
          <w:sz w:val="21"/>
          <w:szCs w:val="21"/>
          <w:lang w:val="en-US" w:eastAsia="zh-CN"/>
        </w:rPr>
        <w:t>投标厂家未按时间节点进行应标，递交合格的的</w:t>
      </w:r>
      <w:r>
        <w:rPr>
          <w:rFonts w:hint="eastAsia" w:ascii="宋体" w:hAnsi="宋体" w:eastAsia="宋体" w:cs="宋体"/>
          <w:b/>
          <w:bCs/>
          <w:sz w:val="21"/>
          <w:szCs w:val="21"/>
        </w:rPr>
        <w:t>投标文件，招标人不予受理。</w:t>
      </w:r>
    </w:p>
    <w:p w14:paraId="27779DB1">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5.3招标单位对投标厂家的</w:t>
      </w:r>
      <w:r>
        <w:rPr>
          <w:rFonts w:hint="eastAsia" w:ascii="宋体" w:hAnsi="宋体" w:eastAsia="宋体" w:cs="宋体"/>
          <w:b/>
          <w:bCs/>
          <w:sz w:val="21"/>
          <w:szCs w:val="21"/>
        </w:rPr>
        <w:t>资格</w:t>
      </w:r>
      <w:r>
        <w:rPr>
          <w:rFonts w:hint="eastAsia" w:ascii="宋体" w:hAnsi="宋体" w:eastAsia="宋体" w:cs="宋体"/>
          <w:b/>
          <w:bCs/>
          <w:sz w:val="21"/>
          <w:szCs w:val="21"/>
          <w:lang w:val="en-US" w:eastAsia="zh-CN"/>
        </w:rPr>
        <w:t>进行</w:t>
      </w:r>
      <w:r>
        <w:rPr>
          <w:rFonts w:hint="eastAsia" w:ascii="宋体" w:hAnsi="宋体" w:eastAsia="宋体" w:cs="宋体"/>
          <w:b/>
          <w:bCs/>
          <w:sz w:val="21"/>
          <w:szCs w:val="21"/>
        </w:rPr>
        <w:t>审查，资格审查通过</w:t>
      </w:r>
      <w:r>
        <w:rPr>
          <w:rFonts w:hint="eastAsia" w:ascii="宋体" w:hAnsi="宋体" w:eastAsia="宋体" w:cs="宋体"/>
          <w:b/>
          <w:bCs/>
          <w:sz w:val="21"/>
          <w:szCs w:val="21"/>
          <w:lang w:val="en-US" w:eastAsia="zh-CN"/>
        </w:rPr>
        <w:t>后进入供应商投标流程</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开标日期有开始节点，开标节点到达后，招标专家小组会收到投标厂家的技术标及商务标。</w:t>
      </w:r>
    </w:p>
    <w:p w14:paraId="6DE78DCF">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5.4线上</w:t>
      </w:r>
      <w:r>
        <w:rPr>
          <w:rFonts w:hint="eastAsia" w:ascii="宋体" w:hAnsi="宋体" w:eastAsia="宋体" w:cs="宋体"/>
          <w:b/>
          <w:bCs/>
          <w:sz w:val="21"/>
          <w:szCs w:val="21"/>
        </w:rPr>
        <w:t>投标文件分为</w:t>
      </w: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个</w:t>
      </w:r>
      <w:r>
        <w:rPr>
          <w:rFonts w:hint="eastAsia" w:ascii="宋体" w:hAnsi="宋体" w:eastAsia="宋体" w:cs="宋体"/>
          <w:b/>
          <w:bCs/>
          <w:sz w:val="21"/>
          <w:szCs w:val="21"/>
          <w:lang w:val="en-US" w:eastAsia="zh-CN"/>
        </w:rPr>
        <w:t>部分（扫描PDF版需加盖公司红章招标完成后通过微信发给招标负责人进行备案）</w:t>
      </w:r>
      <w:r>
        <w:rPr>
          <w:rFonts w:hint="eastAsia" w:ascii="宋体" w:hAnsi="宋体" w:eastAsia="宋体" w:cs="宋体"/>
          <w:b/>
          <w:bCs/>
          <w:sz w:val="21"/>
          <w:szCs w:val="21"/>
        </w:rPr>
        <w:t>，即资质文件、技术标</w:t>
      </w:r>
      <w:r>
        <w:rPr>
          <w:rFonts w:hint="eastAsia" w:ascii="宋体" w:hAnsi="宋体" w:eastAsia="宋体" w:cs="宋体"/>
          <w:b/>
          <w:bCs/>
          <w:sz w:val="21"/>
          <w:szCs w:val="21"/>
          <w:lang w:eastAsia="zh-CN"/>
        </w:rPr>
        <w:t>、</w:t>
      </w:r>
      <w:r>
        <w:rPr>
          <w:rFonts w:hint="eastAsia" w:ascii="宋体" w:hAnsi="宋体" w:eastAsia="宋体" w:cs="宋体"/>
          <w:b/>
          <w:bCs/>
          <w:sz w:val="21"/>
          <w:szCs w:val="21"/>
        </w:rPr>
        <w:t>商务标</w:t>
      </w:r>
      <w:r>
        <w:rPr>
          <w:rFonts w:hint="eastAsia" w:ascii="宋体" w:hAnsi="宋体" w:eastAsia="宋体" w:cs="宋体"/>
          <w:b/>
          <w:bCs/>
          <w:sz w:val="21"/>
          <w:szCs w:val="21"/>
          <w:lang w:val="en-US" w:eastAsia="zh-CN"/>
        </w:rPr>
        <w:t>等相关资料各一份</w:t>
      </w:r>
      <w:r>
        <w:rPr>
          <w:rFonts w:hint="eastAsia" w:ascii="宋体" w:hAnsi="宋体" w:eastAsia="宋体" w:cs="宋体"/>
          <w:b/>
          <w:bCs/>
          <w:sz w:val="21"/>
          <w:szCs w:val="21"/>
        </w:rPr>
        <w:t>。</w:t>
      </w:r>
    </w:p>
    <w:p w14:paraId="0C52126C">
      <w:pPr>
        <w:pStyle w:val="3"/>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5.5线上投标过程中投标方请注意应标、投标、开标的时间节点，如错过节点交无法进行招标。</w:t>
      </w:r>
    </w:p>
    <w:p w14:paraId="247B21DC">
      <w:pPr>
        <w:pStyle w:val="3"/>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招标方联系方式：</w:t>
      </w:r>
    </w:p>
    <w:p w14:paraId="59129293">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联系地址：山东省济南市市中区党家庄镇南首济南卡车股份有限公司</w:t>
      </w:r>
    </w:p>
    <w:p w14:paraId="4B0CA270">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lang w:eastAsia="zh-CN"/>
        </w:rPr>
        <w:t>招标</w:t>
      </w:r>
      <w:r>
        <w:rPr>
          <w:rFonts w:hint="eastAsia" w:ascii="宋体" w:hAnsi="宋体" w:eastAsia="宋体" w:cs="宋体"/>
          <w:b/>
          <w:bCs/>
          <w:color w:val="FF0000"/>
          <w:sz w:val="21"/>
          <w:szCs w:val="21"/>
          <w:lang w:val="en-US" w:eastAsia="zh-CN"/>
        </w:rPr>
        <w:t>负责</w:t>
      </w:r>
      <w:r>
        <w:rPr>
          <w:rFonts w:hint="eastAsia" w:ascii="宋体" w:hAnsi="宋体" w:eastAsia="宋体" w:cs="宋体"/>
          <w:b/>
          <w:bCs/>
          <w:color w:val="FF0000"/>
          <w:sz w:val="21"/>
          <w:szCs w:val="21"/>
        </w:rPr>
        <w:t>人：高宝庆13505404840微信号：732627433</w:t>
      </w:r>
    </w:p>
    <w:p w14:paraId="283BA6B0">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 xml:space="preserve">现场联系人：李晓冰   15953140534 </w:t>
      </w:r>
    </w:p>
    <w:p w14:paraId="36EB120B">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lang w:val="en-US" w:eastAsia="zh-CN"/>
        </w:rPr>
      </w:pPr>
      <w:r>
        <w:rPr>
          <w:rFonts w:hint="eastAsia" w:ascii="宋体" w:hAnsi="宋体" w:eastAsia="宋体" w:cs="宋体"/>
          <w:b/>
          <w:bCs/>
          <w:color w:val="FF0000"/>
          <w:sz w:val="21"/>
          <w:szCs w:val="21"/>
          <w:lang w:val="en-US" w:eastAsia="zh-CN"/>
        </w:rPr>
        <w:t>投标方如意向参标，先联系招标负责人先进行备案，再联系技术联系人看现场，根据招标书进行具体流程操作。</w:t>
      </w:r>
    </w:p>
    <w:p w14:paraId="52E03A1D">
      <w:pPr>
        <w:pStyle w:val="4"/>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211" w:firstLineChars="100"/>
        <w:textAlignment w:val="auto"/>
        <w:rPr>
          <w:rFonts w:hint="eastAsia" w:ascii="宋体" w:hAnsi="宋体" w:eastAsia="宋体" w:cs="宋体"/>
          <w:b/>
          <w:bCs w:val="0"/>
          <w:snapToGrid w:val="0"/>
          <w:kern w:val="0"/>
          <w:sz w:val="21"/>
          <w:szCs w:val="21"/>
          <w:lang w:eastAsia="zh-Hans"/>
        </w:rPr>
      </w:pPr>
      <w:r>
        <w:rPr>
          <w:rFonts w:hint="eastAsia" w:ascii="宋体" w:hAnsi="宋体" w:eastAsia="宋体" w:cs="宋体"/>
          <w:b/>
          <w:bCs w:val="0"/>
          <w:sz w:val="21"/>
          <w:szCs w:val="21"/>
          <w:lang w:val="en-US" w:eastAsia="zh-CN"/>
        </w:rPr>
        <w:t>7、根据甲方要求到现场进行开标及技术解答。</w:t>
      </w:r>
    </w:p>
    <w:p w14:paraId="1031620B">
      <w:pPr>
        <w:pStyle w:val="4"/>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211" w:firstLineChars="100"/>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8、</w:t>
      </w:r>
      <w:r>
        <w:rPr>
          <w:rFonts w:hint="eastAsia" w:ascii="宋体" w:hAnsi="宋体" w:eastAsia="宋体" w:cs="宋体"/>
          <w:b/>
          <w:bCs w:val="0"/>
          <w:color w:val="FF0000"/>
          <w:sz w:val="21"/>
          <w:szCs w:val="21"/>
        </w:rPr>
        <w:t>合同的各签约方使用电子签约</w:t>
      </w:r>
      <w:r>
        <w:rPr>
          <w:rFonts w:hint="eastAsia" w:ascii="宋体" w:hAnsi="宋体" w:eastAsia="宋体" w:cs="宋体"/>
          <w:b/>
          <w:bCs w:val="0"/>
          <w:sz w:val="21"/>
          <w:szCs w:val="21"/>
        </w:rPr>
        <w:t>，电子签约方的代理人包括在契约锁平台完成认证并具有相应盖章、签字权限的管理员、盖章人或签名人。电子签约方在相关电子合同通过CA证书进行电子签章</w:t>
      </w:r>
      <w:r>
        <w:rPr>
          <w:rFonts w:hint="eastAsia" w:ascii="宋体" w:hAnsi="宋体" w:eastAsia="宋体" w:cs="宋体"/>
          <w:b/>
          <w:bCs w:val="0"/>
          <w:sz w:val="21"/>
          <w:szCs w:val="21"/>
          <w:lang w:eastAsia="zh-CN"/>
        </w:rPr>
        <w:t>。</w:t>
      </w:r>
    </w:p>
    <w:p w14:paraId="61FB806A">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eastAsia" w:ascii="宋体" w:hAnsi="宋体" w:eastAsia="宋体" w:cs="宋体"/>
          <w:b/>
          <w:bCs w:val="0"/>
          <w:sz w:val="21"/>
          <w:szCs w:val="21"/>
        </w:rPr>
      </w:pPr>
      <w:r>
        <w:rPr>
          <w:rFonts w:hint="eastAsia" w:ascii="宋体" w:hAnsi="宋体" w:eastAsia="宋体" w:cs="宋体"/>
          <w:b/>
          <w:bCs w:val="0"/>
          <w:sz w:val="21"/>
          <w:szCs w:val="21"/>
        </w:rPr>
        <w:t>以上条款最终解释权归重汽</w:t>
      </w:r>
      <w:r>
        <w:rPr>
          <w:rFonts w:hint="eastAsia" w:ascii="宋体" w:hAnsi="宋体" w:eastAsia="宋体" w:cs="宋体"/>
          <w:b/>
          <w:bCs w:val="0"/>
          <w:sz w:val="21"/>
          <w:szCs w:val="21"/>
          <w:lang w:eastAsia="zh-CN"/>
        </w:rPr>
        <w:t>济南卡车股份</w:t>
      </w:r>
      <w:r>
        <w:rPr>
          <w:rFonts w:hint="eastAsia" w:ascii="宋体" w:hAnsi="宋体" w:eastAsia="宋体" w:cs="宋体"/>
          <w:b/>
          <w:bCs w:val="0"/>
          <w:sz w:val="21"/>
          <w:szCs w:val="21"/>
        </w:rPr>
        <w:t>有限公司所有。</w:t>
      </w:r>
    </w:p>
    <w:p w14:paraId="3CC2EC36">
      <w:pPr>
        <w:autoSpaceDE w:val="0"/>
        <w:autoSpaceDN w:val="0"/>
        <w:adjustRightInd w:val="0"/>
        <w:snapToGrid w:val="0"/>
        <w:spacing w:line="360" w:lineRule="auto"/>
        <w:ind w:firstLine="211" w:firstLineChars="100"/>
        <w:jc w:val="left"/>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9、提供厂家授权书，应标需把授权书作为应标依据传到系统上。（附件1）</w:t>
      </w:r>
    </w:p>
    <w:p w14:paraId="60D75E29">
      <w:pPr>
        <w:keepNext w:val="0"/>
        <w:keepLines w:val="0"/>
        <w:pageBreakBefore w:val="0"/>
        <w:widowControl w:val="0"/>
        <w:kinsoku/>
        <w:wordWrap/>
        <w:overflowPunct/>
        <w:topLinePunct w:val="0"/>
        <w:autoSpaceDE/>
        <w:autoSpaceDN/>
        <w:bidi w:val="0"/>
        <w:adjustRightInd w:val="0"/>
        <w:snapToGrid w:val="0"/>
        <w:spacing w:line="360" w:lineRule="auto"/>
        <w:ind w:firstLine="2108" w:firstLineChars="1000"/>
        <w:textAlignment w:val="auto"/>
        <w:rPr>
          <w:rFonts w:hint="eastAsia" w:ascii="宋体" w:hAnsi="宋体" w:eastAsia="宋体" w:cs="宋体"/>
          <w:b/>
          <w:bCs/>
          <w:color w:val="FF0000"/>
          <w:sz w:val="21"/>
          <w:szCs w:val="21"/>
          <w:lang w:val="en-US" w:eastAsia="zh-CN"/>
        </w:rPr>
      </w:pPr>
    </w:p>
    <w:p w14:paraId="7EC0D224">
      <w:pPr>
        <w:keepNext w:val="0"/>
        <w:keepLines w:val="0"/>
        <w:pageBreakBefore w:val="0"/>
        <w:widowControl w:val="0"/>
        <w:kinsoku/>
        <w:wordWrap/>
        <w:overflowPunct/>
        <w:topLinePunct w:val="0"/>
        <w:autoSpaceDE/>
        <w:autoSpaceDN/>
        <w:bidi w:val="0"/>
        <w:adjustRightInd w:val="0"/>
        <w:snapToGrid w:val="0"/>
        <w:spacing w:line="360" w:lineRule="auto"/>
        <w:ind w:firstLine="2108" w:firstLineChars="1000"/>
        <w:textAlignment w:val="auto"/>
        <w:rPr>
          <w:rFonts w:hint="eastAsia" w:ascii="宋体" w:hAnsi="宋体" w:eastAsia="宋体" w:cs="宋体"/>
          <w:b/>
          <w:bCs/>
          <w:color w:val="FF0000"/>
          <w:sz w:val="21"/>
          <w:szCs w:val="21"/>
          <w:lang w:val="en-US" w:eastAsia="zh-CN"/>
        </w:rPr>
      </w:pPr>
    </w:p>
    <w:p w14:paraId="4AFEE9A2">
      <w:pPr>
        <w:keepNext w:val="0"/>
        <w:keepLines w:val="0"/>
        <w:pageBreakBefore w:val="0"/>
        <w:widowControl w:val="0"/>
        <w:kinsoku/>
        <w:wordWrap/>
        <w:overflowPunct/>
        <w:topLinePunct w:val="0"/>
        <w:autoSpaceDE/>
        <w:autoSpaceDN/>
        <w:bidi w:val="0"/>
        <w:adjustRightInd w:val="0"/>
        <w:snapToGrid w:val="0"/>
        <w:spacing w:line="360" w:lineRule="auto"/>
        <w:ind w:firstLine="2741" w:firstLineChars="1300"/>
        <w:textAlignment w:val="auto"/>
        <w:rPr>
          <w:rFonts w:hint="eastAsia" w:ascii="宋体" w:hAnsi="宋体" w:eastAsia="宋体" w:cs="宋体"/>
          <w:b/>
          <w:bCs/>
          <w:color w:val="FF0000"/>
          <w:sz w:val="21"/>
          <w:szCs w:val="21"/>
          <w:lang w:val="en-US"/>
        </w:rPr>
      </w:pPr>
      <w:r>
        <w:rPr>
          <w:rFonts w:hint="eastAsia" w:ascii="宋体" w:hAnsi="宋体" w:eastAsia="宋体" w:cs="宋体"/>
          <w:b/>
          <w:bCs/>
          <w:color w:val="FF0000"/>
          <w:sz w:val="21"/>
          <w:szCs w:val="21"/>
          <w:lang w:val="en-US" w:eastAsia="zh-CN"/>
        </w:rPr>
        <w:t xml:space="preserve">中国重汽e采通说明 </w:t>
      </w:r>
    </w:p>
    <w:p w14:paraId="349784D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需要登录这个网址进行：</w:t>
      </w: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"http://ecaitong.sinotruk.com:8012/#/login" </w:instrText>
      </w:r>
      <w:r>
        <w:rPr>
          <w:rFonts w:hint="eastAsia" w:ascii="宋体" w:hAnsi="宋体" w:eastAsia="宋体" w:cs="宋体"/>
          <w:b/>
          <w:bCs/>
          <w:sz w:val="21"/>
          <w:szCs w:val="21"/>
          <w:lang w:val="en-US" w:eastAsia="zh-CN"/>
        </w:rPr>
        <w:fldChar w:fldCharType="separate"/>
      </w:r>
      <w:r>
        <w:rPr>
          <w:rStyle w:val="12"/>
          <w:rFonts w:hint="eastAsia" w:ascii="宋体" w:hAnsi="宋体" w:eastAsia="宋体" w:cs="宋体"/>
          <w:b/>
          <w:bCs/>
          <w:sz w:val="21"/>
          <w:szCs w:val="21"/>
          <w:lang w:val="en-US" w:eastAsia="zh-CN"/>
        </w:rPr>
        <w:t>http://ecaitong.sinotruk.com:8012/#/login</w:t>
      </w:r>
      <w:r>
        <w:rPr>
          <w:rFonts w:hint="eastAsia" w:ascii="宋体" w:hAnsi="宋体" w:eastAsia="宋体" w:cs="宋体"/>
          <w:b/>
          <w:bCs/>
          <w:sz w:val="21"/>
          <w:szCs w:val="21"/>
          <w:lang w:val="en-US" w:eastAsia="zh-CN"/>
        </w:rPr>
        <w:fldChar w:fldCharType="end"/>
      </w:r>
    </w:p>
    <w:p w14:paraId="50A875F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①下载浏览器：谷歌。</w:t>
      </w:r>
    </w:p>
    <w:p w14:paraId="1BBD169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②新厂家先注册（手机号注册），注册成功后再刷新登录，注册成功后，手机短信可能发给发给供应商的用户初始密码。以上操作需要2-3天时间。</w:t>
      </w:r>
    </w:p>
    <w:p w14:paraId="147EB26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③等准入流程审批完成后系统会给你一个gys＋6位编号的登录账号，如:gys101329；gys是厂家的固定代码（供应商），101329是供应商的代码。</w:t>
      </w:r>
    </w:p>
    <w:p w14:paraId="0F53EEF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sz w:val="21"/>
          <w:szCs w:val="21"/>
          <w:lang w:val="en-US" w:eastAsia="zh-CN"/>
        </w:rPr>
        <w:t>④进入后打开招投标中心一栏，选择非生产类招标，按招标步骤完成各项招标流程。</w:t>
      </w:r>
      <w:r>
        <w:rPr>
          <w:rFonts w:hint="eastAsia" w:ascii="宋体" w:hAnsi="宋体" w:eastAsia="宋体" w:cs="宋体"/>
          <w:b/>
          <w:bCs/>
          <w:color w:val="FF0000"/>
          <w:sz w:val="21"/>
          <w:szCs w:val="21"/>
          <w:lang w:val="en-US" w:eastAsia="zh-CN"/>
        </w:rPr>
        <w:t>供应商应标--供应商投标--技术澄清--供应商报价--供应商澄清报价--中标。</w:t>
      </w:r>
    </w:p>
    <w:p w14:paraId="5EC180B3">
      <w:pPr>
        <w:rPr>
          <w:rFonts w:hint="eastAsia" w:ascii="宋体" w:hAnsi="宋体" w:eastAsia="宋体" w:cs="宋体"/>
          <w:sz w:val="24"/>
          <w:szCs w:val="24"/>
          <w:u w:val="none"/>
          <w:lang w:val="en-US" w:eastAsia="zh-CN"/>
        </w:rPr>
      </w:pPr>
    </w:p>
    <w:p w14:paraId="0C5615E9">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3584" w:firstLineChars="1700"/>
        <w:textAlignment w:val="auto"/>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重要预警</w:t>
      </w:r>
      <w:r>
        <w:rPr>
          <w:rFonts w:hint="eastAsia" w:ascii="宋体" w:hAnsi="宋体" w:eastAsia="宋体" w:cs="宋体"/>
          <w:b/>
          <w:bCs/>
          <w:color w:val="FF0000"/>
          <w:sz w:val="21"/>
          <w:szCs w:val="21"/>
          <w:lang w:val="en-US" w:eastAsia="zh-CN"/>
        </w:rPr>
        <w:t>告知</w:t>
      </w:r>
      <w:r>
        <w:rPr>
          <w:rFonts w:hint="eastAsia" w:ascii="宋体" w:hAnsi="宋体" w:cs="宋体"/>
          <w:b/>
          <w:bCs/>
          <w:color w:val="FF0000"/>
          <w:sz w:val="21"/>
          <w:szCs w:val="21"/>
          <w:lang w:val="en-US" w:eastAsia="zh-CN"/>
        </w:rPr>
        <w:t xml:space="preserve"> </w:t>
      </w:r>
    </w:p>
    <w:p w14:paraId="425843C4">
      <w:pPr>
        <w:numPr>
          <w:ilvl w:val="0"/>
          <w:numId w:val="0"/>
        </w:numPr>
        <w:spacing w:line="360" w:lineRule="auto"/>
        <w:ind w:leftChars="0" w:firstLine="422" w:firstLineChars="200"/>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各投标厂家不管是应标、投标阶段，按系统要求把相关资料一定要上传到系统上去，现在E采通后台招标</w:t>
      </w:r>
      <w:r>
        <w:rPr>
          <w:rFonts w:hint="eastAsia" w:ascii="宋体" w:hAnsi="宋体" w:cs="宋体"/>
          <w:b/>
          <w:bCs/>
          <w:color w:val="FF0000"/>
          <w:sz w:val="21"/>
          <w:szCs w:val="21"/>
          <w:lang w:val="en-US" w:eastAsia="zh-CN"/>
        </w:rPr>
        <w:t>预</w:t>
      </w:r>
      <w:r>
        <w:rPr>
          <w:rFonts w:hint="eastAsia" w:ascii="宋体" w:hAnsi="宋体" w:eastAsia="宋体" w:cs="宋体"/>
          <w:b/>
          <w:bCs/>
          <w:color w:val="FF0000"/>
          <w:sz w:val="21"/>
          <w:szCs w:val="21"/>
          <w:lang w:val="en-US" w:eastAsia="zh-CN"/>
        </w:rPr>
        <w:t>警</w:t>
      </w:r>
      <w:r>
        <w:rPr>
          <w:rFonts w:hint="eastAsia" w:ascii="宋体" w:hAnsi="宋体" w:cs="宋体"/>
          <w:b/>
          <w:bCs/>
          <w:color w:val="FF0000"/>
          <w:sz w:val="21"/>
          <w:szCs w:val="21"/>
          <w:lang w:val="en-US" w:eastAsia="zh-CN"/>
        </w:rPr>
        <w:t>监控</w:t>
      </w:r>
      <w:r>
        <w:rPr>
          <w:rFonts w:hint="eastAsia" w:ascii="宋体" w:hAnsi="宋体" w:eastAsia="宋体" w:cs="宋体"/>
          <w:b/>
          <w:bCs/>
          <w:color w:val="FF0000"/>
          <w:sz w:val="21"/>
          <w:szCs w:val="21"/>
          <w:lang w:val="en-US" w:eastAsia="zh-CN"/>
        </w:rPr>
        <w:t>系统</w:t>
      </w:r>
      <w:r>
        <w:rPr>
          <w:rFonts w:hint="eastAsia" w:ascii="宋体" w:hAnsi="宋体" w:cs="宋体"/>
          <w:b/>
          <w:bCs/>
          <w:color w:val="FF0000"/>
          <w:sz w:val="21"/>
          <w:szCs w:val="21"/>
          <w:lang w:val="en-US" w:eastAsia="zh-CN"/>
        </w:rPr>
        <w:t>反应</w:t>
      </w:r>
      <w:r>
        <w:rPr>
          <w:rFonts w:hint="eastAsia" w:ascii="宋体" w:hAnsi="宋体" w:eastAsia="宋体" w:cs="宋体"/>
          <w:b/>
          <w:bCs/>
          <w:color w:val="FF0000"/>
          <w:sz w:val="21"/>
          <w:szCs w:val="21"/>
          <w:lang w:val="en-US" w:eastAsia="zh-CN"/>
        </w:rPr>
        <w:t>灵敏，有以下</w:t>
      </w:r>
      <w:r>
        <w:rPr>
          <w:rFonts w:hint="eastAsia" w:ascii="宋体" w:hAnsi="宋体" w:cs="宋体"/>
          <w:b/>
          <w:bCs/>
          <w:color w:val="FF0000"/>
          <w:sz w:val="21"/>
          <w:szCs w:val="21"/>
          <w:lang w:val="en-US" w:eastAsia="zh-CN"/>
        </w:rPr>
        <w:t>预</w:t>
      </w:r>
      <w:r>
        <w:rPr>
          <w:rFonts w:hint="eastAsia" w:ascii="宋体" w:hAnsi="宋体" w:eastAsia="宋体" w:cs="宋体"/>
          <w:b/>
          <w:bCs/>
          <w:color w:val="FF0000"/>
          <w:sz w:val="21"/>
          <w:szCs w:val="21"/>
          <w:lang w:val="en-US" w:eastAsia="zh-CN"/>
        </w:rPr>
        <w:t>警</w:t>
      </w:r>
      <w:r>
        <w:rPr>
          <w:rFonts w:hint="eastAsia" w:ascii="宋体" w:hAnsi="宋体" w:cs="宋体"/>
          <w:b/>
          <w:bCs/>
          <w:color w:val="FF0000"/>
          <w:sz w:val="21"/>
          <w:szCs w:val="21"/>
          <w:lang w:val="en-US" w:eastAsia="zh-CN"/>
        </w:rPr>
        <w:t>并可能导致废标，并扣除投标保证金</w:t>
      </w:r>
      <w:r>
        <w:rPr>
          <w:rFonts w:hint="eastAsia" w:ascii="宋体" w:hAnsi="宋体" w:eastAsia="宋体" w:cs="宋体"/>
          <w:b/>
          <w:bCs/>
          <w:color w:val="FF0000"/>
          <w:sz w:val="21"/>
          <w:szCs w:val="21"/>
          <w:lang w:val="en-US" w:eastAsia="zh-CN"/>
        </w:rPr>
        <w:t>：</w:t>
      </w:r>
    </w:p>
    <w:p w14:paraId="014C21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在同一台电脑操作两家（浏览器相同指纹）、同一个IP号进行应、投、开标。</w:t>
      </w:r>
    </w:p>
    <w:p w14:paraId="4770BA2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应标、投标时间相差在30分钟之内</w:t>
      </w:r>
    </w:p>
    <w:p w14:paraId="652BD68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标书</w:t>
      </w:r>
      <w:r>
        <w:rPr>
          <w:rFonts w:hint="eastAsia" w:ascii="宋体" w:hAnsi="宋体" w:cs="宋体"/>
          <w:b/>
          <w:bCs/>
          <w:color w:val="FF0000"/>
          <w:sz w:val="21"/>
          <w:szCs w:val="21"/>
          <w:lang w:val="en-US" w:eastAsia="zh-CN"/>
        </w:rPr>
        <w:t>格式</w:t>
      </w:r>
      <w:r>
        <w:rPr>
          <w:rFonts w:hint="eastAsia" w:ascii="宋体" w:hAnsi="宋体" w:eastAsia="宋体" w:cs="宋体"/>
          <w:b/>
          <w:bCs/>
          <w:color w:val="FF0000"/>
          <w:sz w:val="21"/>
          <w:szCs w:val="21"/>
          <w:lang w:val="en-US" w:eastAsia="zh-CN"/>
        </w:rPr>
        <w:t>类似、</w:t>
      </w:r>
      <w:r>
        <w:rPr>
          <w:rFonts w:hint="eastAsia" w:ascii="宋体" w:hAnsi="宋体" w:cs="宋体"/>
          <w:b/>
          <w:bCs/>
          <w:color w:val="FF0000"/>
          <w:sz w:val="21"/>
          <w:szCs w:val="21"/>
          <w:lang w:val="en-US" w:eastAsia="zh-CN"/>
        </w:rPr>
        <w:t>文字</w:t>
      </w:r>
      <w:r>
        <w:rPr>
          <w:rFonts w:hint="eastAsia" w:ascii="宋体" w:hAnsi="宋体" w:eastAsia="宋体" w:cs="宋体"/>
          <w:b/>
          <w:bCs/>
          <w:color w:val="FF0000"/>
          <w:sz w:val="21"/>
          <w:szCs w:val="21"/>
          <w:lang w:val="en-US" w:eastAsia="zh-CN"/>
        </w:rPr>
        <w:t>相同、报价相同都会发出预警。</w:t>
      </w:r>
    </w:p>
    <w:p w14:paraId="71D086B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投标厂家人员存在相互关联，有互相投资关系，或委托某公司或个人用一台电脑做两个标书内容，发给另一个投标厂家，厂家在另一台电脑进行应、投标，能显示出原标书制作人员相同发出预警，相关联的投标厂家为串标行为。</w:t>
      </w:r>
    </w:p>
    <w:p w14:paraId="08791785">
      <w:pPr>
        <w:pStyle w:val="3"/>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在资质文件中只提供投标单位的相关资料，授权书，不要提供与重汽相关的的合同（因主合同是相同的模板），报警系统会误识别为文字格式相同，在应标阶段有专门上传业绩合同的地方。</w:t>
      </w:r>
    </w:p>
    <w:p w14:paraId="02A0F4A1">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如发生以上情况，会联系相关投标人进行澄清说明，疑有串标并扣除投标保证金，产生废标。</w:t>
      </w:r>
    </w:p>
    <w:p w14:paraId="45D576C9">
      <w:pPr>
        <w:rPr>
          <w:rFonts w:hint="eastAsia" w:ascii="宋体" w:hAnsi="宋体" w:eastAsia="宋体" w:cs="宋体"/>
          <w:sz w:val="24"/>
          <w:szCs w:val="24"/>
          <w:u w:val="none"/>
          <w:lang w:val="en-US" w:eastAsia="zh-CN"/>
        </w:rPr>
      </w:pPr>
    </w:p>
    <w:p w14:paraId="14C659FE">
      <w:pPr>
        <w:rPr>
          <w:rFonts w:hint="eastAsia" w:ascii="宋体" w:hAnsi="宋体" w:eastAsia="宋体" w:cs="宋体"/>
          <w:sz w:val="24"/>
          <w:szCs w:val="24"/>
          <w:u w:val="none"/>
          <w:lang w:val="en-US" w:eastAsia="zh-CN"/>
        </w:rPr>
      </w:pPr>
    </w:p>
    <w:p w14:paraId="6C02A8D8">
      <w:pPr>
        <w:pStyle w:val="14"/>
        <w:jc w:val="both"/>
        <w:rPr>
          <w:rFonts w:hint="eastAsia"/>
        </w:rPr>
      </w:pPr>
    </w:p>
    <w:p w14:paraId="73671BF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B701F0"/>
    <w:multiLevelType w:val="singleLevel"/>
    <w:tmpl w:val="9CB701F0"/>
    <w:lvl w:ilvl="0" w:tentative="0">
      <w:start w:val="1"/>
      <w:numFmt w:val="decimal"/>
      <w:suff w:val="nothing"/>
      <w:lvlText w:val="%1、"/>
      <w:lvlJc w:val="left"/>
    </w:lvl>
  </w:abstractNum>
  <w:abstractNum w:abstractNumId="1">
    <w:nsid w:val="005FB053"/>
    <w:multiLevelType w:val="singleLevel"/>
    <w:tmpl w:val="005FB05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C36B1B"/>
    <w:rsid w:val="0F216961"/>
    <w:rsid w:val="18D76823"/>
    <w:rsid w:val="2FC36B1B"/>
    <w:rsid w:val="33093635"/>
    <w:rsid w:val="503D2909"/>
    <w:rsid w:val="6CAE72DD"/>
    <w:rsid w:val="7DE55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8"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3">
    <w:name w:val="Body Text"/>
    <w:basedOn w:val="1"/>
    <w:next w:val="4"/>
    <w:semiHidden/>
    <w:qFormat/>
    <w:uiPriority w:val="98"/>
    <w:rPr>
      <w:rFonts w:ascii="仿宋_GB2312" w:eastAsia="仿宋_GB2312"/>
      <w:sz w:val="32"/>
    </w:r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5">
    <w:name w:val="Body Text Indent"/>
    <w:basedOn w:val="1"/>
    <w:semiHidden/>
    <w:qFormat/>
    <w:uiPriority w:val="0"/>
    <w:pPr>
      <w:spacing w:after="120"/>
      <w:ind w:left="420" w:leftChars="200"/>
    </w:pPr>
    <w:rPr>
      <w:rFonts w:ascii="Calibri" w:hAnsi="Calibri"/>
      <w:szCs w:val="22"/>
    </w:rPr>
  </w:style>
  <w:style w:type="paragraph" w:styleId="6">
    <w:name w:val="Plain Text"/>
    <w:basedOn w:val="1"/>
    <w:qFormat/>
    <w:uiPriority w:val="0"/>
    <w:rPr>
      <w:rFonts w:ascii="宋体" w:hAnsi="Courier New"/>
    </w:rPr>
  </w:style>
  <w:style w:type="paragraph" w:styleId="7">
    <w:name w:val="footer"/>
    <w:basedOn w:val="1"/>
    <w:semiHidden/>
    <w:qFormat/>
    <w:uiPriority w:val="0"/>
    <w:pPr>
      <w:tabs>
        <w:tab w:val="center" w:pos="4153"/>
        <w:tab w:val="right" w:pos="8306"/>
      </w:tabs>
      <w:snapToGrid w:val="0"/>
      <w:jc w:val="left"/>
    </w:pPr>
    <w:rPr>
      <w:sz w:val="18"/>
      <w:szCs w:val="18"/>
    </w:rPr>
  </w:style>
  <w:style w:type="paragraph" w:styleId="8">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character" w:styleId="11">
    <w:name w:val="Strong"/>
    <w:basedOn w:val="10"/>
    <w:qFormat/>
    <w:uiPriority w:val="0"/>
    <w:rPr>
      <w:b/>
    </w:rPr>
  </w:style>
  <w:style w:type="character" w:styleId="12">
    <w:name w:val="Hyperlink"/>
    <w:qFormat/>
    <w:uiPriority w:val="99"/>
    <w:rPr>
      <w:rFonts w:cs="Times New Roman"/>
      <w:color w:val="1F4F88"/>
      <w:u w:val="none"/>
    </w:rPr>
  </w:style>
  <w:style w:type="paragraph" w:customStyle="1" w:styleId="13">
    <w:name w:val="列出段落2"/>
    <w:basedOn w:val="1"/>
    <w:autoRedefine/>
    <w:qFormat/>
    <w:uiPriority w:val="99"/>
    <w:pPr>
      <w:ind w:firstLine="420" w:firstLineChars="200"/>
    </w:pPr>
    <w:rPr>
      <w:rFonts w:ascii="Calibri" w:hAnsi="Calibri" w:cs="Calibri"/>
      <w:sz w:val="21"/>
      <w:szCs w:val="21"/>
    </w:rPr>
  </w:style>
  <w:style w:type="paragraph" w:customStyle="1" w:styleId="14">
    <w:name w:val="章节"/>
    <w:basedOn w:val="6"/>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3198</Words>
  <Characters>3449</Characters>
  <Lines>0</Lines>
  <Paragraphs>0</Paragraphs>
  <TotalTime>4</TotalTime>
  <ScaleCrop>false</ScaleCrop>
  <LinksUpToDate>false</LinksUpToDate>
  <CharactersWithSpaces>3498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2026-07-25T06:45:00Z</dcterms:created>
  <dc:creator>Administrator</dc:creator>
  <cp:lastModifiedBy>Administrator</cp:lastModifiedBy>
  <dcterms:modified xsi:type="dcterms:W3CDTF">2026-08-26T05:04:26Z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84BE3110C30C47D89F979C404AED8C38_11</vt:lpwstr>
  </property>
  <property fmtid="{D5CDD505-2E9C-101B-9397-08002B2CF9AE}" pid="4" name="KSOTemplateDocerSaveRecord">
    <vt:lpwstr>eyJoZGlkIjoiZTljMzdjZDk1MTEwMDg3OGM4NGQ3ODdjMTMzNDZkYjYiLCJ1c2VySWQiOiIzODQ1MjEzNjAifQ==</vt:lpwstr>
  </property>
</Properties>
</file>