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BB9930">
      <w:pPr>
        <w:pStyle w:val="94"/>
      </w:pPr>
      <w:r>
        <w:rPr>
          <w:sz w:val="48"/>
          <w:szCs w:val="48"/>
        </w:rPr>
        <w:drawing>
          <wp:anchor distT="0" distB="0" distL="114300" distR="114300" simplePos="0" relativeHeight="251659264" behindDoc="0" locked="0" layoutInCell="1" allowOverlap="1">
            <wp:simplePos x="0" y="0"/>
            <wp:positionH relativeFrom="column">
              <wp:posOffset>10795</wp:posOffset>
            </wp:positionH>
            <wp:positionV relativeFrom="paragraph">
              <wp:posOffset>-6350</wp:posOffset>
            </wp:positionV>
            <wp:extent cx="2548890" cy="889000"/>
            <wp:effectExtent l="0" t="0" r="3810" b="6350"/>
            <wp:wrapNone/>
            <wp:docPr id="1" name="图片 1" descr="t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im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2548890" cy="889000"/>
                    </a:xfrm>
                    <a:prstGeom prst="rect">
                      <a:avLst/>
                    </a:prstGeom>
                    <a:noFill/>
                    <a:ln>
                      <a:noFill/>
                    </a:ln>
                  </pic:spPr>
                </pic:pic>
              </a:graphicData>
            </a:graphic>
          </wp:anchor>
        </w:drawing>
      </w:r>
    </w:p>
    <w:p w14:paraId="66F0CAD5">
      <w:pPr>
        <w:ind w:right="280"/>
        <w:jc w:val="center"/>
        <w:rPr>
          <w:rFonts w:ascii="宋体" w:hAnsi="宋体"/>
          <w:sz w:val="48"/>
          <w:szCs w:val="48"/>
        </w:rPr>
      </w:pPr>
    </w:p>
    <w:p w14:paraId="3EA24C15">
      <w:pPr>
        <w:ind w:right="280"/>
        <w:jc w:val="center"/>
        <w:rPr>
          <w:rFonts w:ascii="宋体" w:hAnsi="宋体"/>
          <w:sz w:val="48"/>
          <w:szCs w:val="48"/>
        </w:rPr>
      </w:pPr>
    </w:p>
    <w:p w14:paraId="734DA162">
      <w:pPr>
        <w:ind w:right="280"/>
        <w:jc w:val="center"/>
        <w:rPr>
          <w:rFonts w:ascii="宋体" w:hAnsi="宋体"/>
          <w:sz w:val="48"/>
          <w:szCs w:val="48"/>
        </w:rPr>
      </w:pPr>
    </w:p>
    <w:p w14:paraId="0435320E">
      <w:pPr>
        <w:ind w:right="280"/>
        <w:jc w:val="center"/>
        <w:rPr>
          <w:rFonts w:ascii="宋体" w:hAnsi="宋体"/>
          <w:sz w:val="48"/>
          <w:szCs w:val="48"/>
        </w:rPr>
      </w:pPr>
    </w:p>
    <w:p w14:paraId="07CDE389">
      <w:pPr>
        <w:ind w:right="280"/>
        <w:jc w:val="center"/>
        <w:rPr>
          <w:rFonts w:ascii="楷体_GB2312" w:hAnsi="宋体" w:eastAsia="楷体_GB2312"/>
          <w:sz w:val="52"/>
          <w:szCs w:val="52"/>
        </w:rPr>
      </w:pPr>
    </w:p>
    <w:p w14:paraId="612663B5">
      <w:pPr>
        <w:ind w:right="280"/>
        <w:jc w:val="center"/>
        <w:rPr>
          <w:sz w:val="28"/>
          <w:szCs w:val="28"/>
          <w:highlight w:val="none"/>
        </w:rPr>
      </w:pPr>
      <w:r>
        <w:rPr>
          <w:rFonts w:hint="eastAsia" w:ascii="楷体_GB2312" w:hAnsi="宋体" w:eastAsia="楷体_GB2312"/>
          <w:sz w:val="52"/>
          <w:szCs w:val="52"/>
          <w:highlight w:val="none"/>
          <w:lang w:val="en-US" w:eastAsia="zh-CN"/>
        </w:rPr>
        <w:t>重汽（济南）车桥有限公司</w:t>
      </w:r>
      <w:r>
        <w:rPr>
          <w:rFonts w:hint="eastAsia" w:ascii="楷体_GB2312" w:hAnsi="宋体" w:eastAsia="楷体_GB2312"/>
          <w:sz w:val="52"/>
          <w:szCs w:val="52"/>
          <w:highlight w:val="none"/>
        </w:rPr>
        <w:t>2026 年度危险废物处置项目</w:t>
      </w:r>
    </w:p>
    <w:p w14:paraId="18CBF8EA">
      <w:pPr>
        <w:ind w:right="280"/>
        <w:jc w:val="center"/>
        <w:rPr>
          <w:sz w:val="28"/>
          <w:szCs w:val="28"/>
          <w:highlight w:val="none"/>
        </w:rPr>
      </w:pPr>
    </w:p>
    <w:p w14:paraId="6418E5FF">
      <w:pPr>
        <w:jc w:val="center"/>
        <w:rPr>
          <w:rFonts w:ascii="宋体" w:hAnsi="宋体" w:cs="宋体"/>
          <w:sz w:val="72"/>
          <w:szCs w:val="72"/>
          <w:highlight w:val="none"/>
        </w:rPr>
      </w:pPr>
      <w:r>
        <w:rPr>
          <w:rFonts w:hint="eastAsia" w:ascii="宋体" w:hAnsi="宋体" w:cs="宋体"/>
          <w:sz w:val="72"/>
          <w:szCs w:val="72"/>
          <w:highlight w:val="none"/>
        </w:rPr>
        <w:t>招标文件</w:t>
      </w:r>
    </w:p>
    <w:p w14:paraId="2A3C624C">
      <w:pPr>
        <w:jc w:val="center"/>
        <w:rPr>
          <w:rFonts w:ascii="宋体" w:hAnsi="宋体"/>
          <w:sz w:val="48"/>
          <w:szCs w:val="48"/>
          <w:highlight w:val="none"/>
        </w:rPr>
      </w:pPr>
    </w:p>
    <w:p w14:paraId="6993BE58">
      <w:pPr>
        <w:jc w:val="center"/>
        <w:rPr>
          <w:rFonts w:ascii="宋体" w:hAnsi="宋体"/>
          <w:sz w:val="48"/>
          <w:szCs w:val="48"/>
          <w:highlight w:val="none"/>
        </w:rPr>
      </w:pPr>
    </w:p>
    <w:p w14:paraId="63FA33C5">
      <w:pPr>
        <w:widowControl/>
        <w:spacing w:line="360" w:lineRule="auto"/>
        <w:jc w:val="center"/>
        <w:rPr>
          <w:rFonts w:ascii="宋体" w:hAnsi="宋体" w:cs="宋体"/>
          <w:b/>
          <w:bCs/>
          <w:kern w:val="0"/>
          <w:sz w:val="32"/>
          <w:szCs w:val="32"/>
          <w:highlight w:val="none"/>
          <w:u w:val="single"/>
        </w:rPr>
      </w:pPr>
      <w:r>
        <w:rPr>
          <w:rFonts w:hint="eastAsia" w:ascii="宋体" w:hAnsi="宋体" w:cs="宋体"/>
          <w:b/>
          <w:bCs/>
          <w:kern w:val="0"/>
          <w:sz w:val="32"/>
          <w:szCs w:val="32"/>
          <w:highlight w:val="none"/>
        </w:rPr>
        <w:t>项目编号：ZBGL2026030228</w:t>
      </w:r>
    </w:p>
    <w:p w14:paraId="10A10BCC">
      <w:pPr>
        <w:jc w:val="center"/>
        <w:rPr>
          <w:rFonts w:ascii="宋体" w:hAnsi="宋体"/>
          <w:sz w:val="48"/>
          <w:szCs w:val="48"/>
          <w:highlight w:val="none"/>
        </w:rPr>
      </w:pPr>
    </w:p>
    <w:p w14:paraId="0D4E54EC">
      <w:pPr>
        <w:jc w:val="center"/>
        <w:rPr>
          <w:rFonts w:ascii="宋体" w:hAnsi="宋体"/>
          <w:sz w:val="48"/>
          <w:szCs w:val="48"/>
          <w:highlight w:val="none"/>
        </w:rPr>
      </w:pPr>
    </w:p>
    <w:p w14:paraId="111CA3F9">
      <w:pPr>
        <w:jc w:val="center"/>
        <w:rPr>
          <w:rFonts w:ascii="宋体" w:hAnsi="宋体"/>
          <w:sz w:val="28"/>
          <w:szCs w:val="28"/>
          <w:highlight w:val="none"/>
        </w:rPr>
      </w:pPr>
    </w:p>
    <w:p w14:paraId="12CB50D1">
      <w:pPr>
        <w:jc w:val="center"/>
        <w:rPr>
          <w:rFonts w:ascii="宋体" w:hAnsi="宋体"/>
          <w:sz w:val="28"/>
          <w:szCs w:val="28"/>
          <w:highlight w:val="none"/>
        </w:rPr>
      </w:pPr>
    </w:p>
    <w:p w14:paraId="1CE80EBC">
      <w:pPr>
        <w:jc w:val="center"/>
        <w:rPr>
          <w:rFonts w:ascii="宋体" w:hAnsi="宋体"/>
          <w:sz w:val="28"/>
          <w:szCs w:val="28"/>
          <w:highlight w:val="none"/>
        </w:rPr>
      </w:pPr>
      <w:r>
        <w:rPr>
          <w:rFonts w:hint="eastAsia" w:ascii="宋体" w:hAnsi="宋体"/>
          <w:sz w:val="28"/>
          <w:szCs w:val="28"/>
          <w:highlight w:val="none"/>
        </w:rPr>
        <w:t>招 标 人：重汽（济南）车桥有限公司</w:t>
      </w:r>
    </w:p>
    <w:p w14:paraId="0D8A0D9A">
      <w:pPr>
        <w:jc w:val="center"/>
        <w:rPr>
          <w:rFonts w:ascii="宋体" w:hAnsi="宋体"/>
          <w:sz w:val="28"/>
          <w:szCs w:val="28"/>
          <w:highlight w:val="none"/>
        </w:rPr>
      </w:pPr>
    </w:p>
    <w:p w14:paraId="0438957B">
      <w:pPr>
        <w:jc w:val="center"/>
        <w:rPr>
          <w:rFonts w:ascii="宋体" w:hAnsi="宋体"/>
          <w:sz w:val="28"/>
          <w:szCs w:val="28"/>
          <w:highlight w:val="none"/>
          <w:u w:val="single"/>
        </w:rPr>
      </w:pPr>
      <w:r>
        <w:rPr>
          <w:rFonts w:hint="eastAsia" w:ascii="宋体" w:hAnsi="宋体"/>
          <w:sz w:val="28"/>
          <w:szCs w:val="28"/>
          <w:highlight w:val="none"/>
          <w:u w:val="single"/>
        </w:rPr>
        <w:t>20</w:t>
      </w:r>
      <w:r>
        <w:rPr>
          <w:rFonts w:hint="eastAsia" w:ascii="宋体" w:hAnsi="宋体"/>
          <w:sz w:val="28"/>
          <w:szCs w:val="28"/>
          <w:highlight w:val="none"/>
          <w:u w:val="single"/>
          <w:lang w:val="en-US" w:eastAsia="zh-CN"/>
        </w:rPr>
        <w:t>26</w:t>
      </w:r>
      <w:r>
        <w:rPr>
          <w:rFonts w:hint="eastAsia" w:ascii="宋体" w:hAnsi="宋体"/>
          <w:sz w:val="28"/>
          <w:szCs w:val="28"/>
          <w:highlight w:val="none"/>
          <w:u w:val="single"/>
        </w:rPr>
        <w:t>年</w:t>
      </w:r>
      <w:r>
        <w:rPr>
          <w:rFonts w:hint="eastAsia" w:ascii="宋体" w:hAnsi="宋体"/>
          <w:sz w:val="28"/>
          <w:szCs w:val="28"/>
          <w:highlight w:val="none"/>
          <w:u w:val="single"/>
          <w:lang w:val="en-US" w:eastAsia="zh-CN"/>
        </w:rPr>
        <w:t>3</w:t>
      </w:r>
      <w:r>
        <w:rPr>
          <w:rFonts w:hint="eastAsia" w:ascii="宋体" w:hAnsi="宋体"/>
          <w:sz w:val="28"/>
          <w:szCs w:val="28"/>
          <w:highlight w:val="none"/>
          <w:u w:val="single"/>
        </w:rPr>
        <w:t>月</w:t>
      </w:r>
    </w:p>
    <w:p w14:paraId="0548D2A3">
      <w:pPr>
        <w:spacing w:line="480" w:lineRule="auto"/>
        <w:jc w:val="both"/>
        <w:rPr>
          <w:rFonts w:ascii="宋体" w:hAnsi="宋体"/>
          <w:b/>
          <w:bCs/>
          <w:sz w:val="48"/>
          <w:szCs w:val="48"/>
          <w:highlight w:val="none"/>
        </w:rPr>
        <w:sectPr>
          <w:footerReference r:id="rId6" w:type="first"/>
          <w:headerReference r:id="rId3" w:type="default"/>
          <w:footerReference r:id="rId4" w:type="default"/>
          <w:footerReference r:id="rId5" w:type="even"/>
          <w:pgSz w:w="11906" w:h="16838"/>
          <w:pgMar w:top="1701" w:right="1418" w:bottom="1134" w:left="1418" w:header="851" w:footer="992" w:gutter="0"/>
          <w:pgNumType w:fmt="numberInDash" w:start="1"/>
          <w:cols w:space="720" w:num="1"/>
          <w:titlePg/>
          <w:docGrid w:type="lines" w:linePitch="312" w:charSpace="0"/>
        </w:sectPr>
      </w:pPr>
    </w:p>
    <w:sdt>
      <w:sdtPr>
        <w:rPr>
          <w:rFonts w:ascii="Times New Roman" w:hAnsi="Times New Roman" w:eastAsia="宋体" w:cs="Times New Roman"/>
          <w:color w:val="auto"/>
          <w:kern w:val="2"/>
          <w:sz w:val="21"/>
          <w:szCs w:val="20"/>
          <w:highlight w:val="none"/>
          <w:lang w:val="zh-CN"/>
        </w:rPr>
        <w:id w:val="-629018532"/>
        <w:docPartObj>
          <w:docPartGallery w:val="Table of Contents"/>
          <w:docPartUnique/>
        </w:docPartObj>
      </w:sdtPr>
      <w:sdtEndPr>
        <w:rPr>
          <w:rFonts w:ascii="Times New Roman" w:hAnsi="Times New Roman" w:eastAsia="宋体" w:cs="Times New Roman"/>
          <w:b/>
          <w:bCs/>
          <w:color w:val="auto"/>
          <w:kern w:val="2"/>
          <w:sz w:val="21"/>
          <w:szCs w:val="20"/>
          <w:highlight w:val="none"/>
          <w:lang w:val="zh-CN"/>
        </w:rPr>
      </w:sdtEndPr>
      <w:sdtContent>
        <w:p w14:paraId="176426B1">
          <w:pPr>
            <w:pStyle w:val="68"/>
            <w:jc w:val="center"/>
            <w:rPr>
              <w:rFonts w:ascii="黑体" w:hAnsi="黑体" w:eastAsia="黑体"/>
              <w:b/>
              <w:color w:val="auto"/>
              <w:sz w:val="44"/>
              <w:szCs w:val="44"/>
              <w:highlight w:val="none"/>
              <w:lang w:val="zh-CN"/>
            </w:rPr>
          </w:pPr>
          <w:r>
            <w:rPr>
              <w:rFonts w:ascii="黑体" w:hAnsi="黑体" w:eastAsia="黑体"/>
              <w:b/>
              <w:color w:val="auto"/>
              <w:sz w:val="44"/>
              <w:szCs w:val="44"/>
              <w:highlight w:val="none"/>
              <w:lang w:val="zh-CN"/>
            </w:rPr>
            <w:t>目</w:t>
          </w:r>
          <w:r>
            <w:rPr>
              <w:rFonts w:hint="eastAsia" w:ascii="黑体" w:hAnsi="黑体" w:eastAsia="黑体"/>
              <w:b/>
              <w:color w:val="auto"/>
              <w:sz w:val="44"/>
              <w:szCs w:val="44"/>
              <w:highlight w:val="none"/>
              <w:lang w:val="zh-CN"/>
            </w:rPr>
            <w:t xml:space="preserve"> </w:t>
          </w:r>
          <w:r>
            <w:rPr>
              <w:rFonts w:ascii="黑体" w:hAnsi="黑体" w:eastAsia="黑体"/>
              <w:b/>
              <w:color w:val="auto"/>
              <w:sz w:val="44"/>
              <w:szCs w:val="44"/>
              <w:highlight w:val="none"/>
              <w:lang w:val="zh-CN"/>
            </w:rPr>
            <w:t xml:space="preserve">    录</w:t>
          </w:r>
        </w:p>
        <w:p w14:paraId="46B5AC1E">
          <w:pPr>
            <w:pStyle w:val="20"/>
            <w:tabs>
              <w:tab w:val="right" w:leader="middleDot" w:pos="9070"/>
              <w:tab w:val="clear" w:pos="8729"/>
            </w:tabs>
            <w:rPr>
              <w:highlight w:val="none"/>
            </w:rPr>
          </w:pPr>
          <w:r>
            <w:rPr>
              <w:rFonts w:hint="eastAsia" w:ascii="Calibri" w:hAnsi="Calibri"/>
              <w:bCs/>
              <w:kern w:val="44"/>
              <w:sz w:val="36"/>
              <w:szCs w:val="44"/>
              <w:highlight w:val="none"/>
            </w:rPr>
            <w:fldChar w:fldCharType="begin"/>
          </w:r>
          <w:r>
            <w:rPr>
              <w:rFonts w:hint="eastAsia" w:ascii="Calibri" w:hAnsi="Calibri"/>
              <w:bCs/>
              <w:kern w:val="44"/>
              <w:sz w:val="36"/>
              <w:szCs w:val="44"/>
              <w:highlight w:val="none"/>
            </w:rPr>
            <w:instrText xml:space="preserve">TOC \o "1-1" \h \u </w:instrText>
          </w:r>
          <w:r>
            <w:rPr>
              <w:rFonts w:hint="eastAsia" w:ascii="Calibri" w:hAnsi="Calibri"/>
              <w:bCs/>
              <w:kern w:val="44"/>
              <w:sz w:val="36"/>
              <w:szCs w:val="44"/>
              <w:highlight w:val="none"/>
            </w:rPr>
            <w:fldChar w:fldCharType="separate"/>
          </w:r>
          <w:r>
            <w:rPr>
              <w:rFonts w:hint="eastAsia" w:ascii="Calibri" w:hAnsi="Calibri"/>
              <w:bCs/>
              <w:kern w:val="44"/>
              <w:szCs w:val="44"/>
              <w:highlight w:val="none"/>
            </w:rPr>
            <w:fldChar w:fldCharType="begin"/>
          </w:r>
          <w:r>
            <w:rPr>
              <w:rFonts w:hint="eastAsia" w:ascii="Calibri" w:hAnsi="Calibri"/>
              <w:bCs/>
              <w:kern w:val="44"/>
              <w:szCs w:val="44"/>
              <w:highlight w:val="none"/>
            </w:rPr>
            <w:instrText xml:space="preserve"> HYPERLINK \l _Toc7104 </w:instrText>
          </w:r>
          <w:r>
            <w:rPr>
              <w:rFonts w:hint="eastAsia" w:ascii="Calibri" w:hAnsi="Calibri"/>
              <w:bCs/>
              <w:kern w:val="44"/>
              <w:szCs w:val="44"/>
              <w:highlight w:val="none"/>
            </w:rPr>
            <w:fldChar w:fldCharType="separate"/>
          </w:r>
          <w:r>
            <w:rPr>
              <w:rFonts w:hint="eastAsia"/>
              <w:highlight w:val="none"/>
            </w:rPr>
            <w:t>招标公告</w:t>
          </w:r>
          <w:r>
            <w:rPr>
              <w:highlight w:val="none"/>
            </w:rPr>
            <w:tab/>
          </w:r>
          <w:r>
            <w:rPr>
              <w:highlight w:val="none"/>
            </w:rPr>
            <w:fldChar w:fldCharType="begin"/>
          </w:r>
          <w:r>
            <w:rPr>
              <w:highlight w:val="none"/>
            </w:rPr>
            <w:instrText xml:space="preserve"> PAGEREF _Toc7104 \h </w:instrText>
          </w:r>
          <w:r>
            <w:rPr>
              <w:highlight w:val="none"/>
            </w:rPr>
            <w:fldChar w:fldCharType="separate"/>
          </w:r>
          <w:r>
            <w:rPr>
              <w:highlight w:val="none"/>
            </w:rPr>
            <w:t>3</w:t>
          </w:r>
          <w:r>
            <w:rPr>
              <w:highlight w:val="none"/>
            </w:rPr>
            <w:fldChar w:fldCharType="end"/>
          </w:r>
          <w:r>
            <w:rPr>
              <w:rFonts w:hint="eastAsia" w:ascii="Calibri" w:hAnsi="Calibri"/>
              <w:bCs/>
              <w:kern w:val="44"/>
              <w:szCs w:val="44"/>
              <w:highlight w:val="none"/>
            </w:rPr>
            <w:fldChar w:fldCharType="end"/>
          </w:r>
        </w:p>
        <w:p w14:paraId="3718B9B5">
          <w:pPr>
            <w:pStyle w:val="20"/>
            <w:tabs>
              <w:tab w:val="right" w:leader="middleDot" w:pos="9070"/>
              <w:tab w:val="clear" w:pos="8729"/>
            </w:tabs>
            <w:rPr>
              <w:highlight w:val="none"/>
            </w:rPr>
          </w:pPr>
          <w:r>
            <w:rPr>
              <w:rFonts w:hint="eastAsia" w:ascii="Calibri" w:hAnsi="Calibri" w:eastAsia="宋体" w:cs="Times New Roman"/>
              <w:bCs/>
              <w:kern w:val="44"/>
              <w:szCs w:val="44"/>
              <w:highlight w:val="none"/>
            </w:rPr>
            <w:fldChar w:fldCharType="begin"/>
          </w:r>
          <w:r>
            <w:rPr>
              <w:rFonts w:hint="eastAsia" w:ascii="Calibri" w:hAnsi="Calibri" w:eastAsia="宋体" w:cs="Times New Roman"/>
              <w:bCs/>
              <w:kern w:val="44"/>
              <w:szCs w:val="44"/>
              <w:highlight w:val="none"/>
            </w:rPr>
            <w:instrText xml:space="preserve"> HYPERLINK \l _Toc7753 </w:instrText>
          </w:r>
          <w:r>
            <w:rPr>
              <w:rFonts w:hint="eastAsia" w:ascii="Calibri" w:hAnsi="Calibri" w:eastAsia="宋体" w:cs="Times New Roman"/>
              <w:bCs/>
              <w:kern w:val="44"/>
              <w:szCs w:val="44"/>
              <w:highlight w:val="none"/>
            </w:rPr>
            <w:fldChar w:fldCharType="separate"/>
          </w:r>
          <w:r>
            <w:rPr>
              <w:rFonts w:hint="eastAsia"/>
              <w:highlight w:val="none"/>
            </w:rPr>
            <w:t>第一部分  投标人须知</w:t>
          </w:r>
          <w:r>
            <w:rPr>
              <w:highlight w:val="none"/>
            </w:rPr>
            <w:tab/>
          </w:r>
          <w:r>
            <w:rPr>
              <w:highlight w:val="none"/>
            </w:rPr>
            <w:fldChar w:fldCharType="begin"/>
          </w:r>
          <w:r>
            <w:rPr>
              <w:highlight w:val="none"/>
            </w:rPr>
            <w:instrText xml:space="preserve"> PAGEREF _Toc7753 \h </w:instrText>
          </w:r>
          <w:r>
            <w:rPr>
              <w:highlight w:val="none"/>
            </w:rPr>
            <w:fldChar w:fldCharType="separate"/>
          </w:r>
          <w:r>
            <w:rPr>
              <w:highlight w:val="none"/>
            </w:rPr>
            <w:t>4</w:t>
          </w:r>
          <w:r>
            <w:rPr>
              <w:highlight w:val="none"/>
            </w:rPr>
            <w:fldChar w:fldCharType="end"/>
          </w:r>
          <w:r>
            <w:rPr>
              <w:rFonts w:hint="eastAsia" w:ascii="Calibri" w:hAnsi="Calibri" w:eastAsia="宋体" w:cs="Times New Roman"/>
              <w:bCs/>
              <w:kern w:val="44"/>
              <w:szCs w:val="44"/>
              <w:highlight w:val="none"/>
            </w:rPr>
            <w:fldChar w:fldCharType="end"/>
          </w:r>
        </w:p>
        <w:p w14:paraId="4D6E9C52">
          <w:pPr>
            <w:pStyle w:val="20"/>
            <w:tabs>
              <w:tab w:val="right" w:leader="middleDot" w:pos="9070"/>
              <w:tab w:val="clear" w:pos="8729"/>
            </w:tabs>
            <w:rPr>
              <w:highlight w:val="none"/>
            </w:rPr>
          </w:pPr>
          <w:r>
            <w:rPr>
              <w:rFonts w:hint="eastAsia" w:ascii="Calibri" w:hAnsi="Calibri" w:eastAsia="宋体" w:cs="Times New Roman"/>
              <w:bCs/>
              <w:kern w:val="44"/>
              <w:szCs w:val="44"/>
              <w:highlight w:val="none"/>
            </w:rPr>
            <w:fldChar w:fldCharType="begin"/>
          </w:r>
          <w:r>
            <w:rPr>
              <w:rFonts w:hint="eastAsia" w:ascii="Calibri" w:hAnsi="Calibri" w:eastAsia="宋体" w:cs="Times New Roman"/>
              <w:bCs/>
              <w:kern w:val="44"/>
              <w:szCs w:val="44"/>
              <w:highlight w:val="none"/>
            </w:rPr>
            <w:instrText xml:space="preserve"> HYPERLINK \l _Toc1910 </w:instrText>
          </w:r>
          <w:r>
            <w:rPr>
              <w:rFonts w:hint="eastAsia" w:ascii="Calibri" w:hAnsi="Calibri" w:eastAsia="宋体" w:cs="Times New Roman"/>
              <w:bCs/>
              <w:kern w:val="44"/>
              <w:szCs w:val="44"/>
              <w:highlight w:val="none"/>
            </w:rPr>
            <w:fldChar w:fldCharType="separate"/>
          </w:r>
          <w:r>
            <w:rPr>
              <w:rFonts w:hint="eastAsia"/>
              <w:highlight w:val="none"/>
            </w:rPr>
            <w:t>第二部分　</w:t>
          </w:r>
          <w:r>
            <w:rPr>
              <w:rFonts w:hint="eastAsia"/>
              <w:highlight w:val="none"/>
              <w:lang w:val="en-US" w:eastAsia="zh-CN"/>
            </w:rPr>
            <w:t>技术标书</w:t>
          </w:r>
          <w:r>
            <w:rPr>
              <w:highlight w:val="none"/>
            </w:rPr>
            <w:tab/>
          </w:r>
          <w:r>
            <w:rPr>
              <w:highlight w:val="none"/>
            </w:rPr>
            <w:fldChar w:fldCharType="begin"/>
          </w:r>
          <w:r>
            <w:rPr>
              <w:highlight w:val="none"/>
            </w:rPr>
            <w:instrText xml:space="preserve"> PAGEREF _Toc1910 \h </w:instrText>
          </w:r>
          <w:r>
            <w:rPr>
              <w:highlight w:val="none"/>
            </w:rPr>
            <w:fldChar w:fldCharType="separate"/>
          </w:r>
          <w:r>
            <w:rPr>
              <w:highlight w:val="none"/>
            </w:rPr>
            <w:t>12</w:t>
          </w:r>
          <w:r>
            <w:rPr>
              <w:highlight w:val="none"/>
            </w:rPr>
            <w:fldChar w:fldCharType="end"/>
          </w:r>
          <w:r>
            <w:rPr>
              <w:rFonts w:hint="eastAsia" w:ascii="Calibri" w:hAnsi="Calibri" w:eastAsia="宋体" w:cs="Times New Roman"/>
              <w:bCs/>
              <w:kern w:val="44"/>
              <w:szCs w:val="44"/>
              <w:highlight w:val="none"/>
            </w:rPr>
            <w:fldChar w:fldCharType="end"/>
          </w:r>
        </w:p>
        <w:p w14:paraId="5D6BEB3E">
          <w:pPr>
            <w:pStyle w:val="20"/>
            <w:tabs>
              <w:tab w:val="right" w:leader="middleDot" w:pos="9070"/>
              <w:tab w:val="clear" w:pos="8729"/>
            </w:tabs>
            <w:rPr>
              <w:highlight w:val="none"/>
            </w:rPr>
          </w:pPr>
          <w:r>
            <w:rPr>
              <w:rFonts w:hint="eastAsia" w:ascii="Calibri" w:hAnsi="Calibri" w:eastAsia="宋体" w:cs="Times New Roman"/>
              <w:bCs/>
              <w:kern w:val="44"/>
              <w:szCs w:val="44"/>
              <w:highlight w:val="none"/>
            </w:rPr>
            <w:fldChar w:fldCharType="begin"/>
          </w:r>
          <w:r>
            <w:rPr>
              <w:rFonts w:hint="eastAsia" w:ascii="Calibri" w:hAnsi="Calibri" w:eastAsia="宋体" w:cs="Times New Roman"/>
              <w:bCs/>
              <w:kern w:val="44"/>
              <w:szCs w:val="44"/>
              <w:highlight w:val="none"/>
            </w:rPr>
            <w:instrText xml:space="preserve"> HYPERLINK \l _Toc20595 </w:instrText>
          </w:r>
          <w:r>
            <w:rPr>
              <w:rFonts w:hint="eastAsia" w:ascii="Calibri" w:hAnsi="Calibri" w:eastAsia="宋体" w:cs="Times New Roman"/>
              <w:bCs/>
              <w:kern w:val="44"/>
              <w:szCs w:val="44"/>
              <w:highlight w:val="none"/>
            </w:rPr>
            <w:fldChar w:fldCharType="separate"/>
          </w:r>
          <w:r>
            <w:rPr>
              <w:rFonts w:hint="eastAsia"/>
              <w:highlight w:val="none"/>
            </w:rPr>
            <w:t>第三部分　合同主要条款</w:t>
          </w:r>
          <w:r>
            <w:rPr>
              <w:highlight w:val="none"/>
            </w:rPr>
            <w:tab/>
          </w:r>
          <w:r>
            <w:rPr>
              <w:highlight w:val="none"/>
            </w:rPr>
            <w:fldChar w:fldCharType="begin"/>
          </w:r>
          <w:r>
            <w:rPr>
              <w:highlight w:val="none"/>
            </w:rPr>
            <w:instrText xml:space="preserve"> PAGEREF _Toc20595 \h </w:instrText>
          </w:r>
          <w:r>
            <w:rPr>
              <w:highlight w:val="none"/>
            </w:rPr>
            <w:fldChar w:fldCharType="separate"/>
          </w:r>
          <w:r>
            <w:rPr>
              <w:highlight w:val="none"/>
            </w:rPr>
            <w:t>- 18 -</w:t>
          </w:r>
          <w:r>
            <w:rPr>
              <w:highlight w:val="none"/>
            </w:rPr>
            <w:fldChar w:fldCharType="end"/>
          </w:r>
          <w:r>
            <w:rPr>
              <w:rFonts w:hint="eastAsia" w:ascii="Calibri" w:hAnsi="Calibri" w:eastAsia="宋体" w:cs="Times New Roman"/>
              <w:bCs/>
              <w:kern w:val="44"/>
              <w:szCs w:val="44"/>
              <w:highlight w:val="none"/>
            </w:rPr>
            <w:fldChar w:fldCharType="end"/>
          </w:r>
        </w:p>
        <w:p w14:paraId="7691DBF9">
          <w:pPr>
            <w:pStyle w:val="20"/>
            <w:tabs>
              <w:tab w:val="right" w:leader="middleDot" w:pos="9070"/>
              <w:tab w:val="clear" w:pos="8729"/>
            </w:tabs>
            <w:rPr>
              <w:highlight w:val="none"/>
            </w:rPr>
          </w:pPr>
          <w:r>
            <w:rPr>
              <w:rFonts w:hint="eastAsia" w:ascii="Calibri" w:hAnsi="Calibri" w:eastAsia="宋体" w:cs="Times New Roman"/>
              <w:bCs/>
              <w:kern w:val="44"/>
              <w:szCs w:val="44"/>
              <w:highlight w:val="none"/>
            </w:rPr>
            <w:fldChar w:fldCharType="begin"/>
          </w:r>
          <w:r>
            <w:rPr>
              <w:rFonts w:hint="eastAsia" w:ascii="Calibri" w:hAnsi="Calibri" w:eastAsia="宋体" w:cs="Times New Roman"/>
              <w:bCs/>
              <w:kern w:val="44"/>
              <w:szCs w:val="44"/>
              <w:highlight w:val="none"/>
            </w:rPr>
            <w:instrText xml:space="preserve"> HYPERLINK \l _Toc5925 </w:instrText>
          </w:r>
          <w:r>
            <w:rPr>
              <w:rFonts w:hint="eastAsia" w:ascii="Calibri" w:hAnsi="Calibri" w:eastAsia="宋体" w:cs="Times New Roman"/>
              <w:bCs/>
              <w:kern w:val="44"/>
              <w:szCs w:val="44"/>
              <w:highlight w:val="none"/>
            </w:rPr>
            <w:fldChar w:fldCharType="separate"/>
          </w:r>
          <w:r>
            <w:rPr>
              <w:rFonts w:hint="eastAsia"/>
              <w:highlight w:val="none"/>
            </w:rPr>
            <w:t>第四部分　</w:t>
          </w:r>
          <w:r>
            <w:rPr>
              <w:rFonts w:hint="eastAsia"/>
              <w:highlight w:val="none"/>
              <w:lang w:val="en-US" w:eastAsia="zh-CN"/>
            </w:rPr>
            <w:t>投标文件附件</w:t>
          </w:r>
          <w:r>
            <w:rPr>
              <w:highlight w:val="none"/>
            </w:rPr>
            <w:tab/>
          </w:r>
          <w:r>
            <w:rPr>
              <w:highlight w:val="none"/>
            </w:rPr>
            <w:fldChar w:fldCharType="begin"/>
          </w:r>
          <w:r>
            <w:rPr>
              <w:highlight w:val="none"/>
            </w:rPr>
            <w:instrText xml:space="preserve"> PAGEREF _Toc5925 \h </w:instrText>
          </w:r>
          <w:r>
            <w:rPr>
              <w:highlight w:val="none"/>
            </w:rPr>
            <w:fldChar w:fldCharType="separate"/>
          </w:r>
          <w:r>
            <w:rPr>
              <w:highlight w:val="none"/>
            </w:rPr>
            <w:t>- 19 -</w:t>
          </w:r>
          <w:r>
            <w:rPr>
              <w:highlight w:val="none"/>
            </w:rPr>
            <w:fldChar w:fldCharType="end"/>
          </w:r>
          <w:r>
            <w:rPr>
              <w:rFonts w:hint="eastAsia" w:ascii="Calibri" w:hAnsi="Calibri" w:eastAsia="宋体" w:cs="Times New Roman"/>
              <w:bCs/>
              <w:kern w:val="44"/>
              <w:szCs w:val="44"/>
              <w:highlight w:val="none"/>
            </w:rPr>
            <w:fldChar w:fldCharType="end"/>
          </w:r>
        </w:p>
        <w:p w14:paraId="6617A57C">
          <w:pPr>
            <w:pStyle w:val="20"/>
            <w:rPr>
              <w:highlight w:val="none"/>
            </w:rPr>
          </w:pPr>
          <w:r>
            <w:rPr>
              <w:rFonts w:hint="eastAsia" w:ascii="Calibri" w:hAnsi="Calibri" w:eastAsia="宋体" w:cs="Times New Roman"/>
              <w:bCs/>
              <w:kern w:val="44"/>
              <w:szCs w:val="44"/>
              <w:highlight w:val="none"/>
            </w:rPr>
            <w:fldChar w:fldCharType="end"/>
          </w:r>
        </w:p>
      </w:sdtContent>
    </w:sdt>
    <w:p w14:paraId="582BF911">
      <w:pPr>
        <w:pStyle w:val="14"/>
        <w:tabs>
          <w:tab w:val="left" w:pos="2940"/>
        </w:tabs>
        <w:spacing w:line="360" w:lineRule="auto"/>
        <w:rPr>
          <w:highlight w:val="none"/>
        </w:rPr>
      </w:pPr>
      <w:r>
        <w:rPr>
          <w:highlight w:val="none"/>
        </w:rPr>
        <w:tab/>
      </w:r>
    </w:p>
    <w:p w14:paraId="29FEE1FC">
      <w:pPr>
        <w:pStyle w:val="14"/>
        <w:spacing w:line="360" w:lineRule="auto"/>
        <w:jc w:val="center"/>
        <w:rPr>
          <w:highlight w:val="none"/>
        </w:rPr>
      </w:pPr>
    </w:p>
    <w:p w14:paraId="453A274D">
      <w:pPr>
        <w:pStyle w:val="14"/>
        <w:spacing w:line="360" w:lineRule="auto"/>
        <w:jc w:val="center"/>
        <w:rPr>
          <w:highlight w:val="none"/>
        </w:rPr>
        <w:sectPr>
          <w:pgSz w:w="11906" w:h="16838"/>
          <w:pgMar w:top="1701" w:right="1418" w:bottom="1134" w:left="1418" w:header="851" w:footer="992" w:gutter="0"/>
          <w:pgNumType w:fmt="numberInDash"/>
          <w:cols w:space="720" w:num="1"/>
          <w:titlePg/>
          <w:docGrid w:type="lines" w:linePitch="312" w:charSpace="0"/>
        </w:sectPr>
      </w:pPr>
    </w:p>
    <w:p w14:paraId="0230EEDA">
      <w:pPr>
        <w:pStyle w:val="71"/>
        <w:rPr>
          <w:highlight w:val="none"/>
        </w:rPr>
      </w:pPr>
      <w:bookmarkStart w:id="0" w:name="_Toc47976587"/>
      <w:bookmarkStart w:id="1" w:name="_Toc7104"/>
      <w:r>
        <w:rPr>
          <w:rFonts w:hint="eastAsia"/>
          <w:highlight w:val="none"/>
        </w:rPr>
        <w:t>招标公告</w:t>
      </w:r>
      <w:bookmarkEnd w:id="0"/>
      <w:bookmarkEnd w:id="1"/>
    </w:p>
    <w:p w14:paraId="5953C7BF">
      <w:pPr>
        <w:pStyle w:val="71"/>
        <w:rPr>
          <w:rFonts w:hint="eastAsia"/>
          <w:sz w:val="28"/>
          <w:highlight w:val="none"/>
        </w:rPr>
      </w:pPr>
      <w:bookmarkStart w:id="2" w:name="_Toc32474"/>
      <w:r>
        <w:rPr>
          <w:rFonts w:hint="eastAsia"/>
          <w:sz w:val="28"/>
          <w:highlight w:val="none"/>
        </w:rPr>
        <w:t>重汽（济南）车桥有限公司2026 年度危险废物处置项目招</w:t>
      </w:r>
      <w:bookmarkStart w:id="34" w:name="_GoBack"/>
      <w:bookmarkEnd w:id="34"/>
      <w:r>
        <w:rPr>
          <w:rFonts w:hint="eastAsia"/>
          <w:sz w:val="28"/>
          <w:highlight w:val="none"/>
        </w:rPr>
        <w:t>标公告</w:t>
      </w:r>
      <w:bookmarkEnd w:id="2"/>
    </w:p>
    <w:p w14:paraId="3B867C39">
      <w:pPr>
        <w:pStyle w:val="71"/>
        <w:rPr>
          <w:rFonts w:hint="eastAsia"/>
          <w:highlight w:val="none"/>
        </w:rPr>
      </w:pPr>
    </w:p>
    <w:p w14:paraId="2A47C58A">
      <w:pPr>
        <w:pStyle w:val="72"/>
        <w:rPr>
          <w:highlight w:val="none"/>
        </w:rPr>
      </w:pPr>
      <w:bookmarkStart w:id="3" w:name="_Toc47976588"/>
      <w:r>
        <w:rPr>
          <w:rFonts w:hint="eastAsia"/>
          <w:highlight w:val="none"/>
        </w:rPr>
        <w:t>项目名称及项目编号</w:t>
      </w:r>
      <w:bookmarkEnd w:id="3"/>
    </w:p>
    <w:p w14:paraId="1E71F649">
      <w:pPr>
        <w:pStyle w:val="73"/>
        <w:rPr>
          <w:highlight w:val="none"/>
        </w:rPr>
      </w:pPr>
      <w:r>
        <w:rPr>
          <w:rFonts w:hint="eastAsia"/>
          <w:highlight w:val="none"/>
        </w:rPr>
        <w:t>项目名称： 重汽（济南）车桥有限公司2026 年度危险废物处置项目</w:t>
      </w:r>
    </w:p>
    <w:p w14:paraId="15020D03">
      <w:pPr>
        <w:pStyle w:val="73"/>
        <w:rPr>
          <w:highlight w:val="none"/>
        </w:rPr>
      </w:pPr>
      <w:r>
        <w:rPr>
          <w:rFonts w:hint="eastAsia"/>
          <w:highlight w:val="none"/>
        </w:rPr>
        <w:t>项目编号：ZBGL2026030228</w:t>
      </w:r>
    </w:p>
    <w:p w14:paraId="0AB9F24D">
      <w:pPr>
        <w:pStyle w:val="72"/>
        <w:rPr>
          <w:highlight w:val="none"/>
        </w:rPr>
      </w:pPr>
      <w:bookmarkStart w:id="4" w:name="_Toc47976589"/>
      <w:r>
        <w:rPr>
          <w:rFonts w:hint="eastAsia"/>
          <w:highlight w:val="none"/>
          <w:lang w:val="en-US" w:eastAsia="zh-CN"/>
        </w:rPr>
        <w:t>项目概况</w:t>
      </w:r>
      <w:r>
        <w:rPr>
          <w:rFonts w:hint="eastAsia"/>
          <w:highlight w:val="none"/>
        </w:rPr>
        <w:t>及招标形式</w:t>
      </w:r>
      <w:bookmarkEnd w:id="4"/>
    </w:p>
    <w:p w14:paraId="1A912F05">
      <w:pPr>
        <w:pStyle w:val="73"/>
        <w:numPr>
          <w:ilvl w:val="0"/>
          <w:numId w:val="9"/>
        </w:numPr>
        <w:rPr>
          <w:highlight w:val="none"/>
        </w:rPr>
      </w:pPr>
      <w:r>
        <w:rPr>
          <w:rFonts w:hint="eastAsia"/>
          <w:highlight w:val="none"/>
        </w:rPr>
        <w:t>招标内容：重汽（济南）车桥有限公司2026 年度危险废物处置项目</w:t>
      </w:r>
    </w:p>
    <w:p w14:paraId="4EC58B63">
      <w:pPr>
        <w:pStyle w:val="73"/>
        <w:rPr>
          <w:highlight w:val="none"/>
        </w:rPr>
      </w:pPr>
      <w:r>
        <w:rPr>
          <w:rFonts w:hint="eastAsia"/>
          <w:highlight w:val="none"/>
        </w:rPr>
        <w:t>招标形式：</w:t>
      </w:r>
      <w:r>
        <w:rPr>
          <w:rFonts w:hint="eastAsia"/>
          <w:highlight w:val="none"/>
          <w:lang w:val="en-US" w:eastAsia="zh-CN"/>
        </w:rPr>
        <w:t>公开</w:t>
      </w:r>
      <w:r>
        <w:rPr>
          <w:rFonts w:hint="eastAsia"/>
          <w:highlight w:val="none"/>
        </w:rPr>
        <w:t>招标</w:t>
      </w:r>
      <w:r>
        <w:rPr>
          <w:rStyle w:val="97"/>
          <w:rFonts w:hint="eastAsia"/>
          <w:b w:val="0"/>
          <w:highlight w:val="none"/>
        </w:rPr>
        <w:t>。</w:t>
      </w:r>
    </w:p>
    <w:p w14:paraId="76B97D53">
      <w:pPr>
        <w:pStyle w:val="72"/>
        <w:rPr>
          <w:highlight w:val="none"/>
        </w:rPr>
      </w:pPr>
      <w:bookmarkStart w:id="5" w:name="_Toc47976591"/>
      <w:r>
        <w:rPr>
          <w:rFonts w:hint="eastAsia"/>
          <w:highlight w:val="none"/>
        </w:rPr>
        <w:t>报名及招标文件的获取</w:t>
      </w:r>
      <w:bookmarkEnd w:id="5"/>
    </w:p>
    <w:p w14:paraId="0E06EF19">
      <w:pPr>
        <w:pStyle w:val="14"/>
        <w:numPr>
          <w:ilvl w:val="0"/>
          <w:numId w:val="10"/>
        </w:numPr>
        <w:spacing w:line="360" w:lineRule="auto"/>
        <w:ind w:firstLine="422" w:firstLineChars="200"/>
        <w:rPr>
          <w:rFonts w:hAnsi="宋体" w:cs="宋体"/>
          <w:color w:val="FF0000"/>
          <w:szCs w:val="21"/>
          <w:highlight w:val="none"/>
        </w:rPr>
      </w:pPr>
      <w:r>
        <w:rPr>
          <w:rFonts w:hint="eastAsia" w:hAnsi="宋体" w:cs="宋体"/>
          <w:b/>
          <w:bCs/>
          <w:szCs w:val="21"/>
          <w:highlight w:val="none"/>
        </w:rPr>
        <w:t>报名截止时间：</w:t>
      </w:r>
      <w:r>
        <w:rPr>
          <w:rFonts w:hint="eastAsia" w:hAnsi="宋体" w:cs="宋体"/>
          <w:b/>
          <w:bCs/>
          <w:color w:val="FF0000"/>
          <w:szCs w:val="21"/>
          <w:highlight w:val="none"/>
        </w:rPr>
        <w:t>202</w:t>
      </w:r>
      <w:r>
        <w:rPr>
          <w:rFonts w:hint="eastAsia" w:hAnsi="宋体" w:cs="宋体"/>
          <w:b/>
          <w:bCs/>
          <w:color w:val="FF0000"/>
          <w:szCs w:val="21"/>
          <w:highlight w:val="none"/>
          <w:lang w:val="en-US" w:eastAsia="zh-CN"/>
        </w:rPr>
        <w:t>6</w:t>
      </w:r>
      <w:r>
        <w:rPr>
          <w:rFonts w:hint="eastAsia" w:hAnsi="宋体" w:cs="宋体"/>
          <w:b/>
          <w:bCs/>
          <w:color w:val="FF0000"/>
          <w:szCs w:val="21"/>
          <w:highlight w:val="none"/>
        </w:rPr>
        <w:t>年</w:t>
      </w:r>
      <w:r>
        <w:rPr>
          <w:rFonts w:hint="eastAsia" w:hAnsi="宋体" w:cs="宋体"/>
          <w:b/>
          <w:bCs/>
          <w:color w:val="FF0000"/>
          <w:szCs w:val="21"/>
          <w:highlight w:val="none"/>
          <w:lang w:val="en-US" w:eastAsia="zh-CN"/>
        </w:rPr>
        <w:t>3</w:t>
      </w:r>
      <w:r>
        <w:rPr>
          <w:rFonts w:hint="eastAsia" w:hAnsi="宋体" w:cs="宋体"/>
          <w:b/>
          <w:bCs/>
          <w:color w:val="FF0000"/>
          <w:szCs w:val="21"/>
          <w:highlight w:val="none"/>
        </w:rPr>
        <w:t>月</w:t>
      </w:r>
      <w:r>
        <w:rPr>
          <w:rFonts w:hint="eastAsia" w:hAnsi="宋体" w:cs="宋体"/>
          <w:b/>
          <w:bCs/>
          <w:color w:val="FF0000"/>
          <w:szCs w:val="21"/>
          <w:highlight w:val="none"/>
          <w:lang w:val="en-US" w:eastAsia="zh-CN"/>
        </w:rPr>
        <w:t>20</w:t>
      </w:r>
      <w:r>
        <w:rPr>
          <w:rFonts w:hint="eastAsia" w:hAnsi="宋体" w:cs="宋体"/>
          <w:b/>
          <w:bCs/>
          <w:color w:val="FF0000"/>
          <w:szCs w:val="21"/>
          <w:highlight w:val="none"/>
        </w:rPr>
        <w:t>日下午</w:t>
      </w:r>
      <w:r>
        <w:rPr>
          <w:rFonts w:hint="eastAsia" w:hAnsi="宋体" w:cs="宋体"/>
          <w:b/>
          <w:bCs/>
          <w:color w:val="FF0000"/>
          <w:szCs w:val="21"/>
          <w:highlight w:val="none"/>
          <w:lang w:val="en-US" w:eastAsia="zh-CN"/>
        </w:rPr>
        <w:t>14</w:t>
      </w:r>
      <w:r>
        <w:rPr>
          <w:rFonts w:hint="eastAsia" w:hAnsi="宋体" w:cs="宋体"/>
          <w:b/>
          <w:bCs/>
          <w:color w:val="FF0000"/>
          <w:szCs w:val="21"/>
          <w:highlight w:val="none"/>
        </w:rPr>
        <w:t>点</w:t>
      </w:r>
    </w:p>
    <w:p w14:paraId="6BBCD822">
      <w:pPr>
        <w:pStyle w:val="14"/>
        <w:numPr>
          <w:ilvl w:val="0"/>
          <w:numId w:val="10"/>
        </w:numPr>
        <w:spacing w:line="360" w:lineRule="auto"/>
        <w:ind w:firstLine="422" w:firstLineChars="200"/>
        <w:rPr>
          <w:rFonts w:hAnsi="宋体" w:cs="宋体"/>
          <w:szCs w:val="21"/>
          <w:highlight w:val="none"/>
        </w:rPr>
      </w:pPr>
      <w:r>
        <w:rPr>
          <w:rFonts w:hint="eastAsia" w:hAnsi="宋体" w:cs="宋体"/>
          <w:b/>
          <w:bCs/>
          <w:szCs w:val="21"/>
          <w:highlight w:val="none"/>
        </w:rPr>
        <w:t>招标文件获取方式：投标人在上述时间范围内，在中国重汽e采通平台上获取招标文件</w:t>
      </w:r>
    </w:p>
    <w:p w14:paraId="7A0927CB">
      <w:pPr>
        <w:pStyle w:val="72"/>
        <w:numPr>
          <w:ilvl w:val="0"/>
          <w:numId w:val="0"/>
        </w:numPr>
        <w:ind w:leftChars="0"/>
        <w:rPr>
          <w:highlight w:val="none"/>
        </w:rPr>
      </w:pPr>
      <w:r>
        <w:rPr>
          <w:rFonts w:hint="eastAsia" w:ascii="宋体" w:hAnsi="宋体" w:eastAsia="宋体" w:cs="宋体"/>
          <w:sz w:val="21"/>
          <w:szCs w:val="21"/>
          <w:highlight w:val="none"/>
        </w:rPr>
        <w:t>报名方式：拟投标人根据招标人在中国重汽官网等公开媒体上发布的招标信息，在“中国重汽e采通”平台报名。按照中国重汽e采通“SRM非生产供应商注册手册”进行注册，注册完毕后按照“SRM系统供应商用户手册”，登录重汽e采通平台后进入“供应商应标”，选择对应的项目，点击“应标”后按照招标文件</w:t>
      </w:r>
      <w:r>
        <w:rPr>
          <w:rFonts w:hint="eastAsia" w:ascii="宋体" w:hAnsi="宋体" w:eastAsia="宋体" w:cs="宋体"/>
          <w:sz w:val="21"/>
          <w:szCs w:val="21"/>
          <w:highlight w:val="none"/>
          <w:lang w:val="en-US" w:eastAsia="zh-CN"/>
        </w:rPr>
        <w:t>中的</w:t>
      </w:r>
      <w:r>
        <w:rPr>
          <w:rFonts w:hint="eastAsia" w:ascii="宋体" w:hAnsi="宋体" w:eastAsia="宋体" w:cs="宋体"/>
          <w:sz w:val="21"/>
          <w:szCs w:val="21"/>
          <w:highlight w:val="none"/>
        </w:rPr>
        <w:t>投标文件</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资质标书》</w:t>
      </w:r>
      <w:r>
        <w:rPr>
          <w:rFonts w:hint="eastAsia" w:ascii="宋体" w:hAnsi="宋体" w:eastAsia="宋体" w:cs="宋体"/>
          <w:sz w:val="21"/>
          <w:szCs w:val="21"/>
          <w:highlight w:val="none"/>
        </w:rPr>
        <w:t>准备资料并上传，资质审查通过即为报名成功；公示期间请尽快报名。</w:t>
      </w:r>
    </w:p>
    <w:p w14:paraId="654E7574">
      <w:pPr>
        <w:pStyle w:val="72"/>
        <w:rPr>
          <w:highlight w:val="none"/>
        </w:rPr>
      </w:pPr>
      <w:r>
        <w:rPr>
          <w:rFonts w:hint="eastAsia"/>
          <w:highlight w:val="none"/>
        </w:rPr>
        <w:t>投标文件的递交</w:t>
      </w:r>
    </w:p>
    <w:p w14:paraId="3AE4448B">
      <w:pPr>
        <w:pStyle w:val="72"/>
        <w:numPr>
          <w:ilvl w:val="0"/>
          <w:numId w:val="0"/>
        </w:numPr>
        <w:ind w:leftChars="0"/>
        <w:rPr>
          <w:highlight w:val="none"/>
        </w:rPr>
      </w:pPr>
      <w:r>
        <w:rPr>
          <w:rFonts w:hint="eastAsia" w:ascii="宋体" w:hAnsi="宋体" w:eastAsia="宋体" w:cs="宋体"/>
          <w:sz w:val="21"/>
          <w:szCs w:val="21"/>
          <w:highlight w:val="none"/>
        </w:rPr>
        <w:t>投标方式：在中国重汽e采通平台应标成功后，进入“供应商投标”环节，投递盖章扫描版电子标书（包含资质标书、技术标书、商务标书），若逾期未在中国重汽e采通平台上传电子标书，一律视为无效投标。</w:t>
      </w:r>
    </w:p>
    <w:p w14:paraId="4FB336BE">
      <w:pPr>
        <w:pStyle w:val="72"/>
        <w:rPr>
          <w:highlight w:val="none"/>
        </w:rPr>
      </w:pPr>
      <w:r>
        <w:rPr>
          <w:rFonts w:hint="eastAsia"/>
          <w:highlight w:val="none"/>
          <w:lang w:val="en-US" w:eastAsia="zh-CN"/>
        </w:rPr>
        <w:t>开标时间和地点</w:t>
      </w:r>
    </w:p>
    <w:p w14:paraId="08ED514D">
      <w:pPr>
        <w:pStyle w:val="72"/>
        <w:numPr>
          <w:ilvl w:val="0"/>
          <w:numId w:val="11"/>
        </w:numPr>
        <w:ind w:left="840"/>
        <w:rPr>
          <w:highlight w:val="none"/>
        </w:rPr>
      </w:pPr>
      <w:r>
        <w:rPr>
          <w:rFonts w:hint="eastAsia" w:ascii="宋体" w:hAnsi="宋体" w:eastAsia="宋体" w:cs="宋体"/>
          <w:sz w:val="21"/>
          <w:szCs w:val="21"/>
          <w:highlight w:val="none"/>
        </w:rPr>
        <w:t>时间：</w:t>
      </w:r>
      <w:r>
        <w:rPr>
          <w:rFonts w:hint="eastAsia" w:ascii="宋体" w:hAnsi="宋体" w:eastAsia="宋体" w:cs="宋体"/>
          <w:color w:val="FF0000"/>
          <w:sz w:val="21"/>
          <w:szCs w:val="21"/>
          <w:highlight w:val="none"/>
          <w:lang w:val="en-US" w:eastAsia="zh-CN"/>
        </w:rPr>
        <w:t>2026</w:t>
      </w:r>
      <w:r>
        <w:rPr>
          <w:rFonts w:hint="eastAsia" w:ascii="宋体" w:hAnsi="宋体" w:eastAsia="宋体" w:cs="宋体"/>
          <w:color w:val="FF0000"/>
          <w:sz w:val="21"/>
          <w:szCs w:val="21"/>
          <w:highlight w:val="none"/>
        </w:rPr>
        <w:t>年</w:t>
      </w:r>
      <w:r>
        <w:rPr>
          <w:rFonts w:hint="eastAsia" w:ascii="宋体" w:hAnsi="宋体" w:eastAsia="宋体" w:cs="宋体"/>
          <w:color w:val="FF0000"/>
          <w:sz w:val="21"/>
          <w:szCs w:val="21"/>
          <w:highlight w:val="none"/>
          <w:lang w:val="en-US" w:eastAsia="zh-CN"/>
        </w:rPr>
        <w:t>3</w:t>
      </w:r>
      <w:r>
        <w:rPr>
          <w:rFonts w:hint="eastAsia" w:ascii="宋体" w:hAnsi="宋体" w:eastAsia="宋体" w:cs="宋体"/>
          <w:color w:val="FF0000"/>
          <w:sz w:val="21"/>
          <w:szCs w:val="21"/>
          <w:highlight w:val="none"/>
        </w:rPr>
        <w:t>月</w:t>
      </w:r>
      <w:r>
        <w:rPr>
          <w:rFonts w:hint="eastAsia" w:ascii="宋体" w:hAnsi="宋体" w:eastAsia="宋体" w:cs="宋体"/>
          <w:color w:val="FF0000"/>
          <w:sz w:val="21"/>
          <w:szCs w:val="21"/>
          <w:highlight w:val="none"/>
          <w:lang w:val="en-US" w:eastAsia="zh-CN"/>
        </w:rPr>
        <w:t>23</w:t>
      </w:r>
      <w:r>
        <w:rPr>
          <w:rFonts w:hint="eastAsia" w:ascii="宋体" w:hAnsi="宋体" w:eastAsia="宋体" w:cs="宋体"/>
          <w:color w:val="FF0000"/>
          <w:sz w:val="21"/>
          <w:szCs w:val="21"/>
          <w:highlight w:val="none"/>
        </w:rPr>
        <w:t>日9:00:00</w:t>
      </w:r>
    </w:p>
    <w:p w14:paraId="15ABDA21">
      <w:pPr>
        <w:pStyle w:val="72"/>
        <w:numPr>
          <w:ilvl w:val="0"/>
          <w:numId w:val="11"/>
        </w:numPr>
        <w:ind w:left="840"/>
        <w:rPr>
          <w:highlight w:val="none"/>
        </w:rPr>
      </w:pPr>
      <w:r>
        <w:rPr>
          <w:rFonts w:hint="eastAsia" w:ascii="宋体" w:hAnsi="宋体" w:eastAsia="宋体" w:cs="宋体"/>
          <w:sz w:val="21"/>
          <w:szCs w:val="21"/>
          <w:highlight w:val="none"/>
        </w:rPr>
        <w:t>地点：济南市</w:t>
      </w:r>
      <w:r>
        <w:rPr>
          <w:rFonts w:hint="eastAsia" w:ascii="宋体" w:hAnsi="宋体" w:eastAsia="宋体" w:cs="宋体"/>
          <w:sz w:val="21"/>
          <w:szCs w:val="21"/>
          <w:highlight w:val="none"/>
          <w:lang w:val="en-US" w:eastAsia="zh-CN"/>
        </w:rPr>
        <w:t>高新区世纪大道757号</w:t>
      </w:r>
    </w:p>
    <w:p w14:paraId="7D20EAC6">
      <w:pPr>
        <w:pStyle w:val="72"/>
        <w:rPr>
          <w:highlight w:val="none"/>
        </w:rPr>
      </w:pPr>
      <w:r>
        <w:rPr>
          <w:rFonts w:hint="eastAsia"/>
          <w:highlight w:val="none"/>
        </w:rPr>
        <w:t>联系方式</w:t>
      </w:r>
    </w:p>
    <w:p w14:paraId="32DD4A06">
      <w:pPr>
        <w:ind w:firstLine="422" w:firstLineChars="200"/>
        <w:rPr>
          <w:rFonts w:ascii="宋体" w:hAnsi="宋体" w:cs="宋体"/>
          <w:b/>
          <w:snapToGrid w:val="0"/>
          <w:kern w:val="0"/>
          <w:szCs w:val="21"/>
          <w:highlight w:val="none"/>
        </w:rPr>
      </w:pPr>
      <w:r>
        <w:rPr>
          <w:rFonts w:hint="eastAsia" w:ascii="宋体" w:hAnsi="宋体" w:cs="宋体"/>
          <w:b/>
          <w:snapToGrid w:val="0"/>
          <w:kern w:val="0"/>
          <w:szCs w:val="21"/>
          <w:highlight w:val="none"/>
        </w:rPr>
        <w:t>招标人名称：重汽（济南）车桥有限公司</w:t>
      </w:r>
    </w:p>
    <w:p w14:paraId="3794D399">
      <w:pPr>
        <w:pStyle w:val="72"/>
        <w:numPr>
          <w:ilvl w:val="0"/>
          <w:numId w:val="0"/>
        </w:numPr>
        <w:ind w:firstLine="422" w:firstLineChars="200"/>
        <w:rPr>
          <w:rFonts w:hint="eastAsia" w:ascii="宋体" w:hAnsi="宋体" w:eastAsia="宋体" w:cs="宋体"/>
          <w:bCs w:val="0"/>
          <w:sz w:val="21"/>
          <w:szCs w:val="21"/>
          <w:highlight w:val="none"/>
          <w:lang w:eastAsia="zh-CN"/>
        </w:rPr>
      </w:pPr>
      <w:r>
        <w:rPr>
          <w:rFonts w:hint="eastAsia" w:ascii="宋体" w:hAnsi="宋体" w:eastAsia="宋体" w:cs="宋体"/>
          <w:bCs w:val="0"/>
          <w:sz w:val="21"/>
          <w:szCs w:val="21"/>
          <w:highlight w:val="none"/>
        </w:rPr>
        <w:t>联系人：</w:t>
      </w:r>
      <w:r>
        <w:rPr>
          <w:rFonts w:hint="eastAsia" w:ascii="宋体" w:hAnsi="宋体" w:eastAsia="宋体" w:cs="宋体"/>
          <w:bCs w:val="0"/>
          <w:sz w:val="21"/>
          <w:szCs w:val="21"/>
          <w:highlight w:val="none"/>
          <w:lang w:val="en-US" w:eastAsia="zh-CN"/>
        </w:rPr>
        <w:t>李奎民</w:t>
      </w:r>
    </w:p>
    <w:p w14:paraId="70DECEA2">
      <w:pPr>
        <w:pStyle w:val="72"/>
        <w:numPr>
          <w:ilvl w:val="0"/>
          <w:numId w:val="0"/>
        </w:numPr>
        <w:ind w:firstLine="422" w:firstLineChars="200"/>
        <w:rPr>
          <w:rFonts w:hint="default" w:ascii="宋体" w:hAnsi="宋体" w:eastAsia="宋体" w:cs="宋体"/>
          <w:bCs w:val="0"/>
          <w:sz w:val="21"/>
          <w:szCs w:val="21"/>
          <w:highlight w:val="none"/>
          <w:lang w:val="en-US" w:eastAsia="zh-CN"/>
        </w:rPr>
      </w:pPr>
      <w:r>
        <w:rPr>
          <w:rFonts w:hint="eastAsia" w:ascii="宋体" w:hAnsi="宋体" w:eastAsia="宋体" w:cs="宋体"/>
          <w:bCs w:val="0"/>
          <w:sz w:val="21"/>
          <w:szCs w:val="21"/>
          <w:highlight w:val="none"/>
        </w:rPr>
        <w:t>电话：</w:t>
      </w:r>
      <w:r>
        <w:rPr>
          <w:rFonts w:hint="eastAsia" w:ascii="宋体" w:hAnsi="宋体" w:eastAsia="宋体" w:cs="宋体"/>
          <w:bCs w:val="0"/>
          <w:sz w:val="21"/>
          <w:szCs w:val="21"/>
          <w:highlight w:val="none"/>
          <w:lang w:val="en-US" w:eastAsia="zh-CN"/>
        </w:rPr>
        <w:t>18103690113</w:t>
      </w:r>
    </w:p>
    <w:p w14:paraId="30718E39">
      <w:pPr>
        <w:pStyle w:val="72"/>
        <w:numPr>
          <w:ilvl w:val="0"/>
          <w:numId w:val="0"/>
        </w:numPr>
        <w:ind w:firstLine="422" w:firstLineChars="200"/>
        <w:rPr>
          <w:rFonts w:ascii="宋体" w:hAnsi="宋体" w:eastAsia="宋体" w:cs="宋体"/>
          <w:bCs w:val="0"/>
          <w:sz w:val="21"/>
          <w:szCs w:val="21"/>
          <w:highlight w:val="none"/>
        </w:rPr>
      </w:pPr>
      <w:r>
        <w:rPr>
          <w:rFonts w:hint="eastAsia" w:ascii="宋体" w:hAnsi="宋体" w:eastAsia="宋体" w:cs="宋体"/>
          <w:bCs w:val="0"/>
          <w:sz w:val="21"/>
          <w:szCs w:val="21"/>
          <w:highlight w:val="none"/>
        </w:rPr>
        <w:t>邮箱：</w:t>
      </w:r>
      <w:r>
        <w:rPr>
          <w:rFonts w:hint="eastAsia" w:ascii="宋体" w:hAnsi="宋体" w:eastAsia="宋体" w:cs="宋体"/>
          <w:bCs w:val="0"/>
          <w:sz w:val="21"/>
          <w:szCs w:val="21"/>
          <w:highlight w:val="none"/>
          <w:lang w:val="en-US" w:eastAsia="zh-CN"/>
        </w:rPr>
        <w:t>zqqxan@163</w:t>
      </w:r>
      <w:r>
        <w:rPr>
          <w:rFonts w:hint="eastAsia" w:ascii="宋体" w:hAnsi="宋体" w:eastAsia="宋体" w:cs="宋体"/>
          <w:bCs w:val="0"/>
          <w:sz w:val="21"/>
          <w:szCs w:val="21"/>
          <w:highlight w:val="none"/>
        </w:rPr>
        <w:t>.com</w:t>
      </w:r>
    </w:p>
    <w:p w14:paraId="5F538BD8">
      <w:pPr>
        <w:pStyle w:val="76"/>
        <w:rPr>
          <w:highlight w:val="none"/>
        </w:rPr>
      </w:pPr>
    </w:p>
    <w:p w14:paraId="3A7E2D48">
      <w:pPr>
        <w:pStyle w:val="76"/>
        <w:jc w:val="both"/>
        <w:rPr>
          <w:rFonts w:hint="eastAsia"/>
          <w:highlight w:val="none"/>
          <w:u w:val="single"/>
          <w:lang w:val="en-US" w:eastAsia="zh-CN"/>
        </w:rPr>
      </w:pPr>
    </w:p>
    <w:p w14:paraId="22C6BEDA">
      <w:pPr>
        <w:pStyle w:val="76"/>
        <w:jc w:val="right"/>
        <w:rPr>
          <w:rFonts w:hint="eastAsia"/>
          <w:highlight w:val="none"/>
          <w:u w:val="single"/>
          <w:lang w:val="en-US" w:eastAsia="zh-CN"/>
        </w:rPr>
      </w:pPr>
    </w:p>
    <w:p w14:paraId="410F58AB">
      <w:pPr>
        <w:pStyle w:val="76"/>
        <w:ind w:firstLine="6510" w:firstLineChars="3100"/>
        <w:jc w:val="both"/>
        <w:rPr>
          <w:highlight w:val="none"/>
        </w:rPr>
      </w:pPr>
      <w:r>
        <w:rPr>
          <w:rFonts w:hint="eastAsia"/>
          <w:highlight w:val="none"/>
          <w:u w:val="single"/>
          <w:lang w:val="en-US" w:eastAsia="zh-CN"/>
        </w:rPr>
        <w:t>2026</w:t>
      </w:r>
      <w:r>
        <w:rPr>
          <w:rFonts w:hint="eastAsia"/>
          <w:highlight w:val="none"/>
        </w:rPr>
        <w:t>年</w:t>
      </w:r>
      <w:r>
        <w:rPr>
          <w:rFonts w:hint="eastAsia"/>
          <w:highlight w:val="none"/>
          <w:lang w:val="en-US" w:eastAsia="zh-CN"/>
        </w:rPr>
        <w:t>3</w:t>
      </w:r>
      <w:r>
        <w:rPr>
          <w:rFonts w:hint="eastAsia"/>
          <w:highlight w:val="none"/>
        </w:rPr>
        <w:t>月</w:t>
      </w:r>
      <w:r>
        <w:rPr>
          <w:rFonts w:hint="eastAsia"/>
          <w:highlight w:val="none"/>
          <w:lang w:val="en-US" w:eastAsia="zh-CN"/>
        </w:rPr>
        <w:t>7</w:t>
      </w:r>
      <w:r>
        <w:rPr>
          <w:rFonts w:hint="eastAsia"/>
          <w:highlight w:val="none"/>
        </w:rPr>
        <w:t>日</w:t>
      </w:r>
    </w:p>
    <w:p w14:paraId="04C96706">
      <w:pPr>
        <w:pStyle w:val="76"/>
        <w:rPr>
          <w:highlight w:val="none"/>
        </w:rPr>
      </w:pPr>
    </w:p>
    <w:p w14:paraId="3D820EEC">
      <w:pPr>
        <w:pStyle w:val="71"/>
        <w:rPr>
          <w:highlight w:val="none"/>
        </w:rPr>
      </w:pPr>
      <w:bookmarkStart w:id="6" w:name="_Toc47976595"/>
      <w:bookmarkStart w:id="7" w:name="_Toc7753"/>
      <w:r>
        <w:rPr>
          <w:rFonts w:hint="eastAsia"/>
          <w:highlight w:val="none"/>
        </w:rPr>
        <w:t>第一部分  投标人须知</w:t>
      </w:r>
      <w:bookmarkEnd w:id="6"/>
      <w:bookmarkEnd w:id="7"/>
    </w:p>
    <w:p w14:paraId="418340FC">
      <w:pPr>
        <w:pStyle w:val="72"/>
        <w:numPr>
          <w:ilvl w:val="0"/>
          <w:numId w:val="12"/>
        </w:numPr>
        <w:ind w:left="420"/>
        <w:jc w:val="left"/>
        <w:rPr>
          <w:highlight w:val="none"/>
        </w:rPr>
      </w:pPr>
      <w:bookmarkStart w:id="8" w:name="_Toc47976596"/>
      <w:r>
        <w:rPr>
          <w:rFonts w:hint="eastAsia"/>
          <w:highlight w:val="none"/>
        </w:rPr>
        <w:t>项目介绍</w:t>
      </w:r>
      <w:bookmarkEnd w:id="8"/>
    </w:p>
    <w:p w14:paraId="56A7C4EB">
      <w:pPr>
        <w:pStyle w:val="76"/>
        <w:numPr>
          <w:ilvl w:val="0"/>
          <w:numId w:val="13"/>
        </w:numPr>
        <w:ind w:left="425" w:leftChars="0" w:hanging="425" w:firstLineChars="0"/>
        <w:rPr>
          <w:highlight w:val="none"/>
        </w:rPr>
      </w:pPr>
      <w:bookmarkStart w:id="9" w:name="_Toc47112482"/>
      <w:r>
        <w:rPr>
          <w:rFonts w:hint="eastAsia"/>
          <w:highlight w:val="none"/>
          <w:lang w:val="en-US" w:eastAsia="zh-CN"/>
        </w:rPr>
        <w:t>项目概况：</w:t>
      </w:r>
      <w:r>
        <w:rPr>
          <w:rFonts w:hint="eastAsia"/>
          <w:highlight w:val="none"/>
        </w:rPr>
        <w:t>重汽（济南）车桥有限公司</w:t>
      </w:r>
      <w:r>
        <w:rPr>
          <w:rFonts w:hint="eastAsia"/>
          <w:highlight w:val="none"/>
          <w:lang w:val="en-US" w:eastAsia="zh-CN"/>
        </w:rPr>
        <w:t>产生的废漆渣HW12（900-252-12）和废过滤棉HW49（900-041-49）交由有经营资质的危险废物处置单位进行合规处置。</w:t>
      </w:r>
    </w:p>
    <w:p w14:paraId="151561C8">
      <w:pPr>
        <w:pStyle w:val="76"/>
        <w:numPr>
          <w:ilvl w:val="0"/>
          <w:numId w:val="13"/>
        </w:numPr>
        <w:ind w:left="425" w:leftChars="0" w:hanging="425" w:firstLineChars="0"/>
        <w:rPr>
          <w:rFonts w:hint="default" w:ascii="宋体" w:hAnsi="Courier New" w:eastAsia="宋体" w:cs="Times New Roman"/>
          <w:highlight w:val="none"/>
          <w:lang w:val="en-US" w:eastAsia="zh-CN"/>
        </w:rPr>
      </w:pPr>
      <w:r>
        <w:rPr>
          <w:rFonts w:hint="eastAsia" w:cs="Times New Roman"/>
          <w:highlight w:val="none"/>
          <w:lang w:val="en-US" w:eastAsia="zh-CN"/>
        </w:rPr>
        <w:t>招标内容</w:t>
      </w:r>
      <w:r>
        <w:rPr>
          <w:rFonts w:hint="eastAsia" w:ascii="宋体" w:hAnsi="Courier New" w:eastAsia="宋体" w:cs="Times New Roman"/>
          <w:highlight w:val="none"/>
          <w:lang w:val="en-US" w:eastAsia="zh-CN"/>
        </w:rPr>
        <w:t>具体要求详见《技术标书》。</w:t>
      </w:r>
    </w:p>
    <w:p w14:paraId="10BC6F77">
      <w:pPr>
        <w:pStyle w:val="76"/>
        <w:numPr>
          <w:ilvl w:val="0"/>
          <w:numId w:val="13"/>
        </w:numPr>
        <w:ind w:left="425" w:leftChars="0" w:hanging="425" w:firstLineChars="0"/>
        <w:rPr>
          <w:rFonts w:hint="default" w:cs="Times New Roman"/>
          <w:highlight w:val="none"/>
          <w:u w:val="none"/>
          <w:lang w:val="en-US" w:eastAsia="zh-CN"/>
        </w:rPr>
      </w:pPr>
      <w:r>
        <w:rPr>
          <w:rFonts w:hint="eastAsia"/>
          <w:highlight w:val="none"/>
          <w:lang w:val="en-US" w:eastAsia="zh-CN"/>
        </w:rPr>
        <w:t>报价：</w:t>
      </w:r>
    </w:p>
    <w:p w14:paraId="0E0B46BF">
      <w:pPr>
        <w:pStyle w:val="76"/>
        <w:numPr>
          <w:ilvl w:val="0"/>
          <w:numId w:val="0"/>
        </w:numPr>
        <w:ind w:leftChars="0" w:firstLine="210" w:firstLineChars="100"/>
        <w:rPr>
          <w:rFonts w:hint="default" w:cs="Times New Roman"/>
          <w:highlight w:val="none"/>
          <w:u w:val="none"/>
          <w:lang w:val="en-US" w:eastAsia="zh-CN"/>
        </w:rPr>
      </w:pPr>
      <w:r>
        <w:rPr>
          <w:rFonts w:hint="default" w:cs="Times New Roman"/>
          <w:highlight w:val="none"/>
          <w:u w:val="none"/>
          <w:lang w:val="en-US" w:eastAsia="zh-CN"/>
        </w:rPr>
        <w:t>1.原则上招标人将与中标人签订为期</w:t>
      </w:r>
      <w:r>
        <w:rPr>
          <w:rFonts w:hint="eastAsia" w:cs="Times New Roman"/>
          <w:highlight w:val="none"/>
          <w:u w:val="none"/>
          <w:lang w:val="en-US" w:eastAsia="zh-CN"/>
        </w:rPr>
        <w:t>至2026年结束</w:t>
      </w:r>
      <w:r>
        <w:rPr>
          <w:rFonts w:hint="default" w:cs="Times New Roman"/>
          <w:highlight w:val="none"/>
          <w:u w:val="none"/>
          <w:lang w:val="en-US" w:eastAsia="zh-CN"/>
        </w:rPr>
        <w:t>的危险废物处置协议。鉴于此，投标人应根据招标人提供的开标一览表（见附件）；酌情考虑总体的处置量，本着诚信合作的态度，向招标人提供真实、合理的投标报价。</w:t>
      </w:r>
    </w:p>
    <w:p w14:paraId="5BECBCD0">
      <w:pPr>
        <w:pStyle w:val="76"/>
        <w:numPr>
          <w:ilvl w:val="0"/>
          <w:numId w:val="0"/>
        </w:numPr>
        <w:ind w:leftChars="0" w:firstLine="210" w:firstLineChars="100"/>
        <w:rPr>
          <w:rFonts w:hint="default" w:cs="Times New Roman"/>
          <w:highlight w:val="none"/>
          <w:u w:val="none"/>
          <w:lang w:val="en-US" w:eastAsia="zh-CN"/>
        </w:rPr>
      </w:pPr>
      <w:r>
        <w:rPr>
          <w:rFonts w:hint="default" w:cs="Times New Roman"/>
          <w:highlight w:val="none"/>
          <w:u w:val="none"/>
          <w:lang w:val="en-US" w:eastAsia="zh-CN"/>
        </w:rPr>
        <w:t>2.投标价格含合同签订的危险废物处置过程中所产生的一切费用，包括处置费、运输费及相关服务等所有费用。评标小组有权根据报价情况要求所有投标人进行澄清。</w:t>
      </w:r>
    </w:p>
    <w:p w14:paraId="206F4026">
      <w:pPr>
        <w:pStyle w:val="76"/>
        <w:numPr>
          <w:ilvl w:val="0"/>
          <w:numId w:val="0"/>
        </w:numPr>
        <w:ind w:leftChars="0" w:firstLine="210" w:firstLineChars="100"/>
        <w:rPr>
          <w:rFonts w:hint="default" w:cs="Times New Roman"/>
          <w:highlight w:val="none"/>
          <w:u w:val="none"/>
          <w:lang w:val="en-US" w:eastAsia="zh-CN"/>
        </w:rPr>
      </w:pPr>
      <w:r>
        <w:rPr>
          <w:rFonts w:hint="default" w:cs="Times New Roman"/>
          <w:highlight w:val="none"/>
          <w:u w:val="none"/>
          <w:lang w:val="en-US" w:eastAsia="zh-CN"/>
        </w:rPr>
        <w:t>3.所有报价货币单位为：元（人民币,包括含税价、不含税价及税率）。</w:t>
      </w:r>
    </w:p>
    <w:bookmarkEnd w:id="9"/>
    <w:p w14:paraId="50DC6C75">
      <w:pPr>
        <w:pStyle w:val="72"/>
        <w:rPr>
          <w:highlight w:val="none"/>
        </w:rPr>
      </w:pPr>
      <w:bookmarkStart w:id="10" w:name="_Toc47976598"/>
      <w:r>
        <w:rPr>
          <w:rFonts w:hint="eastAsia"/>
          <w:highlight w:val="none"/>
        </w:rPr>
        <w:t>合格的投标人。</w:t>
      </w:r>
      <w:bookmarkEnd w:id="10"/>
    </w:p>
    <w:p w14:paraId="0A443062">
      <w:pPr>
        <w:pStyle w:val="72"/>
        <w:numPr>
          <w:ilvl w:val="0"/>
          <w:numId w:val="0"/>
        </w:numPr>
        <w:ind w:leftChars="0"/>
        <w:rPr>
          <w:rFonts w:hint="eastAsia" w:ascii="宋体" w:hAnsi="宋体" w:eastAsia="宋体" w:cs="宋体"/>
          <w:sz w:val="21"/>
          <w:szCs w:val="21"/>
          <w:highlight w:val="none"/>
        </w:rPr>
      </w:pPr>
      <w:r>
        <w:rPr>
          <w:rFonts w:hint="eastAsia" w:ascii="宋体" w:hAnsi="宋体" w:eastAsia="宋体" w:cs="宋体"/>
          <w:sz w:val="21"/>
          <w:szCs w:val="21"/>
          <w:highlight w:val="none"/>
        </w:rPr>
        <w:t>1、投标人须遵守《中华人民共和国招标投标法》、《中华人民共和国民法典》及其它有关的法律和法规，为中华人民共和国境内注册的独立法人机构，具有独立承担民事责任能力；</w:t>
      </w:r>
    </w:p>
    <w:p w14:paraId="24C47BC5">
      <w:pPr>
        <w:pStyle w:val="72"/>
        <w:numPr>
          <w:ilvl w:val="0"/>
          <w:numId w:val="0"/>
        </w:numPr>
        <w:ind w:leftChars="0"/>
        <w:rPr>
          <w:rFonts w:hint="eastAsia" w:ascii="宋体" w:hAnsi="宋体" w:eastAsia="宋体" w:cs="宋体"/>
          <w:sz w:val="21"/>
          <w:szCs w:val="21"/>
          <w:highlight w:val="none"/>
        </w:rPr>
      </w:pPr>
      <w:r>
        <w:rPr>
          <w:rFonts w:hint="eastAsia" w:ascii="宋体" w:hAnsi="宋体" w:eastAsia="宋体" w:cs="宋体"/>
          <w:sz w:val="21"/>
          <w:szCs w:val="21"/>
          <w:highlight w:val="none"/>
        </w:rPr>
        <w:t>2、持有当地生态环境局(厅)核发的正式危险废物经营许可证（增项、变更、换证除外），且危险废物经营许可证有效期涵盖整个合同期（含2026年危险废物经营许可证到期更换情况）；</w:t>
      </w:r>
    </w:p>
    <w:p w14:paraId="4076CC4A">
      <w:pPr>
        <w:pStyle w:val="72"/>
        <w:numPr>
          <w:ilvl w:val="0"/>
          <w:numId w:val="0"/>
        </w:numPr>
        <w:ind w:leftChars="0"/>
        <w:rPr>
          <w:rFonts w:hint="eastAsia" w:ascii="宋体" w:hAnsi="宋体" w:eastAsia="宋体" w:cs="宋体"/>
          <w:sz w:val="21"/>
          <w:szCs w:val="21"/>
          <w:highlight w:val="none"/>
        </w:rPr>
      </w:pPr>
      <w:r>
        <w:rPr>
          <w:rFonts w:hint="eastAsia" w:ascii="宋体" w:hAnsi="宋体" w:eastAsia="宋体" w:cs="宋体"/>
          <w:sz w:val="21"/>
          <w:szCs w:val="21"/>
          <w:highlight w:val="none"/>
        </w:rPr>
        <w:t>3、公司成立且取得相应资质两年及以上（以生态环境部门颁发危险废物许可证或生态环境部门批复准予经营的文件为准），以初次发证日期为准；注册资金不少于</w:t>
      </w:r>
      <w:r>
        <w:rPr>
          <w:rFonts w:hint="eastAsia" w:ascii="宋体" w:hAnsi="宋体" w:eastAsia="宋体" w:cs="宋体"/>
          <w:sz w:val="21"/>
          <w:szCs w:val="21"/>
          <w:highlight w:val="none"/>
          <w:lang w:val="en-US" w:eastAsia="zh-CN"/>
        </w:rPr>
        <w:t>1000</w:t>
      </w:r>
      <w:r>
        <w:rPr>
          <w:rFonts w:hint="eastAsia" w:ascii="宋体" w:hAnsi="宋体" w:eastAsia="宋体" w:cs="宋体"/>
          <w:sz w:val="21"/>
          <w:szCs w:val="21"/>
          <w:highlight w:val="none"/>
        </w:rPr>
        <w:t>万元人民币；经营范围满足招标项目需求，并在人员、设备、资金等方面具有承担本项目的能力；</w:t>
      </w:r>
    </w:p>
    <w:p w14:paraId="60967FE1">
      <w:pPr>
        <w:pStyle w:val="72"/>
        <w:numPr>
          <w:ilvl w:val="0"/>
          <w:numId w:val="0"/>
        </w:numPr>
        <w:ind w:leftChars="0"/>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4、投标人具有良好的商业信誉，未被列入过经营异常名录和未曾列入严重违法失信企业名单，未曾有过行政处罚及环境违法；如不如实告知, 一经查实一票否决。在“国家企业信用信息公示系统”、“中国执行信息公开网”、“信用中国”、“天眼查”“裁判文书网”等信息平台中，无行政处罚、失信记录及未被列入过经营异常名录等信息；无招标违规、谎报年度报告信息、提供虚假资质资料等行为或其他行政处罚记录； </w:t>
      </w:r>
    </w:p>
    <w:p w14:paraId="5BB9BDBA">
      <w:pPr>
        <w:pStyle w:val="72"/>
        <w:numPr>
          <w:ilvl w:val="0"/>
          <w:numId w:val="0"/>
        </w:numPr>
        <w:ind w:leftChars="0"/>
        <w:rPr>
          <w:rFonts w:hint="eastAsia" w:ascii="宋体" w:hAnsi="宋体" w:eastAsia="宋体" w:cs="宋体"/>
          <w:sz w:val="21"/>
          <w:szCs w:val="21"/>
          <w:highlight w:val="none"/>
        </w:rPr>
      </w:pPr>
      <w:r>
        <w:rPr>
          <w:rFonts w:hint="eastAsia" w:ascii="宋体" w:hAnsi="宋体" w:eastAsia="宋体" w:cs="宋体"/>
          <w:sz w:val="21"/>
          <w:szCs w:val="21"/>
          <w:highlight w:val="none"/>
        </w:rPr>
        <w:t>5.具有健全的财务会计制度，有依法缴纳税收和社会保障资金的良好记录，需提供真实的有效期内的质量、环境与职业健康等管理体系认证证书；</w:t>
      </w:r>
    </w:p>
    <w:p w14:paraId="00919964">
      <w:pPr>
        <w:pStyle w:val="72"/>
        <w:numPr>
          <w:ilvl w:val="0"/>
          <w:numId w:val="0"/>
        </w:numPr>
        <w:ind w:leftChars="0"/>
        <w:rPr>
          <w:rFonts w:hint="eastAsia" w:ascii="宋体" w:hAnsi="宋体" w:eastAsia="宋体" w:cs="宋体"/>
          <w:sz w:val="21"/>
          <w:szCs w:val="21"/>
          <w:highlight w:val="none"/>
        </w:rPr>
      </w:pPr>
      <w:r>
        <w:rPr>
          <w:rFonts w:hint="eastAsia" w:ascii="宋体" w:hAnsi="宋体" w:eastAsia="宋体" w:cs="宋体"/>
          <w:sz w:val="21"/>
          <w:szCs w:val="21"/>
          <w:highlight w:val="none"/>
        </w:rPr>
        <w:t>6.在危险废物处置场地、人员、设备、资金、服务、处置范围和能力方面，具备承担本项目的能力；</w:t>
      </w:r>
    </w:p>
    <w:p w14:paraId="6BFE9BCB">
      <w:pPr>
        <w:pStyle w:val="72"/>
        <w:numPr>
          <w:ilvl w:val="0"/>
          <w:numId w:val="0"/>
        </w:numPr>
        <w:ind w:leftChars="0"/>
        <w:rPr>
          <w:rFonts w:hint="eastAsia" w:ascii="宋体" w:hAnsi="宋体" w:eastAsia="宋体" w:cs="宋体"/>
          <w:sz w:val="21"/>
          <w:szCs w:val="21"/>
          <w:highlight w:val="none"/>
        </w:rPr>
      </w:pPr>
      <w:r>
        <w:rPr>
          <w:rFonts w:hint="eastAsia" w:ascii="宋体" w:hAnsi="宋体" w:eastAsia="宋体" w:cs="宋体"/>
          <w:sz w:val="21"/>
          <w:szCs w:val="21"/>
          <w:highlight w:val="none"/>
        </w:rPr>
        <w:t>7.近三年内未发生过安全生产事故；且在近三年内的经营活动中经营业绩良好并且没有违法违纪行为；投标人没有被列入招标人《黑名单》（《黑名单》指投标人与招标人在以往或正在进行的合作中，存在招标人认为的违反合同约定或违反法律法规等的失信行为）的；</w:t>
      </w:r>
    </w:p>
    <w:p w14:paraId="51372B8A">
      <w:pPr>
        <w:pStyle w:val="72"/>
        <w:numPr>
          <w:ilvl w:val="0"/>
          <w:numId w:val="0"/>
        </w:numPr>
        <w:ind w:leftChars="0"/>
        <w:rPr>
          <w:rFonts w:hint="eastAsia" w:ascii="宋体" w:hAnsi="宋体" w:eastAsia="宋体" w:cs="宋体"/>
          <w:sz w:val="21"/>
          <w:szCs w:val="21"/>
          <w:highlight w:val="none"/>
        </w:rPr>
      </w:pPr>
      <w:r>
        <w:rPr>
          <w:rFonts w:hint="eastAsia" w:ascii="宋体" w:hAnsi="宋体" w:eastAsia="宋体" w:cs="宋体"/>
          <w:sz w:val="21"/>
          <w:szCs w:val="21"/>
          <w:highlight w:val="none"/>
        </w:rPr>
        <w:t>8.制定环境保护、道路交通运输事故应急预案，并开展演练（投标人须提供应急预案及演练报告复印件）；</w:t>
      </w:r>
    </w:p>
    <w:p w14:paraId="3CE8BE94">
      <w:pPr>
        <w:pStyle w:val="72"/>
        <w:numPr>
          <w:ilvl w:val="0"/>
          <w:numId w:val="0"/>
        </w:numPr>
        <w:ind w:leftChars="0"/>
        <w:rPr>
          <w:rFonts w:hint="eastAsia" w:ascii="宋体" w:hAnsi="宋体" w:eastAsia="宋体" w:cs="宋体"/>
          <w:sz w:val="21"/>
          <w:szCs w:val="21"/>
          <w:highlight w:val="none"/>
        </w:rPr>
      </w:pPr>
      <w:r>
        <w:rPr>
          <w:rFonts w:hint="eastAsia" w:ascii="宋体" w:hAnsi="宋体" w:eastAsia="宋体" w:cs="宋体"/>
          <w:sz w:val="21"/>
          <w:szCs w:val="21"/>
          <w:highlight w:val="none"/>
        </w:rPr>
        <w:t>9.投标人必须是最终中标并签订合同的单位，不得以任何理由将已中标项目以任何形式转包给其他单位；</w:t>
      </w:r>
    </w:p>
    <w:p w14:paraId="15F34078">
      <w:pPr>
        <w:pStyle w:val="72"/>
        <w:numPr>
          <w:ilvl w:val="0"/>
          <w:numId w:val="0"/>
        </w:numPr>
        <w:ind w:leftChars="0"/>
        <w:rPr>
          <w:rFonts w:hint="eastAsia" w:ascii="宋体" w:hAnsi="宋体" w:eastAsia="宋体" w:cs="宋体"/>
          <w:sz w:val="21"/>
          <w:szCs w:val="21"/>
          <w:highlight w:val="none"/>
        </w:rPr>
      </w:pPr>
      <w:r>
        <w:rPr>
          <w:rFonts w:hint="eastAsia" w:ascii="宋体" w:hAnsi="宋体" w:eastAsia="宋体" w:cs="宋体"/>
          <w:sz w:val="21"/>
          <w:szCs w:val="21"/>
          <w:highlight w:val="none"/>
        </w:rPr>
        <w:t>10.本次招标项目不接受联合体投标。</w:t>
      </w:r>
    </w:p>
    <w:p w14:paraId="31CA8C38">
      <w:pPr>
        <w:pStyle w:val="72"/>
        <w:rPr>
          <w:rFonts w:hint="eastAsia" w:hAnsi="Courier New" w:cs="Times New Roman"/>
          <w:highlight w:val="none"/>
        </w:rPr>
      </w:pPr>
      <w:r>
        <w:rPr>
          <w:rFonts w:hint="eastAsia" w:hAnsi="Courier New" w:cs="Times New Roman"/>
          <w:highlight w:val="none"/>
        </w:rPr>
        <w:t>招标文件的</w:t>
      </w:r>
      <w:r>
        <w:rPr>
          <w:rFonts w:hint="eastAsia" w:hAnsi="Courier New" w:cs="Times New Roman"/>
          <w:highlight w:val="none"/>
          <w:lang w:val="en-US" w:eastAsia="zh-CN"/>
        </w:rPr>
        <w:t>领取、</w:t>
      </w:r>
      <w:r>
        <w:rPr>
          <w:rFonts w:hint="eastAsia" w:hAnsi="Courier New" w:cs="Times New Roman"/>
          <w:highlight w:val="none"/>
        </w:rPr>
        <w:t>答疑、</w:t>
      </w:r>
      <w:r>
        <w:rPr>
          <w:rFonts w:hint="eastAsia" w:hAnsi="Courier New" w:cs="Times New Roman"/>
          <w:highlight w:val="none"/>
          <w:lang w:val="en-US" w:eastAsia="zh-CN"/>
        </w:rPr>
        <w:t>应标</w:t>
      </w:r>
      <w:r>
        <w:rPr>
          <w:rFonts w:hint="eastAsia" w:hAnsi="Courier New" w:cs="Times New Roman"/>
          <w:highlight w:val="none"/>
        </w:rPr>
        <w:t>及投标报名</w:t>
      </w:r>
    </w:p>
    <w:p w14:paraId="50E89FE8">
      <w:pPr>
        <w:pStyle w:val="76"/>
        <w:numPr>
          <w:ilvl w:val="0"/>
          <w:numId w:val="14"/>
        </w:numPr>
        <w:ind w:left="425" w:leftChars="0" w:hanging="425" w:firstLineChars="0"/>
        <w:jc w:val="both"/>
        <w:rPr>
          <w:rFonts w:hint="eastAsia" w:ascii="宋体" w:hAnsi="Courier New" w:eastAsia="宋体" w:cs="Times New Roman"/>
          <w:highlight w:val="none"/>
          <w:lang w:val="en-US" w:eastAsia="zh-CN"/>
        </w:rPr>
      </w:pPr>
      <w:r>
        <w:rPr>
          <w:rFonts w:hint="eastAsia" w:ascii="宋体" w:hAnsi="Courier New" w:eastAsia="宋体" w:cs="Times New Roman"/>
          <w:highlight w:val="none"/>
          <w:lang w:val="en-US" w:eastAsia="zh-CN"/>
        </w:rPr>
        <w:t>发标时间：</w:t>
      </w:r>
      <w:r>
        <w:rPr>
          <w:rFonts w:hint="eastAsia" w:cs="Times New Roman"/>
          <w:highlight w:val="none"/>
          <w:lang w:val="en-US" w:eastAsia="zh-CN"/>
        </w:rPr>
        <w:t>2026</w:t>
      </w:r>
      <w:r>
        <w:rPr>
          <w:rFonts w:hint="eastAsia" w:ascii="宋体" w:hAnsi="Courier New" w:eastAsia="宋体" w:cs="Times New Roman"/>
          <w:highlight w:val="none"/>
          <w:lang w:val="en-US" w:eastAsia="zh-CN"/>
        </w:rPr>
        <w:t>年</w:t>
      </w:r>
      <w:r>
        <w:rPr>
          <w:rFonts w:hint="eastAsia" w:cs="Times New Roman"/>
          <w:highlight w:val="none"/>
          <w:lang w:val="en-US" w:eastAsia="zh-CN"/>
        </w:rPr>
        <w:t>3</w:t>
      </w:r>
      <w:r>
        <w:rPr>
          <w:rFonts w:hint="eastAsia" w:ascii="宋体" w:hAnsi="Courier New" w:eastAsia="宋体" w:cs="Times New Roman"/>
          <w:highlight w:val="none"/>
          <w:lang w:val="en-US" w:eastAsia="zh-CN"/>
        </w:rPr>
        <w:t>月</w:t>
      </w:r>
      <w:r>
        <w:rPr>
          <w:rFonts w:hint="eastAsia" w:cs="Times New Roman"/>
          <w:highlight w:val="none"/>
          <w:lang w:val="en-US" w:eastAsia="zh-CN"/>
        </w:rPr>
        <w:t>14</w:t>
      </w:r>
      <w:r>
        <w:rPr>
          <w:rFonts w:hint="eastAsia" w:ascii="宋体" w:hAnsi="Courier New" w:eastAsia="宋体" w:cs="Times New Roman"/>
          <w:highlight w:val="none"/>
          <w:lang w:val="en-US" w:eastAsia="zh-CN"/>
        </w:rPr>
        <w:t>日</w:t>
      </w:r>
    </w:p>
    <w:p w14:paraId="39B4A55D">
      <w:pPr>
        <w:pStyle w:val="76"/>
        <w:numPr>
          <w:ilvl w:val="0"/>
          <w:numId w:val="14"/>
        </w:numPr>
        <w:jc w:val="both"/>
        <w:rPr>
          <w:highlight w:val="none"/>
        </w:rPr>
      </w:pPr>
      <w:r>
        <w:rPr>
          <w:rFonts w:hint="eastAsia"/>
          <w:highlight w:val="none"/>
        </w:rPr>
        <w:t>招标文件领取方式：线上</w:t>
      </w:r>
    </w:p>
    <w:p w14:paraId="341AF0FF">
      <w:pPr>
        <w:pStyle w:val="76"/>
        <w:ind w:firstLine="210" w:firstLineChars="100"/>
        <w:jc w:val="both"/>
        <w:rPr>
          <w:highlight w:val="none"/>
        </w:rPr>
      </w:pPr>
      <w:r>
        <w:rPr>
          <w:rFonts w:hint="eastAsia"/>
          <w:highlight w:val="none"/>
        </w:rPr>
        <w:t>地点：中国重汽e采通平台</w:t>
      </w:r>
    </w:p>
    <w:p w14:paraId="7B36AD99">
      <w:pPr>
        <w:pStyle w:val="76"/>
        <w:ind w:firstLine="210" w:firstLineChars="100"/>
        <w:jc w:val="both"/>
        <w:rPr>
          <w:highlight w:val="none"/>
        </w:rPr>
      </w:pPr>
      <w:r>
        <w:rPr>
          <w:rFonts w:hint="eastAsia"/>
          <w:highlight w:val="none"/>
        </w:rPr>
        <w:t>领取截止时间：</w:t>
      </w:r>
      <w:r>
        <w:rPr>
          <w:rFonts w:hint="eastAsia"/>
          <w:highlight w:val="none"/>
          <w:lang w:val="en-US" w:eastAsia="zh-CN"/>
        </w:rPr>
        <w:t>2026</w:t>
      </w:r>
      <w:r>
        <w:rPr>
          <w:rFonts w:hint="eastAsia"/>
          <w:highlight w:val="none"/>
        </w:rPr>
        <w:t>年</w:t>
      </w:r>
      <w:r>
        <w:rPr>
          <w:rFonts w:hint="eastAsia"/>
          <w:highlight w:val="none"/>
          <w:lang w:val="en-US" w:eastAsia="zh-CN"/>
        </w:rPr>
        <w:t>3</w:t>
      </w:r>
      <w:r>
        <w:rPr>
          <w:rFonts w:hint="eastAsia"/>
          <w:highlight w:val="none"/>
        </w:rPr>
        <w:t>月</w:t>
      </w:r>
      <w:r>
        <w:rPr>
          <w:rFonts w:hint="eastAsia"/>
          <w:highlight w:val="none"/>
          <w:lang w:val="en-US" w:eastAsia="zh-CN"/>
        </w:rPr>
        <w:t>20</w:t>
      </w:r>
      <w:r>
        <w:rPr>
          <w:rFonts w:hint="eastAsia"/>
          <w:highlight w:val="none"/>
        </w:rPr>
        <w:t>日</w:t>
      </w:r>
    </w:p>
    <w:p w14:paraId="40FAA4B7">
      <w:pPr>
        <w:pStyle w:val="76"/>
        <w:numPr>
          <w:ilvl w:val="0"/>
          <w:numId w:val="14"/>
        </w:numPr>
        <w:ind w:left="425" w:leftChars="0" w:hanging="425" w:firstLineChars="0"/>
        <w:jc w:val="both"/>
        <w:rPr>
          <w:rFonts w:hint="eastAsia" w:ascii="宋体" w:hAnsi="Courier New" w:eastAsia="宋体" w:cs="Times New Roman"/>
          <w:color w:val="FF0000"/>
          <w:highlight w:val="none"/>
          <w:lang w:val="en-US" w:eastAsia="zh-CN"/>
        </w:rPr>
      </w:pPr>
      <w:r>
        <w:rPr>
          <w:rFonts w:hint="eastAsia"/>
          <w:color w:val="FF0000"/>
          <w:highlight w:val="none"/>
        </w:rPr>
        <w:t>答疑时间：</w:t>
      </w:r>
      <w:r>
        <w:rPr>
          <w:rFonts w:hint="eastAsia"/>
          <w:color w:val="FF0000"/>
          <w:highlight w:val="none"/>
          <w:lang w:val="en-US" w:eastAsia="zh-CN"/>
        </w:rPr>
        <w:t>2026</w:t>
      </w:r>
      <w:r>
        <w:rPr>
          <w:rFonts w:hint="eastAsia"/>
          <w:color w:val="FF0000"/>
          <w:highlight w:val="none"/>
        </w:rPr>
        <w:t>年</w:t>
      </w:r>
      <w:r>
        <w:rPr>
          <w:rFonts w:hint="eastAsia"/>
          <w:color w:val="FF0000"/>
          <w:highlight w:val="none"/>
          <w:lang w:val="en-US" w:eastAsia="zh-CN"/>
        </w:rPr>
        <w:t>3</w:t>
      </w:r>
      <w:r>
        <w:rPr>
          <w:rFonts w:hint="eastAsia"/>
          <w:color w:val="FF0000"/>
          <w:highlight w:val="none"/>
        </w:rPr>
        <w:t>月</w:t>
      </w:r>
      <w:r>
        <w:rPr>
          <w:rFonts w:hint="eastAsia"/>
          <w:color w:val="FF0000"/>
          <w:highlight w:val="none"/>
          <w:lang w:val="en-US" w:eastAsia="zh-CN"/>
        </w:rPr>
        <w:t>20</w:t>
      </w:r>
      <w:r>
        <w:rPr>
          <w:rFonts w:hint="eastAsia"/>
          <w:color w:val="FF0000"/>
          <w:highlight w:val="none"/>
        </w:rPr>
        <w:t>日</w:t>
      </w:r>
      <w:r>
        <w:rPr>
          <w:rFonts w:hint="eastAsia" w:hAnsi="宋体" w:cs="宋体"/>
          <w:bCs/>
          <w:color w:val="FF0000"/>
          <w:szCs w:val="21"/>
          <w:highlight w:val="none"/>
          <w:lang w:val="en-US" w:eastAsia="zh-CN"/>
        </w:rPr>
        <w:t>14</w:t>
      </w:r>
      <w:r>
        <w:rPr>
          <w:rFonts w:hint="eastAsia" w:hAnsi="宋体" w:cs="宋体"/>
          <w:bCs/>
          <w:color w:val="FF0000"/>
          <w:szCs w:val="21"/>
          <w:highlight w:val="none"/>
        </w:rPr>
        <w:t>:00:00</w:t>
      </w:r>
      <w:r>
        <w:rPr>
          <w:rFonts w:hint="eastAsia"/>
          <w:color w:val="FF0000"/>
          <w:highlight w:val="none"/>
        </w:rPr>
        <w:t>前</w:t>
      </w:r>
    </w:p>
    <w:p w14:paraId="03B57AB4">
      <w:pPr>
        <w:pStyle w:val="76"/>
        <w:keepNext w:val="0"/>
        <w:keepLines w:val="0"/>
        <w:pageBreakBefore w:val="0"/>
        <w:widowControl w:val="0"/>
        <w:numPr>
          <w:ilvl w:val="0"/>
          <w:numId w:val="14"/>
        </w:numPr>
        <w:kinsoku/>
        <w:wordWrap/>
        <w:overflowPunct/>
        <w:topLinePunct w:val="0"/>
        <w:autoSpaceDE/>
        <w:autoSpaceDN/>
        <w:bidi w:val="0"/>
        <w:adjustRightInd/>
        <w:snapToGrid/>
        <w:ind w:left="0" w:leftChars="0" w:firstLine="0" w:firstLineChars="0"/>
        <w:jc w:val="both"/>
        <w:textAlignment w:val="auto"/>
        <w:rPr>
          <w:rFonts w:hint="eastAsia" w:cs="Times New Roman"/>
          <w:highlight w:val="none"/>
          <w:lang w:val="en-US" w:eastAsia="zh-CN"/>
        </w:rPr>
      </w:pPr>
      <w:r>
        <w:rPr>
          <w:rFonts w:hint="eastAsia" w:cs="Times New Roman"/>
          <w:highlight w:val="none"/>
          <w:lang w:val="en-US" w:eastAsia="zh-CN"/>
        </w:rPr>
        <w:t>提交疑问</w:t>
      </w:r>
      <w:r>
        <w:rPr>
          <w:rFonts w:hint="eastAsia" w:ascii="宋体" w:hAnsi="Courier New" w:eastAsia="宋体" w:cs="Times New Roman"/>
          <w:highlight w:val="none"/>
          <w:lang w:val="en-US" w:eastAsia="zh-CN"/>
        </w:rPr>
        <w:t>方式</w:t>
      </w:r>
      <w:r>
        <w:rPr>
          <w:rFonts w:hint="eastAsia" w:cs="Times New Roman"/>
          <w:highlight w:val="none"/>
          <w:lang w:val="en-US" w:eastAsia="zh-CN"/>
        </w:rPr>
        <w:t>：将答疑问题以word文件格式发送至联系人邮件内，并电话联系工作人员查收，</w:t>
      </w:r>
      <w:r>
        <w:rPr>
          <w:rFonts w:hint="eastAsia" w:cs="Times New Roman"/>
          <w:b/>
          <w:bCs/>
          <w:highlight w:val="none"/>
          <w:lang w:val="en-US" w:eastAsia="zh-CN"/>
        </w:rPr>
        <w:t>邮件名格式为：XXX公司（五个字以内公司简称）XX项目答疑文件。同时必须在邮件中以文字方式提供投标人全称、投标授权人姓名、联系方式（固定电话、手机、电子邮箱），并提供附件2法定代表人授权委托书。</w:t>
      </w:r>
    </w:p>
    <w:p w14:paraId="5A0E4F2B">
      <w:pPr>
        <w:pStyle w:val="76"/>
        <w:numPr>
          <w:ilvl w:val="0"/>
          <w:numId w:val="14"/>
        </w:numPr>
        <w:ind w:left="425" w:leftChars="0" w:hanging="425" w:firstLineChars="0"/>
        <w:jc w:val="both"/>
        <w:rPr>
          <w:rFonts w:hint="eastAsia" w:ascii="宋体" w:hAnsi="Courier New" w:eastAsia="宋体" w:cs="Times New Roman"/>
          <w:highlight w:val="none"/>
          <w:lang w:val="en-US" w:eastAsia="zh-CN"/>
        </w:rPr>
      </w:pPr>
      <w:r>
        <w:rPr>
          <w:rFonts w:hint="eastAsia" w:ascii="宋体" w:hAnsi="Courier New" w:eastAsia="宋体" w:cs="Times New Roman"/>
          <w:highlight w:val="none"/>
          <w:lang w:val="en-US" w:eastAsia="zh-CN"/>
        </w:rPr>
        <w:t>领取答疑、澄清和修改文件时间：</w:t>
      </w:r>
      <w:r>
        <w:rPr>
          <w:rFonts w:hint="eastAsia"/>
          <w:highlight w:val="none"/>
          <w:lang w:val="en-US" w:eastAsia="zh-CN"/>
        </w:rPr>
        <w:t>2026</w:t>
      </w:r>
      <w:r>
        <w:rPr>
          <w:rFonts w:hint="eastAsia"/>
          <w:highlight w:val="none"/>
        </w:rPr>
        <w:t>年</w:t>
      </w:r>
      <w:r>
        <w:rPr>
          <w:rFonts w:hint="eastAsia"/>
          <w:highlight w:val="none"/>
          <w:lang w:val="en-US" w:eastAsia="zh-CN"/>
        </w:rPr>
        <w:t>3</w:t>
      </w:r>
      <w:r>
        <w:rPr>
          <w:rFonts w:hint="eastAsia"/>
          <w:highlight w:val="none"/>
        </w:rPr>
        <w:t>月</w:t>
      </w:r>
      <w:r>
        <w:rPr>
          <w:rFonts w:hint="eastAsia"/>
          <w:highlight w:val="none"/>
          <w:lang w:val="en-US" w:eastAsia="zh-CN"/>
        </w:rPr>
        <w:t>20</w:t>
      </w:r>
      <w:r>
        <w:rPr>
          <w:rFonts w:hint="eastAsia"/>
          <w:highlight w:val="none"/>
        </w:rPr>
        <w:t>日</w:t>
      </w:r>
      <w:r>
        <w:rPr>
          <w:rFonts w:hint="eastAsia" w:hAnsi="宋体" w:cs="宋体"/>
          <w:bCs/>
          <w:szCs w:val="21"/>
          <w:highlight w:val="none"/>
        </w:rPr>
        <w:t>1</w:t>
      </w:r>
      <w:r>
        <w:rPr>
          <w:rFonts w:hint="eastAsia" w:hAnsi="宋体" w:cs="宋体"/>
          <w:bCs/>
          <w:szCs w:val="21"/>
          <w:highlight w:val="none"/>
          <w:lang w:val="en-US" w:eastAsia="zh-CN"/>
        </w:rPr>
        <w:t>4</w:t>
      </w:r>
      <w:r>
        <w:rPr>
          <w:rFonts w:hint="eastAsia" w:hAnsi="宋体" w:cs="宋体"/>
          <w:bCs/>
          <w:szCs w:val="21"/>
          <w:highlight w:val="none"/>
        </w:rPr>
        <w:t>:00:00</w:t>
      </w:r>
      <w:r>
        <w:rPr>
          <w:rFonts w:hint="eastAsia"/>
          <w:highlight w:val="none"/>
        </w:rPr>
        <w:t>前：</w:t>
      </w:r>
    </w:p>
    <w:p w14:paraId="56BA0758">
      <w:pPr>
        <w:pStyle w:val="76"/>
        <w:keepNext w:val="0"/>
        <w:keepLines w:val="0"/>
        <w:pageBreakBefore w:val="0"/>
        <w:widowControl w:val="0"/>
        <w:numPr>
          <w:ilvl w:val="0"/>
          <w:numId w:val="14"/>
        </w:numPr>
        <w:kinsoku/>
        <w:wordWrap/>
        <w:overflowPunct/>
        <w:topLinePunct w:val="0"/>
        <w:autoSpaceDE/>
        <w:autoSpaceDN/>
        <w:bidi w:val="0"/>
        <w:adjustRightInd/>
        <w:snapToGrid/>
        <w:ind w:left="0" w:leftChars="0" w:firstLine="0" w:firstLineChars="0"/>
        <w:jc w:val="both"/>
        <w:textAlignment w:val="auto"/>
        <w:rPr>
          <w:rFonts w:hint="eastAsia" w:ascii="宋体" w:hAnsi="Courier New" w:eastAsia="宋体" w:cs="Times New Roman"/>
          <w:highlight w:val="none"/>
          <w:lang w:val="en-US" w:eastAsia="zh-CN"/>
        </w:rPr>
      </w:pPr>
      <w:r>
        <w:rPr>
          <w:rFonts w:hint="eastAsia" w:ascii="宋体" w:hAnsi="Courier New" w:eastAsia="宋体" w:cs="Times New Roman"/>
          <w:highlight w:val="none"/>
          <w:lang w:val="en-US" w:eastAsia="zh-CN"/>
        </w:rPr>
        <w:t>答疑、澄清和修改文件方式：招标人将以电子邮件的方式将招标文件的答疑澄清文件发送至答疑文件提交时登记的电子邮箱。</w:t>
      </w:r>
    </w:p>
    <w:p w14:paraId="0418F5CA">
      <w:pPr>
        <w:pStyle w:val="76"/>
        <w:numPr>
          <w:ilvl w:val="0"/>
          <w:numId w:val="14"/>
        </w:numPr>
        <w:jc w:val="both"/>
        <w:rPr>
          <w:highlight w:val="none"/>
        </w:rPr>
      </w:pPr>
      <w:r>
        <w:rPr>
          <w:rFonts w:hint="eastAsia"/>
          <w:highlight w:val="none"/>
        </w:rPr>
        <w:t>报名方式：在“中国重汽e采通”平台报名</w:t>
      </w:r>
    </w:p>
    <w:p w14:paraId="72AB6313">
      <w:pPr>
        <w:pStyle w:val="76"/>
        <w:numPr>
          <w:ilvl w:val="0"/>
          <w:numId w:val="14"/>
        </w:numPr>
        <w:ind w:left="425" w:leftChars="0" w:hanging="425" w:firstLineChars="0"/>
        <w:jc w:val="both"/>
        <w:rPr>
          <w:rFonts w:hint="eastAsia" w:ascii="宋体" w:hAnsi="Courier New" w:eastAsia="宋体" w:cs="Times New Roman"/>
          <w:b/>
          <w:bCs/>
          <w:color w:val="FF0000"/>
          <w:highlight w:val="none"/>
          <w:lang w:val="en-US" w:eastAsia="zh-CN"/>
        </w:rPr>
      </w:pPr>
      <w:r>
        <w:rPr>
          <w:rFonts w:hint="eastAsia"/>
          <w:b/>
          <w:bCs/>
          <w:color w:val="FF0000"/>
          <w:highlight w:val="none"/>
        </w:rPr>
        <w:t>应标截止时间：</w:t>
      </w:r>
      <w:r>
        <w:rPr>
          <w:rFonts w:hint="eastAsia"/>
          <w:b/>
          <w:bCs/>
          <w:color w:val="FF0000"/>
          <w:highlight w:val="none"/>
          <w:lang w:val="en-US" w:eastAsia="zh-CN"/>
        </w:rPr>
        <w:t>2026年3月20日14:00:00前</w:t>
      </w:r>
    </w:p>
    <w:p w14:paraId="0C785EC5">
      <w:pPr>
        <w:pStyle w:val="72"/>
        <w:rPr>
          <w:rFonts w:hint="eastAsia" w:ascii="宋体" w:hAnsi="Courier New" w:eastAsia="宋体" w:cs="Times New Roman"/>
          <w:highlight w:val="none"/>
          <w:lang w:val="en-US" w:eastAsia="zh-CN"/>
        </w:rPr>
      </w:pPr>
      <w:r>
        <w:rPr>
          <w:rFonts w:hint="eastAsia" w:hAnsi="Courier New" w:cs="Times New Roman"/>
          <w:highlight w:val="none"/>
        </w:rPr>
        <w:t>投标文件</w:t>
      </w:r>
      <w:r>
        <w:rPr>
          <w:rFonts w:hint="eastAsia" w:cs="Times New Roman"/>
          <w:highlight w:val="none"/>
          <w:lang w:val="en-US" w:eastAsia="zh-CN"/>
        </w:rPr>
        <w:t>编制</w:t>
      </w:r>
    </w:p>
    <w:p w14:paraId="59493963">
      <w:pPr>
        <w:pStyle w:val="73"/>
        <w:keepNext w:val="0"/>
        <w:keepLines w:val="0"/>
        <w:pageBreakBefore w:val="0"/>
        <w:widowControl w:val="0"/>
        <w:numPr>
          <w:ilvl w:val="0"/>
          <w:numId w:val="15"/>
        </w:numPr>
        <w:kinsoku/>
        <w:wordWrap/>
        <w:overflowPunct/>
        <w:topLinePunct w:val="0"/>
        <w:autoSpaceDE/>
        <w:autoSpaceDN/>
        <w:bidi w:val="0"/>
        <w:adjustRightInd/>
        <w:snapToGrid/>
        <w:ind w:left="0" w:leftChars="0" w:firstLine="0" w:firstLineChars="0"/>
        <w:textAlignment w:val="auto"/>
        <w:rPr>
          <w:b w:val="0"/>
          <w:highlight w:val="none"/>
        </w:rPr>
      </w:pPr>
      <w:r>
        <w:rPr>
          <w:rFonts w:hint="eastAsia"/>
          <w:b w:val="0"/>
          <w:highlight w:val="none"/>
          <w:lang w:val="en-US" w:eastAsia="zh-CN"/>
        </w:rPr>
        <w:t>投标文件的组成</w:t>
      </w:r>
    </w:p>
    <w:p w14:paraId="5EA04826">
      <w:pPr>
        <w:pStyle w:val="73"/>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Courier New" w:eastAsia="宋体" w:cs="Times New Roman"/>
          <w:b w:val="0"/>
          <w:bCs/>
          <w:highlight w:val="none"/>
          <w:lang w:val="en-US" w:eastAsia="zh-CN"/>
        </w:rPr>
      </w:pPr>
      <w:r>
        <w:rPr>
          <w:rFonts w:hint="eastAsia" w:ascii="宋体" w:hAnsi="Courier New" w:eastAsia="宋体" w:cs="Times New Roman"/>
          <w:b w:val="0"/>
          <w:bCs/>
          <w:highlight w:val="none"/>
          <w:lang w:val="en-US" w:eastAsia="zh-CN"/>
        </w:rPr>
        <w:t>投标人编写的投标文件由《投标文件（资质标）》、《投标文件（技术标）》、《投标文件（商务标）》（开标一览表）文件组成，共计</w:t>
      </w:r>
      <w:r>
        <w:rPr>
          <w:rFonts w:hint="eastAsia" w:ascii="宋体" w:hAnsi="Courier New" w:eastAsia="宋体" w:cs="Times New Roman"/>
          <w:b w:val="0"/>
          <w:bCs/>
          <w:highlight w:val="none"/>
          <w:u w:val="single"/>
          <w:lang w:val="en-US" w:eastAsia="zh-CN"/>
        </w:rPr>
        <w:t xml:space="preserve"> </w:t>
      </w:r>
      <w:r>
        <w:rPr>
          <w:rFonts w:hint="eastAsia" w:cs="Times New Roman"/>
          <w:b w:val="0"/>
          <w:bCs/>
          <w:highlight w:val="none"/>
          <w:u w:val="single"/>
          <w:lang w:val="en-US" w:eastAsia="zh-CN"/>
        </w:rPr>
        <w:t>3</w:t>
      </w:r>
      <w:r>
        <w:rPr>
          <w:rFonts w:hint="eastAsia" w:ascii="宋体" w:hAnsi="Courier New" w:eastAsia="宋体" w:cs="Times New Roman"/>
          <w:b w:val="0"/>
          <w:bCs/>
          <w:highlight w:val="none"/>
          <w:u w:val="single"/>
          <w:lang w:val="en-US" w:eastAsia="zh-CN"/>
        </w:rPr>
        <w:t xml:space="preserve"> </w:t>
      </w:r>
      <w:r>
        <w:rPr>
          <w:rFonts w:hint="eastAsia" w:ascii="宋体" w:hAnsi="Courier New" w:eastAsia="宋体" w:cs="Times New Roman"/>
          <w:b w:val="0"/>
          <w:bCs/>
          <w:highlight w:val="none"/>
          <w:lang w:val="en-US" w:eastAsia="zh-CN"/>
        </w:rPr>
        <w:t>个文件。</w:t>
      </w:r>
    </w:p>
    <w:p w14:paraId="2DD7BA97">
      <w:pPr>
        <w:pStyle w:val="74"/>
        <w:numPr>
          <w:ilvl w:val="0"/>
          <w:numId w:val="16"/>
        </w:numPr>
        <w:ind w:left="425" w:leftChars="0" w:hanging="425" w:firstLineChars="0"/>
        <w:rPr>
          <w:b w:val="0"/>
          <w:bCs/>
          <w:highlight w:val="none"/>
        </w:rPr>
      </w:pPr>
      <w:r>
        <w:rPr>
          <w:rFonts w:hint="eastAsia"/>
          <w:b w:val="0"/>
          <w:bCs/>
          <w:highlight w:val="none"/>
        </w:rPr>
        <w:t>资质文件：</w:t>
      </w:r>
    </w:p>
    <w:p w14:paraId="13BAC003">
      <w:pPr>
        <w:pStyle w:val="75"/>
        <w:numPr>
          <w:ilvl w:val="0"/>
          <w:numId w:val="17"/>
        </w:numPr>
        <w:ind w:left="425" w:leftChars="0" w:hanging="425" w:firstLineChars="0"/>
        <w:rPr>
          <w:b w:val="0"/>
          <w:bCs/>
          <w:highlight w:val="none"/>
        </w:rPr>
      </w:pPr>
      <w:r>
        <w:rPr>
          <w:rFonts w:hint="eastAsia"/>
          <w:b w:val="0"/>
          <w:bCs/>
          <w:highlight w:val="none"/>
        </w:rPr>
        <w:t>法定代表人身份证明；</w:t>
      </w:r>
    </w:p>
    <w:p w14:paraId="4DBDF119">
      <w:pPr>
        <w:pStyle w:val="75"/>
        <w:numPr>
          <w:ilvl w:val="0"/>
          <w:numId w:val="17"/>
        </w:numPr>
        <w:ind w:left="425" w:leftChars="0" w:hanging="425" w:firstLineChars="0"/>
        <w:rPr>
          <w:b w:val="0"/>
          <w:bCs/>
          <w:highlight w:val="none"/>
        </w:rPr>
      </w:pPr>
      <w:r>
        <w:rPr>
          <w:rFonts w:hint="eastAsia"/>
          <w:b w:val="0"/>
          <w:bCs/>
          <w:highlight w:val="none"/>
        </w:rPr>
        <w:t>法定代表人授权委托书（授权人需带身份证原件）；</w:t>
      </w:r>
    </w:p>
    <w:p w14:paraId="73FE5F95">
      <w:pPr>
        <w:pStyle w:val="75"/>
        <w:numPr>
          <w:ilvl w:val="0"/>
          <w:numId w:val="17"/>
        </w:numPr>
        <w:ind w:left="425" w:leftChars="0" w:hanging="425" w:firstLineChars="0"/>
        <w:rPr>
          <w:b w:val="0"/>
          <w:bCs/>
          <w:highlight w:val="none"/>
        </w:rPr>
      </w:pPr>
      <w:r>
        <w:rPr>
          <w:rFonts w:hint="eastAsia"/>
          <w:b w:val="0"/>
          <w:bCs/>
          <w:highlight w:val="none"/>
        </w:rPr>
        <w:t>营业执照副本原件</w:t>
      </w:r>
      <w:r>
        <w:rPr>
          <w:rFonts w:hint="eastAsia"/>
          <w:b w:val="0"/>
          <w:bCs/>
          <w:highlight w:val="none"/>
          <w:lang w:val="en-US" w:eastAsia="zh-CN"/>
        </w:rPr>
        <w:t>或复印件并加盖公章</w:t>
      </w:r>
      <w:r>
        <w:rPr>
          <w:rFonts w:hint="eastAsia"/>
          <w:b w:val="0"/>
          <w:bCs/>
          <w:highlight w:val="none"/>
        </w:rPr>
        <w:t>；</w:t>
      </w:r>
    </w:p>
    <w:p w14:paraId="7F20C89F">
      <w:pPr>
        <w:pStyle w:val="75"/>
        <w:keepNext w:val="0"/>
        <w:keepLines w:val="0"/>
        <w:pageBreakBefore w:val="0"/>
        <w:widowControl w:val="0"/>
        <w:numPr>
          <w:ilvl w:val="0"/>
          <w:numId w:val="17"/>
        </w:numPr>
        <w:kinsoku/>
        <w:wordWrap/>
        <w:overflowPunct/>
        <w:topLinePunct w:val="0"/>
        <w:autoSpaceDE/>
        <w:autoSpaceDN/>
        <w:bidi w:val="0"/>
        <w:adjustRightInd/>
        <w:snapToGrid/>
        <w:ind w:left="0" w:leftChars="0" w:firstLine="0" w:firstLineChars="0"/>
        <w:textAlignment w:val="auto"/>
        <w:rPr>
          <w:b w:val="0"/>
          <w:bCs/>
          <w:highlight w:val="none"/>
        </w:rPr>
      </w:pPr>
      <w:r>
        <w:rPr>
          <w:rFonts w:hint="eastAsia"/>
          <w:b w:val="0"/>
          <w:bCs/>
          <w:highlight w:val="none"/>
        </w:rPr>
        <w:t>投标人应具有相应</w:t>
      </w:r>
      <w:r>
        <w:rPr>
          <w:rFonts w:ascii="宋体" w:hAnsi="宋体" w:eastAsia="宋体" w:cs="宋体"/>
          <w:sz w:val="21"/>
          <w:szCs w:val="21"/>
          <w:highlight w:val="none"/>
        </w:rPr>
        <w:t>处置资质</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并提供相关证明文件；</w:t>
      </w:r>
    </w:p>
    <w:p w14:paraId="6A7B69C9">
      <w:pPr>
        <w:pStyle w:val="75"/>
        <w:keepNext w:val="0"/>
        <w:keepLines w:val="0"/>
        <w:pageBreakBefore w:val="0"/>
        <w:widowControl w:val="0"/>
        <w:numPr>
          <w:ilvl w:val="0"/>
          <w:numId w:val="17"/>
        </w:numPr>
        <w:kinsoku/>
        <w:wordWrap/>
        <w:overflowPunct/>
        <w:topLinePunct w:val="0"/>
        <w:autoSpaceDE/>
        <w:autoSpaceDN/>
        <w:bidi w:val="0"/>
        <w:adjustRightInd/>
        <w:snapToGrid/>
        <w:ind w:left="0" w:leftChars="0" w:firstLine="0" w:firstLineChars="0"/>
        <w:textAlignment w:val="auto"/>
        <w:rPr>
          <w:b w:val="0"/>
          <w:bCs/>
          <w:highlight w:val="none"/>
        </w:rPr>
      </w:pPr>
      <w:r>
        <w:rPr>
          <w:rFonts w:hint="eastAsia"/>
          <w:b w:val="0"/>
          <w:bCs/>
          <w:highlight w:val="none"/>
        </w:rPr>
        <w:t>证明投标人满足投标资料表中列出的业绩要求的文件</w:t>
      </w:r>
      <w:r>
        <w:rPr>
          <w:rFonts w:hint="eastAsia"/>
          <w:b w:val="0"/>
          <w:bCs/>
          <w:highlight w:val="none"/>
          <w:lang w:eastAsia="zh-CN"/>
        </w:rPr>
        <w:t>；</w:t>
      </w:r>
    </w:p>
    <w:p w14:paraId="2E43C7FD">
      <w:pPr>
        <w:pStyle w:val="75"/>
        <w:keepNext w:val="0"/>
        <w:keepLines w:val="0"/>
        <w:pageBreakBefore w:val="0"/>
        <w:widowControl w:val="0"/>
        <w:numPr>
          <w:ilvl w:val="0"/>
          <w:numId w:val="17"/>
        </w:numPr>
        <w:kinsoku/>
        <w:wordWrap/>
        <w:overflowPunct/>
        <w:topLinePunct w:val="0"/>
        <w:autoSpaceDE/>
        <w:autoSpaceDN/>
        <w:bidi w:val="0"/>
        <w:adjustRightInd/>
        <w:snapToGrid/>
        <w:ind w:left="0" w:leftChars="0" w:firstLine="0" w:firstLineChars="0"/>
        <w:textAlignment w:val="auto"/>
        <w:rPr>
          <w:b w:val="0"/>
          <w:bCs/>
          <w:highlight w:val="none"/>
        </w:rPr>
      </w:pPr>
      <w:r>
        <w:rPr>
          <w:rFonts w:hint="eastAsia" w:hAnsi="Courier New"/>
          <w:b w:val="0"/>
          <w:bCs/>
          <w:highlight w:val="none"/>
        </w:rPr>
        <w:t>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w:t>
      </w:r>
    </w:p>
    <w:p w14:paraId="7CB7B902">
      <w:pPr>
        <w:pStyle w:val="75"/>
        <w:numPr>
          <w:ilvl w:val="0"/>
          <w:numId w:val="17"/>
        </w:numPr>
        <w:ind w:left="425" w:leftChars="0" w:hanging="425" w:firstLineChars="0"/>
        <w:rPr>
          <w:rFonts w:hint="eastAsia" w:hAnsi="Courier New"/>
          <w:b w:val="0"/>
          <w:bCs/>
          <w:highlight w:val="none"/>
        </w:rPr>
      </w:pPr>
      <w:r>
        <w:rPr>
          <w:rFonts w:hint="eastAsia" w:hAnsi="Courier New"/>
          <w:b w:val="0"/>
          <w:bCs/>
          <w:highlight w:val="none"/>
        </w:rPr>
        <w:t>企业最近半年完税证明、信用证明材料（征信报告）；</w:t>
      </w:r>
    </w:p>
    <w:p w14:paraId="2F1917FF">
      <w:pPr>
        <w:pStyle w:val="75"/>
        <w:numPr>
          <w:ilvl w:val="0"/>
          <w:numId w:val="17"/>
        </w:numPr>
        <w:ind w:left="425" w:leftChars="0" w:hanging="425" w:firstLineChars="0"/>
        <w:rPr>
          <w:rFonts w:hint="eastAsia" w:hAnsi="Courier New"/>
          <w:b w:val="0"/>
          <w:bCs/>
          <w:highlight w:val="none"/>
        </w:rPr>
      </w:pPr>
      <w:r>
        <w:rPr>
          <w:rFonts w:hint="eastAsia" w:hAnsi="Courier New"/>
          <w:b w:val="0"/>
          <w:bCs/>
          <w:highlight w:val="none"/>
        </w:rPr>
        <w:t>年度纳税信用评价信息（可从电子税务局查询截图，需加盖公章）；</w:t>
      </w:r>
    </w:p>
    <w:p w14:paraId="66CC3FFB">
      <w:pPr>
        <w:pStyle w:val="75"/>
        <w:numPr>
          <w:ilvl w:val="0"/>
          <w:numId w:val="17"/>
        </w:numPr>
        <w:ind w:left="425" w:leftChars="0" w:hanging="425" w:firstLineChars="0"/>
        <w:rPr>
          <w:rFonts w:hint="eastAsia" w:hAnsi="Courier New"/>
          <w:b w:val="0"/>
          <w:bCs/>
          <w:highlight w:val="none"/>
        </w:rPr>
      </w:pPr>
      <w:r>
        <w:rPr>
          <w:rFonts w:hint="eastAsia" w:hAnsi="Courier New"/>
          <w:b w:val="0"/>
          <w:bCs/>
          <w:highlight w:val="none"/>
        </w:rPr>
        <w:t>企业对外担保说明（写明贵单位对外有无对外担保和质押业务，需加盖公章）。</w:t>
      </w:r>
    </w:p>
    <w:p w14:paraId="49857420">
      <w:pPr>
        <w:pStyle w:val="75"/>
        <w:numPr>
          <w:ilvl w:val="0"/>
          <w:numId w:val="17"/>
        </w:numPr>
        <w:ind w:left="425" w:leftChars="0" w:hanging="425" w:firstLineChars="0"/>
        <w:rPr>
          <w:b w:val="0"/>
          <w:bCs/>
          <w:highlight w:val="none"/>
        </w:rPr>
      </w:pPr>
      <w:r>
        <w:rPr>
          <w:rFonts w:hint="eastAsia"/>
          <w:b w:val="0"/>
          <w:bCs/>
          <w:highlight w:val="none"/>
        </w:rPr>
        <w:t>信用中国截图或国家企业信用信息公示系统截图；</w:t>
      </w:r>
    </w:p>
    <w:p w14:paraId="4A1C36E2">
      <w:pPr>
        <w:pStyle w:val="75"/>
        <w:numPr>
          <w:ilvl w:val="0"/>
          <w:numId w:val="17"/>
        </w:numPr>
        <w:ind w:left="425" w:leftChars="0" w:hanging="425" w:firstLineChars="0"/>
        <w:rPr>
          <w:b w:val="0"/>
          <w:bCs/>
          <w:highlight w:val="none"/>
        </w:rPr>
      </w:pPr>
      <w:r>
        <w:rPr>
          <w:rFonts w:hint="eastAsia" w:ascii="宋体" w:hAnsi="宋体" w:cs="宋体"/>
          <w:kern w:val="2"/>
          <w:sz w:val="21"/>
          <w:szCs w:val="21"/>
          <w:highlight w:val="none"/>
          <w:lang w:bidi="ar"/>
        </w:rPr>
        <w:t>投标保证金银行转账凭证</w:t>
      </w:r>
      <w:r>
        <w:rPr>
          <w:rFonts w:hint="eastAsia" w:hAnsi="宋体" w:cs="宋体"/>
          <w:kern w:val="2"/>
          <w:sz w:val="21"/>
          <w:szCs w:val="21"/>
          <w:highlight w:val="none"/>
          <w:lang w:eastAsia="zh-CN" w:bidi="ar"/>
        </w:rPr>
        <w:t>（</w:t>
      </w:r>
      <w:r>
        <w:rPr>
          <w:rFonts w:hint="eastAsia" w:hAnsi="宋体" w:cs="宋体"/>
          <w:kern w:val="2"/>
          <w:sz w:val="21"/>
          <w:szCs w:val="21"/>
          <w:highlight w:val="none"/>
          <w:lang w:val="en-US" w:eastAsia="zh-CN" w:bidi="ar"/>
        </w:rPr>
        <w:t>应标时可不提供）</w:t>
      </w:r>
      <w:r>
        <w:rPr>
          <w:rFonts w:hint="eastAsia" w:ascii="宋体" w:hAnsi="宋体" w:cs="宋体"/>
          <w:kern w:val="2"/>
          <w:sz w:val="21"/>
          <w:szCs w:val="21"/>
          <w:highlight w:val="none"/>
          <w:lang w:eastAsia="zh-CN" w:bidi="ar"/>
        </w:rPr>
        <w:t>；</w:t>
      </w:r>
    </w:p>
    <w:p w14:paraId="08F8AAFD">
      <w:pPr>
        <w:pStyle w:val="75"/>
        <w:numPr>
          <w:ilvl w:val="0"/>
          <w:numId w:val="17"/>
        </w:numPr>
        <w:ind w:left="425" w:leftChars="0" w:hanging="425" w:firstLineChars="0"/>
        <w:rPr>
          <w:b w:val="0"/>
          <w:bCs/>
          <w:highlight w:val="none"/>
        </w:rPr>
      </w:pPr>
      <w:r>
        <w:rPr>
          <w:rFonts w:hint="eastAsia"/>
          <w:b w:val="0"/>
          <w:bCs/>
          <w:highlight w:val="none"/>
        </w:rPr>
        <w:t>招标文件中要求的其它资格证明文件。</w:t>
      </w:r>
    </w:p>
    <w:p w14:paraId="23800D92">
      <w:pPr>
        <w:pStyle w:val="75"/>
        <w:numPr>
          <w:ilvl w:val="0"/>
          <w:numId w:val="17"/>
        </w:numPr>
        <w:ind w:left="425" w:leftChars="0" w:hanging="425" w:firstLineChars="0"/>
        <w:rPr>
          <w:b w:val="0"/>
          <w:bCs/>
          <w:highlight w:val="none"/>
        </w:rPr>
      </w:pPr>
      <w:r>
        <w:rPr>
          <w:rFonts w:hint="eastAsia"/>
          <w:b w:val="0"/>
          <w:bCs/>
          <w:highlight w:val="none"/>
        </w:rPr>
        <w:t>制定环境保护、道路交通运输事故应急预案，并开展演练（投标人须提供应急预案及演练报告复印件）；</w:t>
      </w:r>
    </w:p>
    <w:p w14:paraId="0FCAA68A">
      <w:pPr>
        <w:pStyle w:val="75"/>
        <w:keepNext w:val="0"/>
        <w:keepLines w:val="0"/>
        <w:pageBreakBefore w:val="0"/>
        <w:widowControl w:val="0"/>
        <w:numPr>
          <w:ilvl w:val="0"/>
          <w:numId w:val="18"/>
        </w:numPr>
        <w:kinsoku/>
        <w:wordWrap/>
        <w:overflowPunct/>
        <w:topLinePunct w:val="0"/>
        <w:autoSpaceDE/>
        <w:autoSpaceDN/>
        <w:bidi w:val="0"/>
        <w:adjustRightInd/>
        <w:snapToGrid/>
        <w:ind w:left="10" w:leftChars="0" w:firstLine="0"/>
        <w:textAlignment w:val="auto"/>
        <w:rPr>
          <w:b w:val="0"/>
          <w:bCs/>
          <w:highlight w:val="none"/>
        </w:rPr>
      </w:pPr>
      <w:r>
        <w:rPr>
          <w:rFonts w:hint="eastAsia"/>
          <w:b w:val="0"/>
          <w:bCs/>
          <w:highlight w:val="none"/>
        </w:rPr>
        <w:t>对于投标人资质审核不通过的，招标人有权拒绝其投标。</w:t>
      </w:r>
    </w:p>
    <w:p w14:paraId="35D922EF">
      <w:pPr>
        <w:pStyle w:val="74"/>
        <w:numPr>
          <w:ilvl w:val="0"/>
          <w:numId w:val="16"/>
        </w:numPr>
        <w:ind w:left="425" w:leftChars="0" w:hanging="425" w:firstLineChars="0"/>
        <w:rPr>
          <w:rFonts w:hint="eastAsia" w:cs="Times New Roman"/>
          <w:b w:val="0"/>
          <w:bCs/>
          <w:highlight w:val="none"/>
        </w:rPr>
      </w:pPr>
      <w:r>
        <w:rPr>
          <w:rFonts w:hint="eastAsia" w:cs="Times New Roman"/>
          <w:b w:val="0"/>
          <w:bCs/>
          <w:highlight w:val="none"/>
        </w:rPr>
        <w:t>技术标：</w:t>
      </w:r>
    </w:p>
    <w:p w14:paraId="330DE8E8">
      <w:pPr>
        <w:pStyle w:val="74"/>
        <w:numPr>
          <w:ilvl w:val="0"/>
          <w:numId w:val="0"/>
        </w:numPr>
        <w:ind w:leftChars="0"/>
        <w:rPr>
          <w:rFonts w:hint="default" w:eastAsia="宋体" w:cs="Times New Roman"/>
          <w:b w:val="0"/>
          <w:bCs/>
          <w:highlight w:val="none"/>
          <w:lang w:val="en-US" w:eastAsia="zh-CN"/>
        </w:rPr>
      </w:pPr>
      <w:r>
        <w:rPr>
          <w:rFonts w:hint="eastAsia" w:cs="Times New Roman"/>
          <w:b w:val="0"/>
          <w:bCs/>
          <w:highlight w:val="none"/>
          <w:lang w:val="en-US" w:eastAsia="zh-CN"/>
        </w:rPr>
        <w:t>根据技术要求和技术文件附件编制技术标书</w:t>
      </w:r>
    </w:p>
    <w:p w14:paraId="47175D6D">
      <w:pPr>
        <w:pStyle w:val="74"/>
        <w:numPr>
          <w:ilvl w:val="0"/>
          <w:numId w:val="16"/>
        </w:numPr>
        <w:ind w:left="425" w:leftChars="0" w:hanging="425" w:firstLineChars="0"/>
        <w:rPr>
          <w:rFonts w:hint="eastAsia" w:cs="Times New Roman"/>
          <w:b w:val="0"/>
          <w:bCs/>
          <w:highlight w:val="none"/>
        </w:rPr>
      </w:pPr>
      <w:r>
        <w:rPr>
          <w:rFonts w:hint="eastAsia" w:cs="Times New Roman"/>
          <w:b w:val="0"/>
          <w:bCs/>
          <w:highlight w:val="none"/>
        </w:rPr>
        <w:t>商务标：</w:t>
      </w:r>
    </w:p>
    <w:p w14:paraId="1FEC8CF2">
      <w:pPr>
        <w:pStyle w:val="75"/>
        <w:keepNext w:val="0"/>
        <w:keepLines w:val="0"/>
        <w:pageBreakBefore w:val="0"/>
        <w:widowControl w:val="0"/>
        <w:numPr>
          <w:ilvl w:val="0"/>
          <w:numId w:val="19"/>
        </w:numPr>
        <w:kinsoku/>
        <w:wordWrap/>
        <w:overflowPunct/>
        <w:topLinePunct w:val="0"/>
        <w:autoSpaceDE/>
        <w:autoSpaceDN/>
        <w:bidi w:val="0"/>
        <w:adjustRightInd/>
        <w:snapToGrid/>
        <w:ind w:left="425" w:leftChars="0" w:hanging="425" w:firstLineChars="0"/>
        <w:textAlignment w:val="auto"/>
        <w:rPr>
          <w:b w:val="0"/>
          <w:bCs/>
          <w:highlight w:val="none"/>
        </w:rPr>
      </w:pPr>
      <w:r>
        <w:rPr>
          <w:rFonts w:hint="eastAsia"/>
          <w:b w:val="0"/>
          <w:bCs/>
          <w:highlight w:val="none"/>
          <w:lang w:val="en-US" w:eastAsia="zh-CN"/>
        </w:rPr>
        <w:t>开标一览表</w:t>
      </w:r>
    </w:p>
    <w:p w14:paraId="0DFA5CBE">
      <w:pPr>
        <w:pStyle w:val="75"/>
        <w:numPr>
          <w:ilvl w:val="0"/>
          <w:numId w:val="19"/>
        </w:numPr>
        <w:ind w:left="425" w:leftChars="0" w:hanging="425" w:firstLineChars="0"/>
        <w:rPr>
          <w:b w:val="0"/>
          <w:bCs/>
          <w:highlight w:val="none"/>
        </w:rPr>
      </w:pPr>
      <w:r>
        <w:rPr>
          <w:rFonts w:hint="eastAsia"/>
          <w:b w:val="0"/>
          <w:bCs/>
          <w:highlight w:val="none"/>
        </w:rPr>
        <w:t>投标函（格式见附件）;</w:t>
      </w:r>
    </w:p>
    <w:p w14:paraId="5C36F232">
      <w:pPr>
        <w:pStyle w:val="75"/>
        <w:numPr>
          <w:ilvl w:val="0"/>
          <w:numId w:val="19"/>
        </w:numPr>
        <w:ind w:left="425" w:leftChars="0" w:hanging="425" w:firstLineChars="0"/>
        <w:rPr>
          <w:b w:val="0"/>
          <w:bCs/>
          <w:highlight w:val="none"/>
        </w:rPr>
      </w:pPr>
      <w:r>
        <w:rPr>
          <w:rFonts w:hint="eastAsia"/>
          <w:b w:val="0"/>
          <w:bCs/>
          <w:highlight w:val="none"/>
        </w:rPr>
        <w:t>商务条款偏离表；</w:t>
      </w:r>
    </w:p>
    <w:p w14:paraId="110B2C29">
      <w:pPr>
        <w:pStyle w:val="75"/>
        <w:numPr>
          <w:ilvl w:val="0"/>
          <w:numId w:val="19"/>
        </w:numPr>
        <w:ind w:left="425" w:leftChars="0" w:hanging="425" w:firstLineChars="0"/>
        <w:rPr>
          <w:b w:val="0"/>
          <w:bCs/>
          <w:highlight w:val="none"/>
        </w:rPr>
      </w:pPr>
      <w:r>
        <w:rPr>
          <w:rFonts w:hint="eastAsia"/>
          <w:b w:val="0"/>
          <w:bCs/>
          <w:highlight w:val="none"/>
        </w:rPr>
        <w:t>投标货物分项报价表；</w:t>
      </w:r>
    </w:p>
    <w:p w14:paraId="53DECED4">
      <w:pPr>
        <w:pStyle w:val="75"/>
        <w:keepNext w:val="0"/>
        <w:keepLines w:val="0"/>
        <w:pageBreakBefore w:val="0"/>
        <w:widowControl w:val="0"/>
        <w:numPr>
          <w:ilvl w:val="0"/>
          <w:numId w:val="18"/>
        </w:numPr>
        <w:kinsoku/>
        <w:wordWrap/>
        <w:overflowPunct/>
        <w:topLinePunct w:val="0"/>
        <w:autoSpaceDE/>
        <w:autoSpaceDN/>
        <w:bidi w:val="0"/>
        <w:adjustRightInd/>
        <w:snapToGrid/>
        <w:ind w:left="10" w:leftChars="0" w:firstLine="0"/>
        <w:textAlignment w:val="auto"/>
        <w:rPr>
          <w:rFonts w:hint="default" w:cs="Times New Roman"/>
          <w:b w:val="0"/>
          <w:bCs/>
          <w:highlight w:val="none"/>
          <w:lang w:val="en-US" w:eastAsia="zh-CN"/>
        </w:rPr>
      </w:pPr>
      <w:r>
        <w:rPr>
          <w:rFonts w:hint="eastAsia" w:cs="Times New Roman"/>
          <w:b w:val="0"/>
          <w:bCs/>
          <w:highlight w:val="none"/>
          <w:lang w:val="en-US" w:eastAsia="zh-CN"/>
        </w:rPr>
        <w:t>商务报价注意内容：</w:t>
      </w:r>
      <w:r>
        <w:rPr>
          <w:rFonts w:hint="eastAsia" w:cs="Times New Roman"/>
          <w:b w:val="0"/>
          <w:bCs/>
          <w:highlight w:val="none"/>
        </w:rPr>
        <w:t>最高投标限价（招标控制价）：人民币</w:t>
      </w:r>
      <w:r>
        <w:rPr>
          <w:rFonts w:hint="eastAsia" w:cs="Times New Roman"/>
          <w:b w:val="0"/>
          <w:bCs/>
          <w:highlight w:val="none"/>
          <w:u w:val="single"/>
          <w:lang w:val="en-US" w:eastAsia="zh-CN"/>
        </w:rPr>
        <w:t xml:space="preserve"> 54.86 </w:t>
      </w:r>
      <w:r>
        <w:rPr>
          <w:rFonts w:hint="eastAsia" w:cs="Times New Roman"/>
          <w:b w:val="0"/>
          <w:bCs/>
          <w:highlight w:val="none"/>
        </w:rPr>
        <w:t>万元，超过投标限价无法投标。</w:t>
      </w:r>
    </w:p>
    <w:p w14:paraId="0481EBC6">
      <w:pPr>
        <w:pStyle w:val="75"/>
        <w:keepNext w:val="0"/>
        <w:keepLines w:val="0"/>
        <w:pageBreakBefore w:val="0"/>
        <w:widowControl w:val="0"/>
        <w:numPr>
          <w:ilvl w:val="0"/>
          <w:numId w:val="18"/>
        </w:numPr>
        <w:kinsoku/>
        <w:wordWrap/>
        <w:overflowPunct/>
        <w:topLinePunct w:val="0"/>
        <w:autoSpaceDE/>
        <w:autoSpaceDN/>
        <w:bidi w:val="0"/>
        <w:adjustRightInd/>
        <w:snapToGrid/>
        <w:ind w:left="10" w:leftChars="0" w:firstLine="0"/>
        <w:textAlignment w:val="auto"/>
        <w:rPr>
          <w:rFonts w:hint="default" w:cs="Times New Roman"/>
          <w:b w:val="0"/>
          <w:bCs/>
          <w:highlight w:val="none"/>
          <w:lang w:val="en-US" w:eastAsia="zh-CN"/>
        </w:rPr>
      </w:pPr>
      <w:r>
        <w:rPr>
          <w:rFonts w:hint="default" w:cs="Times New Roman"/>
          <w:b w:val="0"/>
          <w:bCs/>
          <w:highlight w:val="none"/>
          <w:lang w:val="en-US" w:eastAsia="zh-CN"/>
        </w:rPr>
        <w:t xml:space="preserve"> 招标文件所列年产废数量为预估量，实际数量将随招标方生产经营实际状况发生变化，招标方不对预估量的准确性承担责任。</w:t>
      </w:r>
    </w:p>
    <w:p w14:paraId="77DC4CD7">
      <w:pPr>
        <w:pStyle w:val="75"/>
        <w:keepNext w:val="0"/>
        <w:keepLines w:val="0"/>
        <w:pageBreakBefore w:val="0"/>
        <w:widowControl w:val="0"/>
        <w:numPr>
          <w:ilvl w:val="0"/>
          <w:numId w:val="18"/>
        </w:numPr>
        <w:kinsoku/>
        <w:wordWrap/>
        <w:overflowPunct/>
        <w:topLinePunct w:val="0"/>
        <w:autoSpaceDE/>
        <w:autoSpaceDN/>
        <w:bidi w:val="0"/>
        <w:adjustRightInd/>
        <w:snapToGrid/>
        <w:ind w:left="10" w:leftChars="0" w:firstLine="0"/>
        <w:textAlignment w:val="auto"/>
        <w:rPr>
          <w:rFonts w:hint="default" w:cs="Times New Roman"/>
          <w:b w:val="0"/>
          <w:bCs/>
          <w:highlight w:val="none"/>
          <w:lang w:val="en-US" w:eastAsia="zh-CN"/>
        </w:rPr>
      </w:pPr>
      <w:r>
        <w:rPr>
          <w:rFonts w:hint="default" w:cs="Times New Roman"/>
          <w:b w:val="0"/>
          <w:bCs/>
          <w:highlight w:val="none"/>
          <w:lang w:val="en-US" w:eastAsia="zh-CN"/>
        </w:rPr>
        <w:t>原则上招标人将与中标人签订为期</w:t>
      </w:r>
      <w:r>
        <w:rPr>
          <w:rFonts w:hint="eastAsia" w:cs="Times New Roman"/>
          <w:b w:val="0"/>
          <w:bCs/>
          <w:highlight w:val="none"/>
          <w:lang w:val="en-US" w:eastAsia="zh-CN"/>
        </w:rPr>
        <w:t>至2026年结束</w:t>
      </w:r>
      <w:r>
        <w:rPr>
          <w:rFonts w:hint="default" w:cs="Times New Roman"/>
          <w:b w:val="0"/>
          <w:bCs/>
          <w:highlight w:val="none"/>
          <w:lang w:val="en-US" w:eastAsia="zh-CN"/>
        </w:rPr>
        <w:t>的危险废物处置协议。鉴于此，投标人应根据招标人提供的开标一览表（见附件）；酌情考虑总体的处置量，本着诚信合作的态度，向招标人提供真实、合理的投标报价。</w:t>
      </w:r>
    </w:p>
    <w:p w14:paraId="2CBA6747">
      <w:pPr>
        <w:pStyle w:val="75"/>
        <w:keepNext w:val="0"/>
        <w:keepLines w:val="0"/>
        <w:pageBreakBefore w:val="0"/>
        <w:widowControl w:val="0"/>
        <w:numPr>
          <w:ilvl w:val="0"/>
          <w:numId w:val="18"/>
        </w:numPr>
        <w:kinsoku/>
        <w:wordWrap/>
        <w:overflowPunct/>
        <w:topLinePunct w:val="0"/>
        <w:autoSpaceDE/>
        <w:autoSpaceDN/>
        <w:bidi w:val="0"/>
        <w:adjustRightInd/>
        <w:snapToGrid/>
        <w:ind w:left="10" w:leftChars="0" w:firstLine="0"/>
        <w:textAlignment w:val="auto"/>
        <w:rPr>
          <w:rFonts w:hint="default" w:cs="Times New Roman"/>
          <w:b w:val="0"/>
          <w:bCs/>
          <w:highlight w:val="none"/>
          <w:lang w:val="en-US" w:eastAsia="zh-CN"/>
        </w:rPr>
      </w:pPr>
      <w:r>
        <w:rPr>
          <w:rFonts w:hint="default" w:cs="Times New Roman"/>
          <w:b w:val="0"/>
          <w:bCs/>
          <w:highlight w:val="none"/>
          <w:lang w:val="en-US" w:eastAsia="zh-CN"/>
        </w:rPr>
        <w:t>投标价格含合同签订的危险废物处置过程中所产生的一切费用，包括处置费、运输费及相关服务等所有费用。评标小组有权根据报价情况要求所有投标人进行澄清。</w:t>
      </w:r>
    </w:p>
    <w:p w14:paraId="70E2A45F">
      <w:pPr>
        <w:pStyle w:val="73"/>
        <w:keepNext w:val="0"/>
        <w:keepLines w:val="0"/>
        <w:pageBreakBefore w:val="0"/>
        <w:widowControl w:val="0"/>
        <w:numPr>
          <w:ilvl w:val="0"/>
          <w:numId w:val="15"/>
        </w:numPr>
        <w:kinsoku/>
        <w:wordWrap/>
        <w:overflowPunct/>
        <w:topLinePunct w:val="0"/>
        <w:autoSpaceDE/>
        <w:autoSpaceDN/>
        <w:bidi w:val="0"/>
        <w:adjustRightInd/>
        <w:snapToGrid/>
        <w:ind w:left="0" w:leftChars="0" w:firstLine="0" w:firstLineChars="0"/>
        <w:textAlignment w:val="auto"/>
        <w:rPr>
          <w:rFonts w:hint="eastAsia" w:cs="Times New Roman"/>
          <w:b w:val="0"/>
          <w:highlight w:val="none"/>
          <w:lang w:val="en-US" w:eastAsia="zh-CN"/>
        </w:rPr>
      </w:pPr>
      <w:r>
        <w:rPr>
          <w:rFonts w:hint="eastAsia" w:cs="Times New Roman"/>
          <w:b w:val="0"/>
          <w:highlight w:val="none"/>
          <w:lang w:val="en-US" w:eastAsia="zh-CN"/>
        </w:rPr>
        <w:t>投标文件的投递</w:t>
      </w:r>
    </w:p>
    <w:p w14:paraId="608868D9">
      <w:pPr>
        <w:pStyle w:val="75"/>
        <w:numPr>
          <w:ilvl w:val="0"/>
          <w:numId w:val="20"/>
        </w:numPr>
        <w:rPr>
          <w:bCs/>
          <w:highlight w:val="none"/>
        </w:rPr>
      </w:pPr>
      <w:r>
        <w:rPr>
          <w:rFonts w:hint="eastAsia"/>
          <w:bCs/>
          <w:highlight w:val="none"/>
        </w:rPr>
        <w:t>投标方式：</w:t>
      </w:r>
      <w:r>
        <w:rPr>
          <w:rFonts w:hint="eastAsia"/>
          <w:highlight w:val="none"/>
        </w:rPr>
        <w:t>在“中国重汽e采通”平台</w:t>
      </w:r>
      <w:r>
        <w:rPr>
          <w:rFonts w:hint="eastAsia"/>
          <w:bCs/>
          <w:highlight w:val="none"/>
        </w:rPr>
        <w:t>线上投标</w:t>
      </w:r>
    </w:p>
    <w:p w14:paraId="4D5A4EFB">
      <w:pPr>
        <w:pStyle w:val="75"/>
        <w:numPr>
          <w:ilvl w:val="0"/>
          <w:numId w:val="20"/>
        </w:numPr>
        <w:ind w:left="425" w:leftChars="0" w:hanging="425" w:firstLineChars="0"/>
        <w:rPr>
          <w:rFonts w:hint="eastAsia" w:ascii="宋体" w:hAnsi="Courier New" w:eastAsia="宋体" w:cs="Times New Roman"/>
          <w:b w:val="0"/>
          <w:bCs/>
          <w:highlight w:val="none"/>
          <w:lang w:val="en-US" w:eastAsia="zh-CN"/>
        </w:rPr>
      </w:pPr>
      <w:r>
        <w:rPr>
          <w:rFonts w:hint="eastAsia"/>
          <w:bCs/>
          <w:highlight w:val="none"/>
        </w:rPr>
        <w:t>联系人及联系方式：</w:t>
      </w:r>
      <w:r>
        <w:rPr>
          <w:rFonts w:hint="eastAsia"/>
          <w:bCs/>
          <w:highlight w:val="none"/>
          <w:lang w:val="en-US" w:eastAsia="zh-CN"/>
        </w:rPr>
        <w:t>李奎民18103690113</w:t>
      </w:r>
    </w:p>
    <w:p w14:paraId="28F9F16C">
      <w:pPr>
        <w:pStyle w:val="75"/>
        <w:numPr>
          <w:ilvl w:val="0"/>
          <w:numId w:val="20"/>
        </w:numPr>
        <w:ind w:left="425" w:leftChars="0" w:hanging="425" w:firstLineChars="0"/>
        <w:rPr>
          <w:rFonts w:hint="eastAsia" w:ascii="宋体" w:hAnsi="Courier New" w:eastAsia="宋体" w:cs="Times New Roman"/>
          <w:b/>
          <w:bCs w:val="0"/>
          <w:color w:val="FF0000"/>
          <w:highlight w:val="none"/>
          <w:lang w:val="en-US" w:eastAsia="zh-CN"/>
        </w:rPr>
      </w:pPr>
      <w:r>
        <w:rPr>
          <w:rFonts w:hint="eastAsia"/>
          <w:b/>
          <w:bCs w:val="0"/>
          <w:color w:val="FF0000"/>
          <w:highlight w:val="none"/>
        </w:rPr>
        <w:t>投标文件递交截止时间：</w:t>
      </w:r>
      <w:r>
        <w:rPr>
          <w:rFonts w:hint="eastAsia"/>
          <w:b/>
          <w:bCs w:val="0"/>
          <w:color w:val="FF0000"/>
          <w:highlight w:val="none"/>
          <w:lang w:val="en-US" w:eastAsia="zh-CN"/>
        </w:rPr>
        <w:t>2026</w:t>
      </w:r>
      <w:r>
        <w:rPr>
          <w:rFonts w:hint="eastAsia"/>
          <w:b/>
          <w:bCs w:val="0"/>
          <w:color w:val="FF0000"/>
          <w:highlight w:val="none"/>
        </w:rPr>
        <w:t>年</w:t>
      </w:r>
      <w:r>
        <w:rPr>
          <w:rFonts w:hint="eastAsia"/>
          <w:b/>
          <w:bCs w:val="0"/>
          <w:color w:val="FF0000"/>
          <w:highlight w:val="none"/>
          <w:lang w:val="en-US" w:eastAsia="zh-CN"/>
        </w:rPr>
        <w:t>3</w:t>
      </w:r>
      <w:r>
        <w:rPr>
          <w:rFonts w:hint="eastAsia"/>
          <w:b/>
          <w:bCs w:val="0"/>
          <w:color w:val="FF0000"/>
          <w:highlight w:val="none"/>
        </w:rPr>
        <w:t>月</w:t>
      </w:r>
      <w:r>
        <w:rPr>
          <w:rFonts w:hint="eastAsia"/>
          <w:b/>
          <w:bCs w:val="0"/>
          <w:color w:val="FF0000"/>
          <w:highlight w:val="none"/>
          <w:lang w:val="en-US" w:eastAsia="zh-CN"/>
        </w:rPr>
        <w:t>23</w:t>
      </w:r>
      <w:r>
        <w:rPr>
          <w:rFonts w:hint="eastAsia"/>
          <w:b/>
          <w:bCs w:val="0"/>
          <w:color w:val="FF0000"/>
          <w:highlight w:val="none"/>
        </w:rPr>
        <w:t>日</w:t>
      </w:r>
      <w:r>
        <w:rPr>
          <w:rFonts w:hint="eastAsia"/>
          <w:b/>
          <w:bCs w:val="0"/>
          <w:color w:val="FF0000"/>
          <w:highlight w:val="none"/>
          <w:lang w:val="en-US" w:eastAsia="zh-CN"/>
        </w:rPr>
        <w:t>7</w:t>
      </w:r>
      <w:r>
        <w:rPr>
          <w:rFonts w:hint="eastAsia"/>
          <w:b/>
          <w:bCs w:val="0"/>
          <w:color w:val="FF0000"/>
          <w:highlight w:val="none"/>
        </w:rPr>
        <w:t>:00:00</w:t>
      </w:r>
    </w:p>
    <w:p w14:paraId="25974AAC">
      <w:pPr>
        <w:pStyle w:val="72"/>
        <w:rPr>
          <w:rFonts w:hint="eastAsia" w:hAnsi="Courier New" w:cs="Times New Roman"/>
          <w:highlight w:val="none"/>
        </w:rPr>
      </w:pPr>
      <w:bookmarkStart w:id="11" w:name="_Toc47976601"/>
      <w:r>
        <w:rPr>
          <w:rFonts w:hint="eastAsia" w:hAnsi="Courier New" w:cs="Times New Roman"/>
          <w:highlight w:val="none"/>
        </w:rPr>
        <w:t>投标保证金</w:t>
      </w:r>
      <w:r>
        <w:rPr>
          <w:rFonts w:hint="eastAsia" w:hAnsi="Courier New" w:cs="Times New Roman"/>
          <w:highlight w:val="none"/>
          <w:lang w:val="en-US" w:eastAsia="zh-CN"/>
        </w:rPr>
        <w:t>收取</w:t>
      </w:r>
      <w:r>
        <w:rPr>
          <w:rFonts w:hint="eastAsia" w:hAnsi="Courier New" w:cs="Times New Roman"/>
          <w:highlight w:val="none"/>
          <w:lang w:eastAsia="zh-CN"/>
        </w:rPr>
        <w:t>、</w:t>
      </w:r>
      <w:r>
        <w:rPr>
          <w:rFonts w:hint="eastAsia" w:hAnsi="Courier New" w:cs="Times New Roman"/>
          <w:highlight w:val="none"/>
          <w:lang w:val="en-US" w:eastAsia="zh-CN"/>
        </w:rPr>
        <w:t>缴纳</w:t>
      </w:r>
      <w:r>
        <w:rPr>
          <w:rFonts w:hint="eastAsia" w:hAnsi="Courier New" w:cs="Times New Roman"/>
          <w:highlight w:val="none"/>
        </w:rPr>
        <w:t>有效期</w:t>
      </w:r>
      <w:r>
        <w:rPr>
          <w:rFonts w:hint="eastAsia" w:hAnsi="Courier New" w:cs="Times New Roman"/>
          <w:highlight w:val="none"/>
          <w:lang w:val="en-US" w:eastAsia="zh-CN"/>
        </w:rPr>
        <w:t>及罚没</w:t>
      </w:r>
    </w:p>
    <w:p w14:paraId="071E67B8">
      <w:pPr>
        <w:pStyle w:val="72"/>
        <w:numPr>
          <w:ilvl w:val="0"/>
          <w:numId w:val="21"/>
        </w:numPr>
        <w:ind w:leftChars="0"/>
        <w:rPr>
          <w:rFonts w:hint="eastAsia" w:ascii="宋体" w:hAnsi="宋体" w:eastAsia="宋体" w:cs="宋体"/>
          <w:b w:val="0"/>
          <w:bCs w:val="0"/>
          <w:sz w:val="21"/>
          <w:szCs w:val="21"/>
          <w:highlight w:val="none"/>
          <w:u w:val="single"/>
          <w:lang w:val="en-US" w:eastAsia="zh-CN"/>
        </w:rPr>
      </w:pPr>
      <w:r>
        <w:rPr>
          <w:rFonts w:hint="eastAsia" w:ascii="宋体" w:hAnsi="宋体" w:eastAsia="宋体" w:cs="宋体"/>
          <w:b w:val="0"/>
          <w:bCs w:val="0"/>
          <w:sz w:val="21"/>
          <w:szCs w:val="21"/>
          <w:highlight w:val="none"/>
        </w:rPr>
        <w:t>投标保证金的缴纳</w:t>
      </w:r>
    </w:p>
    <w:p w14:paraId="021ADBC0">
      <w:pPr>
        <w:pStyle w:val="72"/>
        <w:numPr>
          <w:ilvl w:val="0"/>
          <w:numId w:val="22"/>
        </w:numPr>
        <w:ind w:left="425" w:leftChars="0" w:hanging="425" w:firstLineChars="0"/>
        <w:rPr>
          <w:rFonts w:hint="eastAsia" w:ascii="宋体" w:hAnsi="宋体" w:eastAsia="宋体" w:cs="宋体"/>
          <w:b w:val="0"/>
          <w:bCs w:val="0"/>
          <w:sz w:val="21"/>
          <w:szCs w:val="21"/>
          <w:highlight w:val="none"/>
          <w:u w:val="single"/>
          <w:lang w:val="en-US" w:eastAsia="zh-CN"/>
        </w:rPr>
      </w:pPr>
      <w:r>
        <w:rPr>
          <w:rFonts w:hint="eastAsia" w:ascii="宋体" w:hAnsi="宋体" w:eastAsia="宋体" w:cs="宋体"/>
          <w:b w:val="0"/>
          <w:bCs w:val="0"/>
          <w:sz w:val="21"/>
          <w:szCs w:val="21"/>
          <w:highlight w:val="none"/>
        </w:rPr>
        <w:t>投标保证金</w:t>
      </w:r>
      <w:r>
        <w:rPr>
          <w:rFonts w:hint="eastAsia" w:ascii="宋体" w:hAnsi="宋体" w:eastAsia="宋体" w:cs="宋体"/>
          <w:b w:val="0"/>
          <w:bCs w:val="0"/>
          <w:sz w:val="21"/>
          <w:szCs w:val="21"/>
          <w:highlight w:val="none"/>
          <w:lang w:val="en-US" w:eastAsia="zh-CN"/>
        </w:rPr>
        <w:t>的缴纳</w:t>
      </w:r>
      <w:r>
        <w:rPr>
          <w:rFonts w:hint="eastAsia" w:ascii="宋体" w:hAnsi="宋体" w:eastAsia="宋体" w:cs="宋体"/>
          <w:b w:val="0"/>
          <w:bCs w:val="0"/>
          <w:sz w:val="21"/>
          <w:szCs w:val="21"/>
          <w:highlight w:val="none"/>
        </w:rPr>
        <w:t>形式：</w:t>
      </w:r>
      <w:r>
        <w:rPr>
          <w:rFonts w:hint="eastAsia" w:ascii="宋体" w:hAnsi="宋体" w:eastAsia="宋体" w:cs="宋体"/>
          <w:b w:val="0"/>
          <w:bCs w:val="0"/>
          <w:sz w:val="21"/>
          <w:szCs w:val="21"/>
          <w:highlight w:val="none"/>
          <w:u w:val="single"/>
          <w:lang w:val="en-US" w:eastAsia="zh-CN"/>
        </w:rPr>
        <w:t>提交银行投标保函或从银行基本账户转账</w:t>
      </w:r>
    </w:p>
    <w:p w14:paraId="04CD311F">
      <w:pPr>
        <w:pStyle w:val="72"/>
        <w:numPr>
          <w:ilvl w:val="0"/>
          <w:numId w:val="22"/>
        </w:numPr>
        <w:ind w:left="425" w:leftChars="0" w:hanging="425" w:firstLineChars="0"/>
        <w:rPr>
          <w:rFonts w:hint="default" w:ascii="宋体" w:hAnsi="宋体" w:eastAsia="宋体" w:cs="宋体"/>
          <w:b w:val="0"/>
          <w:bCs w:val="0"/>
          <w:sz w:val="21"/>
          <w:szCs w:val="21"/>
          <w:highlight w:val="none"/>
          <w:u w:val="single"/>
          <w:lang w:val="en-US" w:eastAsia="zh-CN"/>
        </w:rPr>
      </w:pPr>
      <w:r>
        <w:rPr>
          <w:rFonts w:hint="eastAsia" w:ascii="宋体" w:hAnsi="宋体" w:eastAsia="宋体" w:cs="宋体"/>
          <w:b w:val="0"/>
          <w:bCs w:val="0"/>
          <w:sz w:val="21"/>
          <w:szCs w:val="21"/>
          <w:highlight w:val="none"/>
        </w:rPr>
        <w:t>投标保证金的金额：人民币</w:t>
      </w:r>
      <w:r>
        <w:rPr>
          <w:rFonts w:hint="eastAsia" w:ascii="宋体" w:hAnsi="宋体" w:eastAsia="宋体" w:cs="宋体"/>
          <w:b w:val="0"/>
          <w:bCs w:val="0"/>
          <w:sz w:val="21"/>
          <w:szCs w:val="21"/>
          <w:highlight w:val="none"/>
          <w:u w:val="single"/>
          <w:lang w:val="en-US" w:eastAsia="zh-CN"/>
        </w:rPr>
        <w:t xml:space="preserve"> 5000 </w:t>
      </w:r>
      <w:r>
        <w:rPr>
          <w:rFonts w:hint="eastAsia" w:ascii="宋体" w:hAnsi="宋体" w:eastAsia="宋体" w:cs="宋体"/>
          <w:b w:val="0"/>
          <w:bCs w:val="0"/>
          <w:sz w:val="21"/>
          <w:szCs w:val="21"/>
          <w:highlight w:val="none"/>
        </w:rPr>
        <w:t>元</w:t>
      </w:r>
    </w:p>
    <w:p w14:paraId="5BBFD97F">
      <w:pPr>
        <w:pStyle w:val="72"/>
        <w:numPr>
          <w:ilvl w:val="0"/>
          <w:numId w:val="0"/>
        </w:numPr>
        <w:ind w:leftChars="0"/>
        <w:rPr>
          <w:rFonts w:hint="eastAsia" w:ascii="宋体" w:hAnsi="宋体" w:eastAsia="宋体" w:cs="宋体"/>
          <w:b w:val="0"/>
          <w:bCs w:val="0"/>
          <w:sz w:val="21"/>
          <w:szCs w:val="21"/>
          <w:highlight w:val="none"/>
          <w:u w:val="single"/>
          <w:lang w:val="en-US" w:eastAsia="zh-CN"/>
        </w:rPr>
      </w:pPr>
      <w:r>
        <w:rPr>
          <w:rFonts w:ascii="宋体" w:hAnsi="宋体" w:eastAsia="宋体" w:cs="宋体"/>
          <w:sz w:val="24"/>
          <w:szCs w:val="24"/>
          <w:highlight w:val="none"/>
        </w:rPr>
        <w:t>单位名称：</w:t>
      </w:r>
      <w:r>
        <w:rPr>
          <w:rFonts w:hint="eastAsia" w:ascii="宋体" w:hAnsi="宋体" w:eastAsia="宋体" w:cs="宋体"/>
          <w:sz w:val="24"/>
          <w:szCs w:val="24"/>
          <w:highlight w:val="none"/>
        </w:rPr>
        <w:t>重汽（济南）车桥有限公司</w:t>
      </w:r>
      <w:r>
        <w:rPr>
          <w:rFonts w:ascii="宋体" w:hAnsi="宋体" w:eastAsia="宋体" w:cs="宋体"/>
          <w:sz w:val="24"/>
          <w:szCs w:val="24"/>
          <w:highlight w:val="none"/>
        </w:rPr>
        <w:br w:type="textWrapping"/>
      </w:r>
      <w:r>
        <w:rPr>
          <w:rFonts w:ascii="宋体" w:hAnsi="宋体" w:eastAsia="宋体" w:cs="宋体"/>
          <w:sz w:val="24"/>
          <w:szCs w:val="24"/>
          <w:highlight w:val="none"/>
        </w:rPr>
        <w:t>收款账号：4510000010120100527995</w:t>
      </w:r>
      <w:r>
        <w:rPr>
          <w:rFonts w:ascii="宋体" w:hAnsi="宋体" w:eastAsia="宋体" w:cs="宋体"/>
          <w:sz w:val="24"/>
          <w:szCs w:val="24"/>
          <w:highlight w:val="none"/>
        </w:rPr>
        <w:br w:type="textWrapping"/>
      </w:r>
      <w:r>
        <w:rPr>
          <w:rFonts w:ascii="宋体" w:hAnsi="宋体" w:eastAsia="宋体" w:cs="宋体"/>
          <w:sz w:val="24"/>
          <w:szCs w:val="24"/>
          <w:highlight w:val="none"/>
        </w:rPr>
        <w:t>开户行名称：浙商银行济南分行（浙商银行）</w:t>
      </w:r>
      <w:r>
        <w:rPr>
          <w:rFonts w:ascii="宋体" w:hAnsi="宋体" w:eastAsia="宋体" w:cs="宋体"/>
          <w:sz w:val="24"/>
          <w:szCs w:val="24"/>
          <w:highlight w:val="none"/>
        </w:rPr>
        <w:br w:type="textWrapping"/>
      </w:r>
      <w:r>
        <w:rPr>
          <w:rFonts w:ascii="宋体" w:hAnsi="宋体" w:eastAsia="宋体" w:cs="宋体"/>
          <w:sz w:val="24"/>
          <w:szCs w:val="24"/>
          <w:highlight w:val="none"/>
        </w:rPr>
        <w:t>开户行行号：316451000016</w:t>
      </w:r>
    </w:p>
    <w:p w14:paraId="1591D62C">
      <w:pPr>
        <w:pStyle w:val="75"/>
        <w:keepNext w:val="0"/>
        <w:keepLines w:val="0"/>
        <w:pageBreakBefore w:val="0"/>
        <w:widowControl w:val="0"/>
        <w:numPr>
          <w:ilvl w:val="0"/>
          <w:numId w:val="18"/>
        </w:numPr>
        <w:kinsoku/>
        <w:wordWrap/>
        <w:overflowPunct/>
        <w:topLinePunct w:val="0"/>
        <w:autoSpaceDE/>
        <w:autoSpaceDN/>
        <w:bidi w:val="0"/>
        <w:adjustRightInd/>
        <w:snapToGrid/>
        <w:ind w:left="10" w:leftChars="0" w:firstLine="0"/>
        <w:textAlignment w:val="auto"/>
        <w:rPr>
          <w:rFonts w:hint="eastAsia" w:cs="Times New Roman"/>
          <w:b w:val="0"/>
          <w:bCs/>
          <w:highlight w:val="none"/>
          <w:lang w:val="en-US" w:eastAsia="zh-CN"/>
        </w:rPr>
      </w:pPr>
      <w:r>
        <w:rPr>
          <w:rFonts w:hint="eastAsia" w:cs="Times New Roman"/>
          <w:b w:val="0"/>
          <w:bCs/>
          <w:highlight w:val="none"/>
          <w:lang w:val="en-US" w:eastAsia="zh-CN"/>
        </w:rPr>
        <w:t>转账附言：公司名称+项目名称+投标保证金。</w:t>
      </w:r>
    </w:p>
    <w:p w14:paraId="5568414C">
      <w:pPr>
        <w:pStyle w:val="72"/>
        <w:numPr>
          <w:ilvl w:val="0"/>
          <w:numId w:val="0"/>
        </w:numPr>
        <w:ind w:left="425" w:leftChars="0" w:hanging="425" w:firstLineChars="0"/>
        <w:rPr>
          <w:rFonts w:hint="eastAsia" w:ascii="宋体" w:hAnsi="宋体" w:eastAsia="宋体" w:cs="宋体"/>
          <w:b w:val="0"/>
          <w:bCs w:val="0"/>
          <w:sz w:val="21"/>
          <w:szCs w:val="21"/>
          <w:highlight w:val="none"/>
        </w:rPr>
      </w:pPr>
      <w:r>
        <w:rPr>
          <w:rFonts w:hint="default" w:ascii="宋体" w:hAnsi="宋体" w:eastAsia="宋体" w:cs="宋体"/>
          <w:b w:val="0"/>
          <w:bCs w:val="0"/>
          <w:kern w:val="2"/>
          <w:sz w:val="21"/>
          <w:szCs w:val="21"/>
          <w:highlight w:val="none"/>
          <w:lang w:val="en-US" w:eastAsia="zh-CN" w:bidi="ar-SA"/>
        </w:rPr>
        <w:t>(</w:t>
      </w:r>
      <w:r>
        <w:rPr>
          <w:rFonts w:hint="eastAsia" w:ascii="宋体" w:hAnsi="宋体" w:eastAsia="宋体" w:cs="宋体"/>
          <w:b w:val="0"/>
          <w:bCs w:val="0"/>
          <w:kern w:val="2"/>
          <w:sz w:val="21"/>
          <w:szCs w:val="21"/>
          <w:highlight w:val="none"/>
          <w:lang w:val="en-US" w:eastAsia="zh-CN" w:bidi="ar-SA"/>
        </w:rPr>
        <w:t>4</w:t>
      </w:r>
      <w:r>
        <w:rPr>
          <w:rFonts w:hint="default" w:ascii="宋体" w:hAnsi="宋体" w:eastAsia="宋体" w:cs="宋体"/>
          <w:b w:val="0"/>
          <w:bCs w:val="0"/>
          <w:kern w:val="2"/>
          <w:sz w:val="21"/>
          <w:szCs w:val="21"/>
          <w:highlight w:val="none"/>
          <w:lang w:val="en-US" w:eastAsia="zh-CN" w:bidi="ar-SA"/>
        </w:rPr>
        <w:t>)</w:t>
      </w:r>
      <w:r>
        <w:rPr>
          <w:rFonts w:hint="eastAsia" w:ascii="宋体" w:hAnsi="宋体" w:eastAsia="宋体" w:cs="宋体"/>
          <w:b w:val="0"/>
          <w:bCs w:val="0"/>
          <w:sz w:val="21"/>
          <w:szCs w:val="21"/>
          <w:highlight w:val="none"/>
        </w:rPr>
        <w:t>保证金缴纳截止时间：</w:t>
      </w:r>
      <w:r>
        <w:rPr>
          <w:rFonts w:hint="eastAsia" w:ascii="宋体" w:hAnsi="宋体" w:eastAsia="宋体" w:cs="宋体"/>
          <w:b w:val="0"/>
          <w:bCs w:val="0"/>
          <w:sz w:val="21"/>
          <w:szCs w:val="21"/>
          <w:highlight w:val="none"/>
          <w:lang w:val="en-US" w:eastAsia="zh-CN"/>
        </w:rPr>
        <w:t>2026</w:t>
      </w:r>
      <w:r>
        <w:rPr>
          <w:rFonts w:hint="eastAsia" w:ascii="宋体" w:hAnsi="宋体" w:eastAsia="宋体" w:cs="宋体"/>
          <w:b w:val="0"/>
          <w:bCs w:val="0"/>
          <w:sz w:val="21"/>
          <w:szCs w:val="21"/>
          <w:highlight w:val="none"/>
        </w:rPr>
        <w:t>年</w:t>
      </w:r>
      <w:r>
        <w:rPr>
          <w:rFonts w:hint="eastAsia" w:ascii="宋体" w:hAnsi="宋体" w:eastAsia="宋体" w:cs="宋体"/>
          <w:b w:val="0"/>
          <w:bCs w:val="0"/>
          <w:sz w:val="21"/>
          <w:szCs w:val="21"/>
          <w:highlight w:val="none"/>
          <w:lang w:val="en-US" w:eastAsia="zh-CN"/>
        </w:rPr>
        <w:t>3</w:t>
      </w:r>
      <w:r>
        <w:rPr>
          <w:rFonts w:hint="eastAsia" w:ascii="宋体" w:hAnsi="宋体" w:eastAsia="宋体" w:cs="宋体"/>
          <w:b w:val="0"/>
          <w:bCs w:val="0"/>
          <w:sz w:val="21"/>
          <w:szCs w:val="21"/>
          <w:highlight w:val="none"/>
        </w:rPr>
        <w:t>月</w:t>
      </w:r>
      <w:r>
        <w:rPr>
          <w:rFonts w:hint="eastAsia" w:ascii="宋体" w:hAnsi="宋体" w:eastAsia="宋体" w:cs="宋体"/>
          <w:b w:val="0"/>
          <w:bCs w:val="0"/>
          <w:sz w:val="21"/>
          <w:szCs w:val="21"/>
          <w:highlight w:val="none"/>
          <w:lang w:val="en-US" w:eastAsia="zh-CN"/>
        </w:rPr>
        <w:t>14</w:t>
      </w:r>
      <w:r>
        <w:rPr>
          <w:rFonts w:hint="eastAsia" w:ascii="宋体" w:hAnsi="宋体" w:eastAsia="宋体" w:cs="宋体"/>
          <w:b w:val="0"/>
          <w:bCs w:val="0"/>
          <w:sz w:val="21"/>
          <w:szCs w:val="21"/>
          <w:highlight w:val="none"/>
        </w:rPr>
        <w:t>日9：00前</w:t>
      </w:r>
      <w:r>
        <w:rPr>
          <w:rFonts w:hint="eastAsia" w:ascii="宋体" w:hAnsi="宋体" w:eastAsia="宋体" w:cs="宋体"/>
          <w:b w:val="0"/>
          <w:bCs w:val="0"/>
          <w:sz w:val="21"/>
          <w:szCs w:val="21"/>
          <w:highlight w:val="none"/>
          <w:lang w:eastAsia="zh-CN"/>
        </w:rPr>
        <w:t>（</w:t>
      </w:r>
      <w:r>
        <w:rPr>
          <w:rFonts w:hint="eastAsia" w:ascii="宋体" w:hAnsi="宋体" w:eastAsia="宋体" w:cs="宋体"/>
          <w:b w:val="0"/>
          <w:bCs w:val="0"/>
          <w:sz w:val="21"/>
          <w:szCs w:val="21"/>
          <w:highlight w:val="none"/>
          <w:lang w:val="en-US" w:eastAsia="zh-CN"/>
        </w:rPr>
        <w:t>同投标文件递交截止时间</w:t>
      </w:r>
      <w:r>
        <w:rPr>
          <w:rFonts w:hint="eastAsia" w:ascii="宋体" w:hAnsi="宋体" w:eastAsia="宋体" w:cs="宋体"/>
          <w:b w:val="0"/>
          <w:bCs w:val="0"/>
          <w:sz w:val="21"/>
          <w:szCs w:val="21"/>
          <w:highlight w:val="none"/>
          <w:lang w:eastAsia="zh-CN"/>
        </w:rPr>
        <w:t>）</w:t>
      </w:r>
    </w:p>
    <w:p w14:paraId="4C2C93DA">
      <w:pPr>
        <w:pStyle w:val="72"/>
        <w:keepNext w:val="0"/>
        <w:keepLines w:val="0"/>
        <w:pageBreakBefore w:val="0"/>
        <w:widowControl w:val="0"/>
        <w:numPr>
          <w:ilvl w:val="0"/>
          <w:numId w:val="21"/>
        </w:numPr>
        <w:kinsoku/>
        <w:wordWrap/>
        <w:overflowPunct/>
        <w:topLinePunct w:val="0"/>
        <w:autoSpaceDE/>
        <w:autoSpaceDN/>
        <w:bidi w:val="0"/>
        <w:adjustRightInd/>
        <w:snapToGrid/>
        <w:ind w:left="0" w:leftChars="0" w:firstLine="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选择</w:t>
      </w:r>
      <w:r>
        <w:rPr>
          <w:rFonts w:hint="eastAsia" w:ascii="宋体" w:hAnsi="宋体" w:eastAsia="宋体" w:cs="宋体"/>
          <w:b w:val="0"/>
          <w:bCs w:val="0"/>
          <w:sz w:val="21"/>
          <w:szCs w:val="21"/>
          <w:highlight w:val="none"/>
        </w:rPr>
        <w:t>提交银行投标保函的</w:t>
      </w:r>
      <w:r>
        <w:rPr>
          <w:rFonts w:hint="eastAsia" w:ascii="宋体" w:hAnsi="宋体" w:eastAsia="宋体" w:cs="宋体"/>
          <w:b w:val="0"/>
          <w:bCs w:val="0"/>
          <w:sz w:val="21"/>
          <w:szCs w:val="21"/>
          <w:highlight w:val="none"/>
          <w:lang w:val="en-US" w:eastAsia="zh-CN"/>
        </w:rPr>
        <w:t>拟</w:t>
      </w:r>
      <w:r>
        <w:rPr>
          <w:rFonts w:hint="eastAsia" w:ascii="宋体" w:hAnsi="宋体" w:eastAsia="宋体" w:cs="宋体"/>
          <w:b w:val="0"/>
          <w:bCs w:val="0"/>
          <w:sz w:val="21"/>
          <w:szCs w:val="21"/>
          <w:highlight w:val="none"/>
        </w:rPr>
        <w:t>投标人，应在开标时提交投标保函正本，作为《投标文件》的一部分，该投标保函应是不可撤销的“见索即付”保函，保函有效期应满足投标有效期要求，</w:t>
      </w:r>
      <w:r>
        <w:rPr>
          <w:rFonts w:hint="eastAsia" w:ascii="宋体" w:hAnsi="宋体" w:eastAsia="宋体" w:cs="宋体"/>
          <w:b w:val="0"/>
          <w:bCs w:val="0"/>
          <w:sz w:val="21"/>
          <w:szCs w:val="21"/>
          <w:highlight w:val="none"/>
          <w:lang w:val="en-US" w:eastAsia="zh-CN"/>
        </w:rPr>
        <w:t>由招标人</w:t>
      </w:r>
      <w:r>
        <w:rPr>
          <w:rFonts w:hint="eastAsia" w:ascii="宋体" w:hAnsi="宋体" w:eastAsia="宋体" w:cs="宋体"/>
          <w:b w:val="0"/>
          <w:bCs w:val="0"/>
          <w:sz w:val="21"/>
          <w:szCs w:val="21"/>
          <w:highlight w:val="none"/>
        </w:rPr>
        <w:t>留存保函正本</w:t>
      </w:r>
      <w:r>
        <w:rPr>
          <w:rFonts w:hint="eastAsia" w:ascii="宋体" w:hAnsi="宋体" w:eastAsia="宋体" w:cs="宋体"/>
          <w:b w:val="0"/>
          <w:bCs w:val="0"/>
          <w:sz w:val="21"/>
          <w:szCs w:val="21"/>
          <w:highlight w:val="none"/>
          <w:lang w:eastAsia="zh-CN"/>
        </w:rPr>
        <w:t>。</w:t>
      </w:r>
    </w:p>
    <w:p w14:paraId="7486A087">
      <w:pPr>
        <w:pStyle w:val="72"/>
        <w:keepNext w:val="0"/>
        <w:keepLines w:val="0"/>
        <w:pageBreakBefore w:val="0"/>
        <w:widowControl w:val="0"/>
        <w:numPr>
          <w:ilvl w:val="0"/>
          <w:numId w:val="21"/>
        </w:numPr>
        <w:kinsoku/>
        <w:wordWrap/>
        <w:overflowPunct/>
        <w:topLinePunct w:val="0"/>
        <w:autoSpaceDE/>
        <w:autoSpaceDN/>
        <w:bidi w:val="0"/>
        <w:adjustRightInd/>
        <w:snapToGrid/>
        <w:ind w:left="0" w:leftChars="0" w:firstLine="0"/>
        <w:textAlignment w:val="auto"/>
        <w:rPr>
          <w:rFonts w:hint="eastAsia" w:ascii="宋体" w:hAnsi="宋体" w:eastAsia="仿宋_GB2312" w:cs="宋体"/>
          <w:b w:val="0"/>
          <w:bCs w:val="0"/>
          <w:sz w:val="24"/>
          <w:szCs w:val="24"/>
          <w:highlight w:val="none"/>
          <w:lang w:val="en-US" w:eastAsia="zh-CN"/>
        </w:rPr>
      </w:pPr>
      <w:r>
        <w:rPr>
          <w:rFonts w:hint="eastAsia" w:ascii="宋体" w:hAnsi="宋体" w:eastAsia="宋体" w:cs="宋体"/>
          <w:b w:val="0"/>
          <w:bCs w:val="0"/>
          <w:sz w:val="21"/>
          <w:szCs w:val="21"/>
          <w:highlight w:val="none"/>
          <w:lang w:val="en-US" w:eastAsia="zh-CN"/>
        </w:rPr>
        <w:t>选择从银行基本账户转账</w:t>
      </w:r>
      <w:r>
        <w:rPr>
          <w:rFonts w:hint="eastAsia" w:ascii="宋体" w:hAnsi="宋体" w:eastAsia="宋体" w:cs="宋体"/>
          <w:b w:val="0"/>
          <w:bCs w:val="0"/>
          <w:sz w:val="21"/>
          <w:szCs w:val="21"/>
          <w:highlight w:val="none"/>
        </w:rPr>
        <w:t>的</w:t>
      </w:r>
      <w:r>
        <w:rPr>
          <w:rFonts w:hint="eastAsia" w:ascii="宋体" w:hAnsi="宋体" w:eastAsia="宋体" w:cs="宋体"/>
          <w:b w:val="0"/>
          <w:bCs w:val="0"/>
          <w:sz w:val="21"/>
          <w:szCs w:val="21"/>
          <w:highlight w:val="none"/>
          <w:lang w:val="en-US" w:eastAsia="zh-CN"/>
        </w:rPr>
        <w:t>拟</w:t>
      </w:r>
      <w:r>
        <w:rPr>
          <w:rFonts w:hint="eastAsia" w:ascii="宋体" w:hAnsi="宋体" w:eastAsia="宋体" w:cs="宋体"/>
          <w:b w:val="0"/>
          <w:bCs w:val="0"/>
          <w:sz w:val="21"/>
          <w:szCs w:val="21"/>
          <w:highlight w:val="none"/>
        </w:rPr>
        <w:t>投标人</w:t>
      </w:r>
      <w:r>
        <w:rPr>
          <w:rFonts w:hint="eastAsia" w:ascii="宋体" w:hAnsi="宋体" w:eastAsia="宋体" w:cs="宋体"/>
          <w:b w:val="0"/>
          <w:bCs w:val="0"/>
          <w:sz w:val="21"/>
          <w:szCs w:val="21"/>
          <w:highlight w:val="none"/>
          <w:lang w:eastAsia="zh-CN"/>
        </w:rPr>
        <w:t>，</w:t>
      </w:r>
      <w:r>
        <w:rPr>
          <w:rFonts w:hint="eastAsia" w:ascii="宋体" w:hAnsi="宋体" w:eastAsia="宋体" w:cs="宋体"/>
          <w:b w:val="0"/>
          <w:bCs w:val="0"/>
          <w:sz w:val="21"/>
          <w:szCs w:val="21"/>
          <w:highlight w:val="none"/>
          <w:lang w:val="en-US" w:eastAsia="zh-CN"/>
        </w:rPr>
        <w:t>须在规定的时间之前</w:t>
      </w:r>
      <w:r>
        <w:rPr>
          <w:rFonts w:hint="eastAsia" w:ascii="宋体" w:hAnsi="宋体" w:eastAsia="宋体" w:cs="宋体"/>
          <w:b w:val="0"/>
          <w:bCs w:val="0"/>
          <w:sz w:val="21"/>
          <w:szCs w:val="21"/>
          <w:highlight w:val="none"/>
        </w:rPr>
        <w:t>将投标保证金从</w:t>
      </w:r>
      <w:r>
        <w:rPr>
          <w:rFonts w:hint="eastAsia" w:ascii="宋体" w:hAnsi="宋体" w:eastAsia="宋体" w:cs="宋体"/>
          <w:b w:val="0"/>
          <w:bCs w:val="0"/>
          <w:sz w:val="21"/>
          <w:szCs w:val="21"/>
          <w:highlight w:val="none"/>
          <w:lang w:val="en-US" w:eastAsia="zh-CN"/>
        </w:rPr>
        <w:t>其</w:t>
      </w:r>
      <w:r>
        <w:rPr>
          <w:rFonts w:hint="eastAsia" w:ascii="宋体" w:hAnsi="宋体" w:eastAsia="宋体" w:cs="宋体"/>
          <w:b w:val="0"/>
          <w:bCs w:val="0"/>
          <w:sz w:val="21"/>
          <w:szCs w:val="21"/>
          <w:highlight w:val="none"/>
        </w:rPr>
        <w:t>单位基本帐户转出并到账，否则</w:t>
      </w:r>
      <w:r>
        <w:rPr>
          <w:rFonts w:hint="eastAsia" w:ascii="宋体" w:hAnsi="宋体" w:eastAsia="宋体" w:cs="宋体"/>
          <w:b w:val="0"/>
          <w:bCs w:val="0"/>
          <w:sz w:val="21"/>
          <w:szCs w:val="21"/>
          <w:highlight w:val="none"/>
          <w:lang w:val="en-US" w:eastAsia="zh-CN"/>
        </w:rPr>
        <w:t>视为无效投标</w:t>
      </w:r>
      <w:r>
        <w:rPr>
          <w:rFonts w:hint="eastAsia" w:ascii="宋体" w:hAnsi="宋体" w:eastAsia="宋体" w:cs="宋体"/>
          <w:b w:val="0"/>
          <w:bCs w:val="0"/>
          <w:sz w:val="21"/>
          <w:szCs w:val="21"/>
          <w:highlight w:val="none"/>
        </w:rPr>
        <w:t>；未按规定提交保证金的</w:t>
      </w:r>
      <w:r>
        <w:rPr>
          <w:rFonts w:hint="eastAsia" w:ascii="宋体" w:hAnsi="宋体" w:eastAsia="宋体" w:cs="宋体"/>
          <w:b w:val="0"/>
          <w:bCs w:val="0"/>
          <w:sz w:val="21"/>
          <w:szCs w:val="21"/>
          <w:highlight w:val="none"/>
          <w:lang w:val="en-US" w:eastAsia="zh-CN"/>
        </w:rPr>
        <w:t>拟</w:t>
      </w:r>
      <w:r>
        <w:rPr>
          <w:rFonts w:hint="eastAsia" w:ascii="宋体" w:hAnsi="宋体" w:eastAsia="宋体" w:cs="宋体"/>
          <w:b w:val="0"/>
          <w:bCs w:val="0"/>
          <w:sz w:val="21"/>
          <w:szCs w:val="21"/>
          <w:highlight w:val="none"/>
        </w:rPr>
        <w:t>投标人，其投标文件</w:t>
      </w:r>
      <w:r>
        <w:rPr>
          <w:rFonts w:hint="eastAsia" w:ascii="宋体" w:hAnsi="宋体" w:eastAsia="宋体" w:cs="宋体"/>
          <w:b w:val="0"/>
          <w:bCs w:val="0"/>
          <w:sz w:val="21"/>
          <w:szCs w:val="21"/>
          <w:highlight w:val="none"/>
          <w:lang w:val="en-US" w:eastAsia="zh-CN"/>
        </w:rPr>
        <w:t>视为无效投标</w:t>
      </w:r>
      <w:r>
        <w:rPr>
          <w:rFonts w:hint="eastAsia" w:ascii="宋体" w:hAnsi="宋体" w:eastAsia="宋体" w:cs="宋体"/>
          <w:b w:val="0"/>
          <w:bCs w:val="0"/>
          <w:sz w:val="21"/>
          <w:szCs w:val="21"/>
          <w:highlight w:val="none"/>
        </w:rPr>
        <w:t>。</w:t>
      </w:r>
      <w:r>
        <w:rPr>
          <w:rFonts w:hint="eastAsia" w:ascii="宋体" w:hAnsi="宋体" w:eastAsia="宋体" w:cs="宋体"/>
          <w:b w:val="0"/>
          <w:bCs w:val="0"/>
          <w:sz w:val="21"/>
          <w:szCs w:val="21"/>
          <w:highlight w:val="none"/>
          <w:lang w:val="en-US" w:eastAsia="zh-CN"/>
        </w:rPr>
        <w:t>拟投标人</w:t>
      </w:r>
      <w:r>
        <w:rPr>
          <w:rFonts w:hint="eastAsia" w:ascii="宋体" w:hAnsi="宋体" w:eastAsia="宋体" w:cs="宋体"/>
          <w:b w:val="0"/>
          <w:bCs w:val="0"/>
          <w:sz w:val="21"/>
          <w:szCs w:val="21"/>
          <w:highlight w:val="none"/>
        </w:rPr>
        <w:t>应充分考虑银行信息交换时间，由此带来的保证金不能按时到帐的责任由</w:t>
      </w:r>
      <w:r>
        <w:rPr>
          <w:rFonts w:hint="eastAsia" w:ascii="宋体" w:hAnsi="宋体" w:eastAsia="宋体" w:cs="宋体"/>
          <w:b w:val="0"/>
          <w:bCs w:val="0"/>
          <w:sz w:val="21"/>
          <w:szCs w:val="21"/>
          <w:highlight w:val="none"/>
          <w:lang w:val="en-US" w:eastAsia="zh-CN"/>
        </w:rPr>
        <w:t>拟投标人</w:t>
      </w:r>
      <w:r>
        <w:rPr>
          <w:rFonts w:hint="eastAsia" w:ascii="宋体" w:hAnsi="宋体" w:eastAsia="宋体" w:cs="宋体"/>
          <w:b w:val="0"/>
          <w:bCs w:val="0"/>
          <w:sz w:val="21"/>
          <w:szCs w:val="21"/>
          <w:highlight w:val="none"/>
        </w:rPr>
        <w:t>自行承担。</w:t>
      </w:r>
    </w:p>
    <w:p w14:paraId="5306DE77">
      <w:pPr>
        <w:pStyle w:val="72"/>
        <w:keepNext w:val="0"/>
        <w:keepLines w:val="0"/>
        <w:pageBreakBefore w:val="0"/>
        <w:widowControl w:val="0"/>
        <w:numPr>
          <w:ilvl w:val="0"/>
          <w:numId w:val="21"/>
        </w:numPr>
        <w:kinsoku/>
        <w:wordWrap/>
        <w:overflowPunct/>
        <w:topLinePunct w:val="0"/>
        <w:autoSpaceDE/>
        <w:autoSpaceDN/>
        <w:bidi w:val="0"/>
        <w:adjustRightInd/>
        <w:snapToGrid/>
        <w:ind w:left="0" w:leftChars="0" w:firstLine="0" w:firstLineChars="0"/>
        <w:textAlignment w:val="auto"/>
        <w:rPr>
          <w:rFonts w:hint="eastAsia" w:ascii="宋体" w:hAnsi="宋体" w:eastAsia="仿宋_GB2312" w:cs="宋体"/>
          <w:b w:val="0"/>
          <w:bCs w:val="0"/>
          <w:sz w:val="24"/>
          <w:szCs w:val="24"/>
          <w:highlight w:val="none"/>
          <w:lang w:val="en-US" w:eastAsia="zh-CN"/>
        </w:rPr>
      </w:pPr>
      <w:r>
        <w:rPr>
          <w:rFonts w:hint="eastAsia" w:ascii="宋体" w:hAnsi="宋体" w:eastAsia="宋体" w:cs="宋体"/>
          <w:b w:val="0"/>
          <w:bCs w:val="0"/>
          <w:sz w:val="21"/>
          <w:szCs w:val="21"/>
          <w:highlight w:val="none"/>
        </w:rPr>
        <w:t>对于没有中标的</w:t>
      </w:r>
      <w:r>
        <w:rPr>
          <w:rFonts w:hint="eastAsia" w:ascii="宋体" w:hAnsi="宋体" w:eastAsia="宋体" w:cs="宋体"/>
          <w:b w:val="0"/>
          <w:bCs w:val="0"/>
          <w:sz w:val="21"/>
          <w:szCs w:val="21"/>
          <w:highlight w:val="none"/>
          <w:lang w:eastAsia="zh-CN"/>
        </w:rPr>
        <w:t>投标人</w:t>
      </w:r>
      <w:r>
        <w:rPr>
          <w:rFonts w:hint="eastAsia" w:ascii="宋体" w:hAnsi="宋体" w:eastAsia="宋体" w:cs="宋体"/>
          <w:b w:val="0"/>
          <w:bCs w:val="0"/>
          <w:sz w:val="21"/>
          <w:szCs w:val="21"/>
          <w:highlight w:val="none"/>
        </w:rPr>
        <w:t>，投标保证金将于招标人内部完成中标人评审并确认最终中标人后在</w:t>
      </w:r>
      <w:r>
        <w:rPr>
          <w:rFonts w:hint="eastAsia" w:ascii="宋体" w:hAnsi="宋体" w:eastAsia="宋体" w:cs="宋体"/>
          <w:b w:val="0"/>
          <w:bCs w:val="0"/>
          <w:sz w:val="21"/>
          <w:szCs w:val="21"/>
          <w:highlight w:val="none"/>
          <w:u w:val="single"/>
          <w:lang w:val="en-US" w:eastAsia="zh-CN"/>
        </w:rPr>
        <w:t>一个付款周期</w:t>
      </w:r>
      <w:r>
        <w:rPr>
          <w:rFonts w:hint="eastAsia" w:ascii="宋体" w:hAnsi="宋体" w:eastAsia="宋体" w:cs="宋体"/>
          <w:b w:val="0"/>
          <w:bCs w:val="0"/>
          <w:sz w:val="21"/>
          <w:szCs w:val="21"/>
          <w:highlight w:val="none"/>
        </w:rPr>
        <w:t>内予以原路返还（无息）；对于中标方，投标保证金将在签订合同后</w:t>
      </w:r>
      <w:r>
        <w:rPr>
          <w:rFonts w:hint="eastAsia" w:ascii="宋体" w:hAnsi="宋体" w:eastAsia="宋体" w:cs="宋体"/>
          <w:b w:val="0"/>
          <w:bCs w:val="0"/>
          <w:sz w:val="21"/>
          <w:szCs w:val="21"/>
          <w:highlight w:val="none"/>
          <w:u w:val="single"/>
          <w:lang w:val="en-US" w:eastAsia="zh-CN"/>
        </w:rPr>
        <w:t>一个付款周期</w:t>
      </w:r>
      <w:r>
        <w:rPr>
          <w:rFonts w:hint="eastAsia" w:ascii="宋体" w:hAnsi="宋体" w:eastAsia="宋体" w:cs="宋体"/>
          <w:b w:val="0"/>
          <w:bCs w:val="0"/>
          <w:sz w:val="21"/>
          <w:szCs w:val="21"/>
          <w:highlight w:val="none"/>
        </w:rPr>
        <w:t>内原路返还（无息）。</w:t>
      </w:r>
    </w:p>
    <w:p w14:paraId="271EC8CF">
      <w:pPr>
        <w:pStyle w:val="72"/>
        <w:keepNext w:val="0"/>
        <w:keepLines w:val="0"/>
        <w:pageBreakBefore w:val="0"/>
        <w:widowControl w:val="0"/>
        <w:numPr>
          <w:ilvl w:val="0"/>
          <w:numId w:val="21"/>
        </w:numPr>
        <w:kinsoku/>
        <w:wordWrap/>
        <w:overflowPunct/>
        <w:topLinePunct w:val="0"/>
        <w:autoSpaceDE/>
        <w:autoSpaceDN/>
        <w:bidi w:val="0"/>
        <w:adjustRightInd/>
        <w:snapToGrid/>
        <w:ind w:left="0" w:leftChars="0" w:firstLine="0" w:firstLineChars="0"/>
        <w:textAlignment w:val="auto"/>
        <w:rPr>
          <w:rFonts w:hint="eastAsia" w:ascii="宋体" w:hAnsi="宋体" w:eastAsia="仿宋_GB2312" w:cs="宋体"/>
          <w:b w:val="0"/>
          <w:bCs w:val="0"/>
          <w:sz w:val="24"/>
          <w:szCs w:val="24"/>
          <w:highlight w:val="none"/>
          <w:lang w:val="en-US" w:eastAsia="zh-CN"/>
        </w:rPr>
      </w:pPr>
      <w:r>
        <w:rPr>
          <w:rFonts w:hint="eastAsia" w:ascii="宋体" w:hAnsi="宋体" w:eastAsia="宋体" w:cs="宋体"/>
          <w:b w:val="0"/>
          <w:bCs w:val="0"/>
          <w:sz w:val="21"/>
          <w:szCs w:val="21"/>
          <w:highlight w:val="none"/>
        </w:rPr>
        <w:t>发生以下情况时，有权没收保证金：</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①供应商在提交响应文件截止时间后撤回响应文件的；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②供应商在响应文件中提供虚假材料的；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③除因不可抗力或谈判文件、询价通知书认可的情形以外，成交供应商不与采购人签订合同的；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④供应商与采购人、其他供应商或者采购代理机构恶意串通、围标、陪标的；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⑤供应商有违约违规行为或被投诉、举报的，在调查处理期间，保证金暂不退还，待调查处理结束后按有关规定处理。</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⑥截至开标前3天，投标人无正当理由、未以书面形式向招标人递交说明而在投标截止日不来投标的。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⑦自中标通知书发出之日起30日内，中标人无正当理由投标人无正当签订合同的；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⑧采购文件规定的其他情形</w:t>
      </w:r>
      <w:r>
        <w:rPr>
          <w:rFonts w:hint="eastAsia" w:ascii="宋体" w:hAnsi="宋体" w:eastAsia="宋体" w:cs="宋体"/>
          <w:b w:val="0"/>
          <w:bCs w:val="0"/>
          <w:sz w:val="21"/>
          <w:szCs w:val="21"/>
          <w:highlight w:val="none"/>
          <w:lang w:eastAsia="zh-CN"/>
        </w:rPr>
        <w:t>。</w:t>
      </w:r>
    </w:p>
    <w:bookmarkEnd w:id="11"/>
    <w:p w14:paraId="368B6990">
      <w:pPr>
        <w:pStyle w:val="72"/>
        <w:rPr>
          <w:highlight w:val="none"/>
        </w:rPr>
      </w:pPr>
      <w:r>
        <w:rPr>
          <w:rFonts w:hint="eastAsia"/>
          <w:highlight w:val="none"/>
          <w:lang w:val="en-US" w:eastAsia="zh-CN"/>
        </w:rPr>
        <w:t>开评标</w:t>
      </w:r>
    </w:p>
    <w:p w14:paraId="7D70F083">
      <w:pPr>
        <w:pStyle w:val="72"/>
        <w:numPr>
          <w:ilvl w:val="0"/>
          <w:numId w:val="23"/>
        </w:numPr>
        <w:ind w:firstLine="0"/>
        <w:rPr>
          <w:rFonts w:ascii="宋体" w:hAnsi="宋体" w:eastAsia="宋体" w:cs="宋体"/>
          <w:b/>
          <w:bCs/>
          <w:color w:val="FF0000"/>
          <w:sz w:val="21"/>
          <w:szCs w:val="21"/>
          <w:highlight w:val="none"/>
        </w:rPr>
      </w:pPr>
      <w:r>
        <w:rPr>
          <w:rFonts w:hint="eastAsia" w:ascii="宋体" w:hAnsi="宋体" w:eastAsia="宋体" w:cs="宋体"/>
          <w:b/>
          <w:bCs/>
          <w:color w:val="FF0000"/>
          <w:sz w:val="21"/>
          <w:szCs w:val="21"/>
          <w:highlight w:val="none"/>
        </w:rPr>
        <w:t>开标时间：</w:t>
      </w:r>
      <w:r>
        <w:rPr>
          <w:rFonts w:hint="eastAsia" w:ascii="宋体" w:hAnsi="宋体" w:eastAsia="宋体" w:cs="宋体"/>
          <w:b/>
          <w:bCs/>
          <w:color w:val="FF0000"/>
          <w:sz w:val="21"/>
          <w:szCs w:val="21"/>
          <w:highlight w:val="none"/>
          <w:lang w:val="en-US" w:eastAsia="zh-CN"/>
        </w:rPr>
        <w:t>2026</w:t>
      </w:r>
      <w:r>
        <w:rPr>
          <w:rFonts w:hint="eastAsia" w:ascii="宋体" w:hAnsi="宋体" w:eastAsia="宋体" w:cs="宋体"/>
          <w:b/>
          <w:bCs/>
          <w:color w:val="FF0000"/>
          <w:sz w:val="21"/>
          <w:szCs w:val="21"/>
          <w:highlight w:val="none"/>
        </w:rPr>
        <w:t>年</w:t>
      </w:r>
      <w:r>
        <w:rPr>
          <w:rFonts w:hint="eastAsia" w:ascii="宋体" w:hAnsi="宋体" w:eastAsia="宋体" w:cs="宋体"/>
          <w:b/>
          <w:bCs/>
          <w:color w:val="FF0000"/>
          <w:sz w:val="21"/>
          <w:szCs w:val="21"/>
          <w:highlight w:val="none"/>
          <w:lang w:val="en-US" w:eastAsia="zh-CN"/>
        </w:rPr>
        <w:t>3</w:t>
      </w:r>
      <w:r>
        <w:rPr>
          <w:rFonts w:hint="eastAsia" w:ascii="宋体" w:hAnsi="宋体" w:eastAsia="宋体" w:cs="宋体"/>
          <w:b/>
          <w:bCs/>
          <w:color w:val="FF0000"/>
          <w:sz w:val="21"/>
          <w:szCs w:val="21"/>
          <w:highlight w:val="none"/>
        </w:rPr>
        <w:t>月</w:t>
      </w:r>
      <w:r>
        <w:rPr>
          <w:rFonts w:hint="eastAsia" w:ascii="宋体" w:hAnsi="宋体" w:eastAsia="宋体" w:cs="宋体"/>
          <w:b/>
          <w:bCs/>
          <w:color w:val="FF0000"/>
          <w:sz w:val="21"/>
          <w:szCs w:val="21"/>
          <w:highlight w:val="none"/>
          <w:lang w:val="en-US" w:eastAsia="zh-CN"/>
        </w:rPr>
        <w:t>23</w:t>
      </w:r>
      <w:r>
        <w:rPr>
          <w:rFonts w:hint="eastAsia" w:ascii="宋体" w:hAnsi="宋体" w:eastAsia="宋体" w:cs="宋体"/>
          <w:b/>
          <w:bCs/>
          <w:color w:val="FF0000"/>
          <w:sz w:val="21"/>
          <w:szCs w:val="21"/>
          <w:highlight w:val="none"/>
        </w:rPr>
        <w:t>日9:00:00</w:t>
      </w:r>
    </w:p>
    <w:p w14:paraId="3672B386">
      <w:pPr>
        <w:pStyle w:val="72"/>
        <w:keepNext w:val="0"/>
        <w:keepLines w:val="0"/>
        <w:pageBreakBefore w:val="0"/>
        <w:widowControl w:val="0"/>
        <w:numPr>
          <w:ilvl w:val="0"/>
          <w:numId w:val="23"/>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rPr>
        <w:t>开标地点：济南市高新区世纪大道757号</w:t>
      </w:r>
    </w:p>
    <w:p w14:paraId="420F0E0C">
      <w:pPr>
        <w:pStyle w:val="72"/>
        <w:keepNext w:val="0"/>
        <w:keepLines w:val="0"/>
        <w:pageBreakBefore w:val="0"/>
        <w:widowControl w:val="0"/>
        <w:numPr>
          <w:ilvl w:val="0"/>
          <w:numId w:val="23"/>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开标方式：</w:t>
      </w:r>
    </w:p>
    <w:p w14:paraId="3EF8D0F8">
      <w:pPr>
        <w:pStyle w:val="72"/>
        <w:keepNext w:val="0"/>
        <w:keepLines w:val="0"/>
        <w:pageBreakBefore w:val="0"/>
        <w:widowControl w:val="0"/>
        <w:numPr>
          <w:ilvl w:val="0"/>
          <w:numId w:val="24"/>
        </w:numPr>
        <w:kinsoku/>
        <w:wordWrap/>
        <w:overflowPunct/>
        <w:topLinePunct w:val="0"/>
        <w:autoSpaceDE/>
        <w:autoSpaceDN/>
        <w:bidi w:val="0"/>
        <w:adjustRightInd/>
        <w:snapToGrid/>
        <w:ind w:left="11" w:leftChars="0" w:firstLine="0" w:firstLineChars="0"/>
        <w:textAlignment w:val="auto"/>
        <w:rPr>
          <w:rFonts w:hint="eastAsia" w:ascii="宋体" w:hAnsi="宋体" w:eastAsia="宋体" w:cs="宋体"/>
          <w:color w:val="000000"/>
          <w:sz w:val="21"/>
          <w:szCs w:val="21"/>
          <w:highlight w:val="none"/>
        </w:rPr>
      </w:pPr>
      <w:r>
        <w:rPr>
          <w:rFonts w:hint="eastAsia" w:ascii="宋体" w:hAnsi="Courier New" w:eastAsia="宋体" w:cs="Times New Roman"/>
          <w:b w:val="0"/>
          <w:bCs/>
          <w:kern w:val="2"/>
          <w:sz w:val="21"/>
          <w:highlight w:val="none"/>
          <w:lang w:val="en-US" w:eastAsia="zh-CN" w:bidi="ar-SA"/>
        </w:rPr>
        <w:t>线</w:t>
      </w:r>
      <w:r>
        <w:rPr>
          <w:rFonts w:hint="eastAsia" w:ascii="宋体" w:eastAsia="宋体" w:cs="Times New Roman"/>
          <w:b w:val="0"/>
          <w:bCs/>
          <w:kern w:val="2"/>
          <w:sz w:val="21"/>
          <w:highlight w:val="none"/>
          <w:lang w:val="en-US" w:eastAsia="zh-CN" w:bidi="ar-SA"/>
        </w:rPr>
        <w:t>下</w:t>
      </w:r>
      <w:r>
        <w:rPr>
          <w:rFonts w:hint="eastAsia" w:ascii="宋体" w:hAnsi="Courier New" w:eastAsia="宋体" w:cs="Times New Roman"/>
          <w:b w:val="0"/>
          <w:bCs/>
          <w:kern w:val="2"/>
          <w:sz w:val="21"/>
          <w:highlight w:val="none"/>
          <w:lang w:val="en-US" w:eastAsia="zh-CN" w:bidi="ar-SA"/>
        </w:rPr>
        <w:t>招标</w:t>
      </w:r>
    </w:p>
    <w:p w14:paraId="2C652027">
      <w:pPr>
        <w:pStyle w:val="72"/>
        <w:keepNext w:val="0"/>
        <w:keepLines w:val="0"/>
        <w:pageBreakBefore w:val="0"/>
        <w:widowControl w:val="0"/>
        <w:numPr>
          <w:ilvl w:val="0"/>
          <w:numId w:val="23"/>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评标</w:t>
      </w:r>
    </w:p>
    <w:p w14:paraId="6136E50F">
      <w:pPr>
        <w:pStyle w:val="72"/>
        <w:keepNext w:val="0"/>
        <w:keepLines w:val="0"/>
        <w:pageBreakBefore w:val="0"/>
        <w:widowControl w:val="0"/>
        <w:numPr>
          <w:ilvl w:val="0"/>
          <w:numId w:val="25"/>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评标方法</w:t>
      </w:r>
    </w:p>
    <w:p w14:paraId="45816947">
      <w:pPr>
        <w:pStyle w:val="75"/>
        <w:keepNext w:val="0"/>
        <w:keepLines w:val="0"/>
        <w:pageBreakBefore w:val="0"/>
        <w:widowControl w:val="0"/>
        <w:numPr>
          <w:ilvl w:val="0"/>
          <w:numId w:val="18"/>
        </w:numPr>
        <w:kinsoku/>
        <w:wordWrap/>
        <w:overflowPunct/>
        <w:topLinePunct w:val="0"/>
        <w:autoSpaceDE/>
        <w:autoSpaceDN/>
        <w:bidi w:val="0"/>
        <w:adjustRightInd/>
        <w:snapToGrid/>
        <w:ind w:left="10" w:leftChars="0" w:firstLine="0"/>
        <w:textAlignment w:val="auto"/>
        <w:rPr>
          <w:rFonts w:hint="eastAsia" w:cs="Times New Roman"/>
          <w:b w:val="0"/>
          <w:bCs/>
          <w:highlight w:val="none"/>
          <w:lang w:val="en-US" w:eastAsia="zh-CN"/>
        </w:rPr>
      </w:pPr>
      <w:r>
        <w:rPr>
          <w:rFonts w:hint="eastAsia" w:cs="Times New Roman"/>
          <w:b w:val="0"/>
          <w:bCs/>
          <w:highlight w:val="none"/>
          <w:lang w:val="en-US" w:eastAsia="zh-CN"/>
        </w:rPr>
        <w:t>评标方法（综合评分法）</w:t>
      </w:r>
    </w:p>
    <w:p w14:paraId="2CCC458A">
      <w:pPr>
        <w:pStyle w:val="72"/>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本次招标采用综合评分法评标，即在最大限度地满足招标文件实质性要求的前提下，按照评分标准中规定的评分因素和评分细则进行综合评价、评分。</w:t>
      </w:r>
    </w:p>
    <w:p w14:paraId="0A3A33A9">
      <w:pPr>
        <w:pStyle w:val="72"/>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评标委员会各成员独立对每一份有效投标文件进行评价并对除报价以外的评分项目进行评分，报价得分由工作人员通过计算得出。</w:t>
      </w:r>
    </w:p>
    <w:p w14:paraId="010A3F54">
      <w:pPr>
        <w:pStyle w:val="72"/>
        <w:keepNext w:val="0"/>
        <w:keepLines w:val="0"/>
        <w:pageBreakBefore w:val="0"/>
        <w:widowControl w:val="0"/>
        <w:numPr>
          <w:ilvl w:val="0"/>
          <w:numId w:val="0"/>
        </w:numPr>
        <w:kinsoku/>
        <w:wordWrap/>
        <w:overflowPunct/>
        <w:topLinePunct w:val="0"/>
        <w:autoSpaceDE/>
        <w:autoSpaceDN/>
        <w:bidi w:val="0"/>
        <w:adjustRightInd/>
        <w:snapToGrid/>
        <w:textAlignment w:val="auto"/>
        <w:rPr>
          <w:rFonts w:hint="default"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投标人得分＝技术标得分×40%＋商务标得分×60%</w:t>
      </w:r>
    </w:p>
    <w:p w14:paraId="7E4FEC58">
      <w:pPr>
        <w:pStyle w:val="72"/>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专家组成员对技术标进行评分，确定技术标入围供应商，技术标得分纳入综合得分核算。综合得分满分为100分，商务标占总分值60%，技术标占总分值40%。</w:t>
      </w:r>
    </w:p>
    <w:p w14:paraId="0B2A8F6D">
      <w:pPr>
        <w:pStyle w:val="72"/>
        <w:keepNext w:val="0"/>
        <w:keepLines w:val="0"/>
        <w:pageBreakBefore w:val="0"/>
        <w:widowControl w:val="0"/>
        <w:numPr>
          <w:ilvl w:val="0"/>
          <w:numId w:val="25"/>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评标流程</w:t>
      </w:r>
    </w:p>
    <w:p w14:paraId="08C47440">
      <w:pPr>
        <w:keepNext w:val="0"/>
        <w:keepLines w:val="0"/>
        <w:pageBreakBefore w:val="0"/>
        <w:widowControl w:val="0"/>
        <w:numPr>
          <w:ilvl w:val="0"/>
          <w:numId w:val="26"/>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应标资格审查：在“中国重汽e采通”</w:t>
      </w:r>
      <w:r>
        <w:rPr>
          <w:rFonts w:hint="eastAsia" w:ascii="宋体" w:hAnsi="宋体" w:cs="宋体"/>
          <w:b/>
          <w:color w:val="000000"/>
          <w:sz w:val="21"/>
          <w:szCs w:val="21"/>
          <w:highlight w:val="none"/>
          <w:lang w:eastAsia="zh-CN"/>
        </w:rPr>
        <w:t>（https://ecaitong.sinotruk.com:8012/#/login）</w:t>
      </w:r>
      <w:r>
        <w:rPr>
          <w:rFonts w:hint="eastAsia" w:ascii="宋体" w:hAnsi="宋体" w:eastAsia="宋体" w:cs="宋体"/>
          <w:b/>
          <w:color w:val="000000"/>
          <w:sz w:val="21"/>
          <w:szCs w:val="21"/>
          <w:highlight w:val="none"/>
        </w:rPr>
        <w:t>应标报名时，</w:t>
      </w:r>
      <w:r>
        <w:rPr>
          <w:rFonts w:hint="eastAsia" w:ascii="宋体" w:hAnsi="宋体" w:eastAsia="宋体" w:cs="宋体"/>
          <w:b/>
          <w:bCs/>
          <w:color w:val="000000"/>
          <w:sz w:val="21"/>
          <w:szCs w:val="21"/>
          <w:highlight w:val="none"/>
        </w:rPr>
        <w:t>按照第</w:t>
      </w:r>
      <w:r>
        <w:rPr>
          <w:rFonts w:hint="eastAsia" w:ascii="宋体" w:hAnsi="宋体" w:eastAsia="宋体" w:cs="宋体"/>
          <w:b/>
          <w:bCs/>
          <w:color w:val="000000"/>
          <w:sz w:val="21"/>
          <w:szCs w:val="21"/>
          <w:highlight w:val="none"/>
          <w:lang w:val="en-US" w:eastAsia="zh-CN"/>
        </w:rPr>
        <w:t>一</w:t>
      </w:r>
      <w:r>
        <w:rPr>
          <w:rFonts w:hint="eastAsia" w:ascii="宋体" w:hAnsi="宋体" w:eastAsia="宋体" w:cs="宋体"/>
          <w:b/>
          <w:bCs/>
          <w:color w:val="000000"/>
          <w:sz w:val="21"/>
          <w:szCs w:val="21"/>
          <w:highlight w:val="none"/>
        </w:rPr>
        <w:t>部分第</w:t>
      </w:r>
      <w:r>
        <w:rPr>
          <w:rFonts w:hint="eastAsia" w:ascii="宋体" w:hAnsi="宋体" w:eastAsia="宋体" w:cs="宋体"/>
          <w:b/>
          <w:bCs/>
          <w:color w:val="000000"/>
          <w:sz w:val="21"/>
          <w:szCs w:val="21"/>
          <w:highlight w:val="none"/>
          <w:lang w:val="en-US" w:eastAsia="zh-CN"/>
        </w:rPr>
        <w:t>四</w:t>
      </w:r>
      <w:r>
        <w:rPr>
          <w:rFonts w:hint="eastAsia" w:ascii="宋体" w:hAnsi="宋体" w:eastAsia="宋体" w:cs="宋体"/>
          <w:b/>
          <w:bCs/>
          <w:color w:val="000000"/>
          <w:sz w:val="21"/>
          <w:szCs w:val="21"/>
          <w:highlight w:val="none"/>
        </w:rPr>
        <w:t>条投标文件</w:t>
      </w:r>
      <w:r>
        <w:rPr>
          <w:rFonts w:hint="eastAsia" w:ascii="宋体" w:hAnsi="宋体" w:eastAsia="宋体" w:cs="宋体"/>
          <w:b/>
          <w:bCs/>
          <w:color w:val="000000"/>
          <w:sz w:val="21"/>
          <w:szCs w:val="21"/>
          <w:highlight w:val="none"/>
          <w:lang w:val="en-US" w:eastAsia="zh-CN"/>
        </w:rPr>
        <w:t>编制</w:t>
      </w:r>
      <w:r>
        <w:rPr>
          <w:rFonts w:hint="eastAsia" w:ascii="宋体" w:hAnsi="宋体" w:eastAsia="宋体" w:cs="宋体"/>
          <w:b/>
          <w:bCs/>
          <w:color w:val="000000"/>
          <w:sz w:val="21"/>
          <w:szCs w:val="21"/>
          <w:highlight w:val="none"/>
        </w:rPr>
        <w:t>资格证明文件中的1.1-1.1</w:t>
      </w:r>
      <w:r>
        <w:rPr>
          <w:rFonts w:hint="eastAsia" w:ascii="宋体" w:hAnsi="宋体" w:eastAsia="宋体" w:cs="宋体"/>
          <w:b/>
          <w:bCs/>
          <w:color w:val="000000"/>
          <w:sz w:val="21"/>
          <w:szCs w:val="21"/>
          <w:highlight w:val="none"/>
          <w:lang w:val="en-US" w:eastAsia="zh-CN"/>
        </w:rPr>
        <w:t>1</w:t>
      </w:r>
      <w:r>
        <w:rPr>
          <w:rFonts w:hint="eastAsia" w:ascii="宋体" w:hAnsi="宋体" w:eastAsia="宋体" w:cs="宋体"/>
          <w:b/>
          <w:bCs/>
          <w:color w:val="000000"/>
          <w:sz w:val="21"/>
          <w:szCs w:val="21"/>
          <w:highlight w:val="none"/>
        </w:rPr>
        <w:t>准备资料，上传完毕后，等待审核</w:t>
      </w:r>
      <w:r>
        <w:rPr>
          <w:rFonts w:hint="eastAsia" w:ascii="宋体" w:hAnsi="宋体" w:eastAsia="宋体" w:cs="宋体"/>
          <w:b/>
          <w:color w:val="000000"/>
          <w:sz w:val="21"/>
          <w:szCs w:val="21"/>
          <w:highlight w:val="none"/>
        </w:rPr>
        <w:t>；</w:t>
      </w:r>
    </w:p>
    <w:p w14:paraId="3925B8AD">
      <w:pPr>
        <w:keepNext w:val="0"/>
        <w:keepLines w:val="0"/>
        <w:pageBreakBefore w:val="0"/>
        <w:widowControl w:val="0"/>
        <w:numPr>
          <w:ilvl w:val="0"/>
          <w:numId w:val="26"/>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通过应标资格审查的单位进入投标环节，按照“SRM系统供应商用户手册”，在重汽e采通平台投递电子标书（包含资质标、技术标、商务标）；没有通过应标资质审查的单位不能进入投标环节；</w:t>
      </w:r>
    </w:p>
    <w:p w14:paraId="3B34C86F">
      <w:pPr>
        <w:keepNext w:val="0"/>
        <w:keepLines w:val="0"/>
        <w:pageBreakBefore w:val="0"/>
        <w:widowControl w:val="0"/>
        <w:numPr>
          <w:ilvl w:val="0"/>
          <w:numId w:val="26"/>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资质标评审：资质标审核通过的单位，可以进入公开唱标环节；</w:t>
      </w:r>
    </w:p>
    <w:p w14:paraId="5672B712">
      <w:pPr>
        <w:keepNext w:val="0"/>
        <w:keepLines w:val="0"/>
        <w:pageBreakBefore w:val="0"/>
        <w:widowControl w:val="0"/>
        <w:numPr>
          <w:ilvl w:val="0"/>
          <w:numId w:val="26"/>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公开唱标：公示资质标入围单位的开标价格及商务条款响应情况；</w:t>
      </w:r>
    </w:p>
    <w:p w14:paraId="7E63C2E8">
      <w:pPr>
        <w:keepNext w:val="0"/>
        <w:keepLines w:val="0"/>
        <w:pageBreakBefore w:val="0"/>
        <w:widowControl w:val="0"/>
        <w:numPr>
          <w:ilvl w:val="0"/>
          <w:numId w:val="26"/>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技术标评审：技术标评标专家组，通过重汽e采通，对各投标人的《投标文件（技术标）》进行综合评审；评审期间产生的技术澄清均由投标人在重汽e采通平台内完成提交；评审合格的单位进入商务标评审环节，评审不合格的单位被淘汰；具体</w:t>
      </w:r>
      <w:r>
        <w:rPr>
          <w:rFonts w:hint="eastAsia" w:ascii="宋体" w:hAnsi="宋体" w:eastAsia="宋体" w:cs="宋体"/>
          <w:b/>
          <w:bCs/>
          <w:color w:val="000000"/>
          <w:sz w:val="21"/>
          <w:szCs w:val="21"/>
          <w:highlight w:val="none"/>
          <w:lang w:val="en-US" w:eastAsia="zh-CN"/>
        </w:rPr>
        <w:t>评分详见</w:t>
      </w:r>
      <w:r>
        <w:rPr>
          <w:rFonts w:hint="eastAsia" w:ascii="宋体" w:hAnsi="宋体" w:eastAsia="宋体" w:cs="宋体"/>
          <w:b/>
          <w:bCs/>
          <w:color w:val="000000"/>
          <w:sz w:val="21"/>
          <w:szCs w:val="21"/>
          <w:highlight w:val="none"/>
        </w:rPr>
        <w:t>评分标准；</w:t>
      </w:r>
    </w:p>
    <w:p w14:paraId="17C23BBD">
      <w:pPr>
        <w:keepNext w:val="0"/>
        <w:keepLines w:val="0"/>
        <w:pageBreakBefore w:val="0"/>
        <w:widowControl w:val="0"/>
        <w:numPr>
          <w:ilvl w:val="0"/>
          <w:numId w:val="26"/>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商务标评审：商务条款相应确认→价格澄清→商务标评审；评审期间产生的商务价格澄清均由投标人在重汽e采通平台限时内完成提交；</w:t>
      </w:r>
    </w:p>
    <w:p w14:paraId="148C0E04">
      <w:pPr>
        <w:pStyle w:val="75"/>
        <w:keepNext w:val="0"/>
        <w:keepLines w:val="0"/>
        <w:pageBreakBefore w:val="0"/>
        <w:widowControl w:val="0"/>
        <w:numPr>
          <w:ilvl w:val="0"/>
          <w:numId w:val="18"/>
        </w:numPr>
        <w:kinsoku/>
        <w:wordWrap/>
        <w:overflowPunct/>
        <w:topLinePunct w:val="0"/>
        <w:autoSpaceDE/>
        <w:autoSpaceDN/>
        <w:bidi w:val="0"/>
        <w:adjustRightInd/>
        <w:snapToGrid/>
        <w:ind w:left="10" w:leftChars="0" w:firstLine="0"/>
        <w:textAlignment w:val="auto"/>
        <w:rPr>
          <w:rFonts w:hint="eastAsia" w:cs="Times New Roman"/>
          <w:b/>
          <w:bCs w:val="0"/>
          <w:highlight w:val="none"/>
        </w:rPr>
      </w:pPr>
      <w:r>
        <w:rPr>
          <w:rFonts w:hint="eastAsia" w:cs="Times New Roman"/>
          <w:b/>
          <w:bCs w:val="0"/>
          <w:highlight w:val="none"/>
        </w:rPr>
        <w:t>注意：投标人均需要自带笔记本电脑在重汽e采通进行自主投标和提交澄清函；投标和提交澄清函均有时间限制，超时未提交的按无效处理。</w:t>
      </w:r>
    </w:p>
    <w:p w14:paraId="6970A44F">
      <w:pPr>
        <w:pStyle w:val="72"/>
        <w:keepNext w:val="0"/>
        <w:keepLines w:val="0"/>
        <w:pageBreakBefore w:val="0"/>
        <w:widowControl w:val="0"/>
        <w:numPr>
          <w:ilvl w:val="0"/>
          <w:numId w:val="25"/>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yellow"/>
          <w:lang w:val="en-US" w:eastAsia="zh-CN"/>
        </w:rPr>
      </w:pPr>
      <w:r>
        <w:rPr>
          <w:rFonts w:hint="eastAsia" w:ascii="宋体" w:hAnsi="宋体" w:eastAsia="宋体" w:cs="宋体"/>
          <w:b w:val="0"/>
          <w:bCs w:val="0"/>
          <w:sz w:val="21"/>
          <w:szCs w:val="21"/>
          <w:highlight w:val="yellow"/>
          <w:lang w:val="en-US" w:eastAsia="zh-CN"/>
        </w:rPr>
        <w:t>评分标准</w:t>
      </w:r>
    </w:p>
    <w:tbl>
      <w:tblPr>
        <w:tblStyle w:val="30"/>
        <w:tblpPr w:leftFromText="181" w:rightFromText="181" w:vertAnchor="text" w:horzAnchor="margin" w:tblpXSpec="center" w:tblpY="285"/>
        <w:tblW w:w="97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5"/>
        <w:gridCol w:w="1695"/>
        <w:gridCol w:w="4820"/>
        <w:gridCol w:w="2097"/>
      </w:tblGrid>
      <w:tr w14:paraId="73793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1135" w:type="dxa"/>
            <w:vAlign w:val="center"/>
          </w:tcPr>
          <w:p w14:paraId="661E1D07">
            <w:pPr>
              <w:pStyle w:val="14"/>
              <w:snapToGrid w:val="0"/>
              <w:jc w:val="center"/>
              <w:rPr>
                <w:rFonts w:hint="eastAsia" w:ascii="仿宋_GB2312" w:hAnsi="宋体" w:eastAsia="仿宋_GB2312"/>
                <w:b/>
                <w:sz w:val="24"/>
                <w:szCs w:val="24"/>
              </w:rPr>
            </w:pPr>
            <w:r>
              <w:rPr>
                <w:rFonts w:hint="eastAsia" w:ascii="仿宋_GB2312" w:hAnsi="宋体" w:eastAsia="仿宋_GB2312"/>
                <w:b/>
                <w:sz w:val="24"/>
                <w:szCs w:val="24"/>
              </w:rPr>
              <w:t>评审</w:t>
            </w:r>
          </w:p>
          <w:p w14:paraId="298534FD">
            <w:pPr>
              <w:pStyle w:val="14"/>
              <w:snapToGrid w:val="0"/>
              <w:jc w:val="center"/>
              <w:rPr>
                <w:rFonts w:hint="eastAsia" w:ascii="仿宋_GB2312" w:hAnsi="宋体" w:eastAsia="仿宋_GB2312"/>
                <w:b/>
                <w:sz w:val="24"/>
                <w:szCs w:val="24"/>
              </w:rPr>
            </w:pPr>
            <w:r>
              <w:rPr>
                <w:rFonts w:hint="eastAsia" w:ascii="仿宋_GB2312" w:hAnsi="宋体" w:eastAsia="仿宋_GB2312"/>
                <w:b/>
                <w:sz w:val="24"/>
                <w:szCs w:val="24"/>
              </w:rPr>
              <w:t>要素</w:t>
            </w:r>
          </w:p>
        </w:tc>
        <w:tc>
          <w:tcPr>
            <w:tcW w:w="1695" w:type="dxa"/>
            <w:vAlign w:val="center"/>
          </w:tcPr>
          <w:p w14:paraId="764EA2E0">
            <w:pPr>
              <w:pStyle w:val="14"/>
              <w:snapToGrid w:val="0"/>
              <w:jc w:val="center"/>
              <w:rPr>
                <w:rFonts w:hint="eastAsia" w:ascii="仿宋_GB2312" w:hAnsi="宋体" w:eastAsia="仿宋_GB2312"/>
                <w:b/>
                <w:sz w:val="24"/>
                <w:szCs w:val="24"/>
              </w:rPr>
            </w:pPr>
            <w:r>
              <w:rPr>
                <w:rFonts w:hint="eastAsia" w:ascii="仿宋_GB2312" w:hAnsi="宋体" w:eastAsia="仿宋_GB2312"/>
                <w:b/>
                <w:sz w:val="24"/>
                <w:szCs w:val="24"/>
              </w:rPr>
              <w:t>具体项目</w:t>
            </w:r>
          </w:p>
        </w:tc>
        <w:tc>
          <w:tcPr>
            <w:tcW w:w="4820" w:type="dxa"/>
            <w:vAlign w:val="center"/>
          </w:tcPr>
          <w:p w14:paraId="41CB6AD4">
            <w:pPr>
              <w:pStyle w:val="14"/>
              <w:snapToGrid w:val="0"/>
              <w:jc w:val="center"/>
              <w:rPr>
                <w:rFonts w:hint="eastAsia" w:ascii="仿宋_GB2312" w:hAnsi="宋体" w:eastAsia="仿宋_GB2312"/>
                <w:b/>
                <w:sz w:val="24"/>
                <w:szCs w:val="24"/>
              </w:rPr>
            </w:pPr>
            <w:r>
              <w:rPr>
                <w:rFonts w:hint="eastAsia" w:ascii="仿宋_GB2312" w:hAnsi="宋体" w:eastAsia="仿宋_GB2312"/>
                <w:b/>
                <w:sz w:val="24"/>
                <w:szCs w:val="24"/>
              </w:rPr>
              <w:t>评分依据</w:t>
            </w:r>
          </w:p>
        </w:tc>
        <w:tc>
          <w:tcPr>
            <w:tcW w:w="2097" w:type="dxa"/>
          </w:tcPr>
          <w:p w14:paraId="33CE1FCF">
            <w:pPr>
              <w:pStyle w:val="14"/>
              <w:snapToGrid w:val="0"/>
              <w:jc w:val="center"/>
              <w:rPr>
                <w:rFonts w:hint="eastAsia" w:ascii="仿宋_GB2312" w:hAnsi="宋体" w:eastAsia="仿宋_GB2312"/>
                <w:b/>
                <w:sz w:val="24"/>
                <w:szCs w:val="24"/>
              </w:rPr>
            </w:pPr>
            <w:r>
              <w:rPr>
                <w:rFonts w:hint="eastAsia" w:ascii="仿宋_GB2312" w:hAnsi="宋体" w:eastAsia="仿宋_GB2312"/>
                <w:b/>
                <w:sz w:val="24"/>
                <w:szCs w:val="24"/>
              </w:rPr>
              <w:t>技术/商务满分</w:t>
            </w:r>
          </w:p>
          <w:p w14:paraId="05A7050B">
            <w:pPr>
              <w:pStyle w:val="14"/>
              <w:snapToGrid w:val="0"/>
              <w:jc w:val="center"/>
              <w:rPr>
                <w:rFonts w:hint="eastAsia" w:ascii="仿宋_GB2312" w:hAnsi="宋体" w:eastAsia="仿宋_GB2312"/>
                <w:b/>
                <w:sz w:val="24"/>
                <w:szCs w:val="24"/>
              </w:rPr>
            </w:pPr>
            <w:r>
              <w:rPr>
                <w:rFonts w:hint="eastAsia" w:ascii="仿宋_GB2312" w:hAnsi="宋体" w:eastAsia="仿宋_GB2312"/>
                <w:b/>
                <w:sz w:val="24"/>
                <w:szCs w:val="24"/>
              </w:rPr>
              <w:t>(100分)</w:t>
            </w:r>
          </w:p>
        </w:tc>
      </w:tr>
      <w:tr w14:paraId="72A47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restart"/>
            <w:vAlign w:val="center"/>
          </w:tcPr>
          <w:p w14:paraId="5DA3AEFA">
            <w:pPr>
              <w:pStyle w:val="14"/>
              <w:snapToGrid w:val="0"/>
              <w:jc w:val="center"/>
              <w:rPr>
                <w:rFonts w:hint="eastAsia" w:ascii="仿宋_GB2312" w:hAnsi="宋体" w:eastAsia="仿宋_GB2312"/>
                <w:sz w:val="24"/>
                <w:szCs w:val="24"/>
                <w:lang w:val="en-US" w:eastAsia="zh-CN"/>
              </w:rPr>
            </w:pPr>
            <w:r>
              <w:rPr>
                <w:rFonts w:hint="eastAsia" w:ascii="仿宋_GB2312" w:hAnsi="宋体" w:eastAsia="仿宋_GB2312"/>
                <w:sz w:val="24"/>
                <w:szCs w:val="24"/>
                <w:lang w:val="en-US" w:eastAsia="zh-CN"/>
              </w:rPr>
              <w:t>技术</w:t>
            </w:r>
          </w:p>
        </w:tc>
        <w:tc>
          <w:tcPr>
            <w:tcW w:w="1695" w:type="dxa"/>
            <w:vAlign w:val="center"/>
          </w:tcPr>
          <w:p w14:paraId="6B7CA17B">
            <w:pPr>
              <w:pStyle w:val="14"/>
              <w:snapToGrid w:val="0"/>
              <w:ind w:firstLine="120" w:firstLineChars="50"/>
              <w:rPr>
                <w:rFonts w:hint="eastAsia" w:ascii="仿宋_GB2312" w:hAnsi="宋体" w:eastAsia="仿宋_GB2312"/>
                <w:sz w:val="24"/>
                <w:szCs w:val="24"/>
              </w:rPr>
            </w:pPr>
            <w:r>
              <w:rPr>
                <w:rFonts w:hint="eastAsia" w:ascii="仿宋_GB2312" w:hAnsi="宋体" w:eastAsia="仿宋_GB2312"/>
                <w:sz w:val="24"/>
                <w:szCs w:val="24"/>
              </w:rPr>
              <w:t>处置规范性评价</w:t>
            </w:r>
          </w:p>
          <w:p w14:paraId="274BE4C5">
            <w:pPr>
              <w:pStyle w:val="14"/>
              <w:snapToGrid w:val="0"/>
              <w:jc w:val="center"/>
              <w:rPr>
                <w:rFonts w:hint="eastAsia" w:ascii="仿宋_GB2312" w:hAnsi="宋体" w:eastAsia="仿宋_GB2312"/>
                <w:sz w:val="24"/>
                <w:szCs w:val="24"/>
              </w:rPr>
            </w:pPr>
            <w:r>
              <w:rPr>
                <w:rFonts w:hint="eastAsia" w:ascii="仿宋_GB2312" w:hAnsi="宋体" w:eastAsia="仿宋_GB2312"/>
                <w:sz w:val="24"/>
                <w:szCs w:val="24"/>
              </w:rPr>
              <w:t>（</w:t>
            </w:r>
            <w:r>
              <w:rPr>
                <w:rFonts w:hint="eastAsia" w:ascii="仿宋_GB2312" w:hAnsi="宋体" w:eastAsia="仿宋_GB2312"/>
                <w:sz w:val="24"/>
                <w:szCs w:val="24"/>
                <w:lang w:val="en-US" w:eastAsia="zh-CN"/>
              </w:rPr>
              <w:t>25</w:t>
            </w:r>
            <w:r>
              <w:rPr>
                <w:rFonts w:hint="eastAsia" w:ascii="仿宋_GB2312" w:hAnsi="宋体" w:eastAsia="仿宋_GB2312"/>
                <w:sz w:val="24"/>
                <w:szCs w:val="24"/>
              </w:rPr>
              <w:t>分）</w:t>
            </w:r>
          </w:p>
        </w:tc>
        <w:tc>
          <w:tcPr>
            <w:tcW w:w="4820" w:type="dxa"/>
          </w:tcPr>
          <w:p w14:paraId="5F3315D4">
            <w:pPr>
              <w:pStyle w:val="14"/>
              <w:snapToGrid w:val="0"/>
              <w:rPr>
                <w:rFonts w:hint="eastAsia" w:ascii="仿宋_GB2312" w:eastAsia="仿宋_GB2312"/>
                <w:b w:val="0"/>
                <w:bCs/>
                <w:sz w:val="24"/>
                <w:szCs w:val="24"/>
                <w:lang w:val="en-US" w:eastAsia="zh-CN"/>
              </w:rPr>
            </w:pPr>
            <w:r>
              <w:rPr>
                <w:rFonts w:hint="eastAsia" w:ascii="仿宋_GB2312" w:eastAsia="仿宋_GB2312"/>
                <w:b w:val="0"/>
                <w:bCs/>
                <w:sz w:val="24"/>
                <w:szCs w:val="24"/>
                <w:lang w:val="en-US" w:eastAsia="zh-CN"/>
              </w:rPr>
              <w:t>1.</w:t>
            </w:r>
            <w:r>
              <w:rPr>
                <w:rFonts w:hint="eastAsia" w:ascii="仿宋_GB2312" w:hAnsi="宋体" w:eastAsia="仿宋_GB2312"/>
                <w:b w:val="0"/>
                <w:bCs/>
                <w:sz w:val="24"/>
                <w:szCs w:val="24"/>
              </w:rPr>
              <w:t>近三年以来</w:t>
            </w:r>
            <w:r>
              <w:rPr>
                <w:rFonts w:hint="eastAsia" w:ascii="仿宋_GB2312" w:hAnsi="宋体" w:eastAsia="仿宋_GB2312"/>
                <w:b w:val="0"/>
                <w:bCs/>
                <w:sz w:val="24"/>
                <w:szCs w:val="24"/>
                <w:lang w:val="en-US" w:eastAsia="zh-CN"/>
              </w:rPr>
              <w:t>具体</w:t>
            </w:r>
            <w:r>
              <w:rPr>
                <w:rFonts w:hint="eastAsia" w:ascii="仿宋_GB2312" w:hAnsi="宋体" w:eastAsia="仿宋_GB2312"/>
                <w:b w:val="0"/>
                <w:bCs/>
                <w:sz w:val="24"/>
                <w:szCs w:val="24"/>
              </w:rPr>
              <w:t>同类项目处置</w:t>
            </w:r>
            <w:r>
              <w:rPr>
                <w:rFonts w:hint="eastAsia" w:ascii="仿宋_GB2312" w:hAnsi="宋体" w:eastAsia="仿宋_GB2312"/>
                <w:b w:val="0"/>
                <w:bCs/>
                <w:sz w:val="24"/>
                <w:szCs w:val="24"/>
                <w:lang w:val="en-US" w:eastAsia="zh-CN"/>
              </w:rPr>
              <w:t>履历。</w:t>
            </w:r>
          </w:p>
          <w:p w14:paraId="3ED30D7E">
            <w:pPr>
              <w:pStyle w:val="14"/>
              <w:snapToGrid w:val="0"/>
              <w:rPr>
                <w:rFonts w:hint="eastAsia" w:ascii="仿宋_GB2312" w:hAnsi="宋体" w:eastAsia="仿宋_GB2312"/>
                <w:b w:val="0"/>
                <w:bCs/>
                <w:sz w:val="24"/>
                <w:szCs w:val="24"/>
                <w:lang w:eastAsia="zh-CN"/>
              </w:rPr>
            </w:pPr>
            <w:r>
              <w:rPr>
                <w:rFonts w:hint="eastAsia" w:ascii="仿宋_GB2312" w:eastAsia="仿宋_GB2312"/>
                <w:b w:val="0"/>
                <w:bCs/>
                <w:sz w:val="24"/>
                <w:szCs w:val="24"/>
                <w:lang w:val="en-US" w:eastAsia="zh-CN"/>
              </w:rPr>
              <w:t>2.具有正式</w:t>
            </w:r>
            <w:r>
              <w:rPr>
                <w:rFonts w:hint="eastAsia" w:ascii="仿宋_GB2312" w:eastAsia="仿宋_GB2312"/>
                <w:b w:val="0"/>
                <w:bCs/>
                <w:sz w:val="24"/>
                <w:szCs w:val="24"/>
              </w:rPr>
              <w:t>危险废物许可证</w:t>
            </w:r>
            <w:r>
              <w:rPr>
                <w:rFonts w:hint="eastAsia" w:ascii="仿宋_GB2312" w:eastAsia="仿宋_GB2312"/>
                <w:b w:val="0"/>
                <w:bCs/>
                <w:sz w:val="24"/>
                <w:szCs w:val="24"/>
                <w:lang w:eastAsia="zh-CN"/>
              </w:rPr>
              <w:t>，</w:t>
            </w:r>
            <w:r>
              <w:rPr>
                <w:rFonts w:hint="eastAsia" w:ascii="仿宋_GB2312" w:eastAsia="仿宋_GB2312"/>
                <w:b w:val="0"/>
                <w:bCs/>
                <w:sz w:val="24"/>
                <w:szCs w:val="24"/>
                <w:lang w:val="en-US" w:eastAsia="zh-CN"/>
              </w:rPr>
              <w:t>或具有</w:t>
            </w:r>
            <w:r>
              <w:rPr>
                <w:rFonts w:hint="eastAsia" w:ascii="仿宋_GB2312" w:eastAsia="仿宋_GB2312"/>
                <w:b w:val="0"/>
                <w:bCs/>
                <w:sz w:val="24"/>
                <w:szCs w:val="24"/>
              </w:rPr>
              <w:t>批复函、临时危险废物经营许可证</w:t>
            </w:r>
            <w:r>
              <w:rPr>
                <w:rFonts w:hint="eastAsia" w:ascii="仿宋_GB2312" w:eastAsia="仿宋_GB2312"/>
                <w:b w:val="0"/>
                <w:bCs/>
                <w:sz w:val="24"/>
                <w:szCs w:val="24"/>
                <w:lang w:eastAsia="zh-CN"/>
              </w:rPr>
              <w:t>。</w:t>
            </w:r>
          </w:p>
          <w:p w14:paraId="4182E886">
            <w:pPr>
              <w:pStyle w:val="14"/>
              <w:snapToGrid w:val="0"/>
              <w:rPr>
                <w:rFonts w:hint="eastAsia" w:ascii="仿宋_GB2312" w:hAnsi="宋体" w:eastAsia="仿宋_GB2312"/>
                <w:b w:val="0"/>
                <w:bCs/>
                <w:sz w:val="24"/>
                <w:szCs w:val="24"/>
                <w:lang w:val="en-US" w:eastAsia="zh-CN"/>
              </w:rPr>
            </w:pPr>
            <w:r>
              <w:rPr>
                <w:rFonts w:hint="eastAsia" w:ascii="仿宋_GB2312" w:hAnsi="宋体" w:eastAsia="仿宋_GB2312"/>
                <w:b w:val="0"/>
                <w:bCs/>
                <w:sz w:val="24"/>
                <w:szCs w:val="24"/>
                <w:lang w:val="en-US" w:eastAsia="zh-CN"/>
              </w:rPr>
              <w:t>3.</w:t>
            </w:r>
            <w:r>
              <w:rPr>
                <w:rFonts w:hint="eastAsia" w:ascii="仿宋_GB2312" w:hAnsi="宋体" w:eastAsia="仿宋_GB2312"/>
                <w:b w:val="0"/>
                <w:bCs/>
                <w:sz w:val="24"/>
                <w:szCs w:val="24"/>
              </w:rPr>
              <w:t>具备</w:t>
            </w:r>
            <w:r>
              <w:rPr>
                <w:rFonts w:hint="eastAsia" w:ascii="仿宋_GB2312" w:hAnsi="宋体" w:eastAsia="仿宋_GB2312"/>
                <w:b w:val="0"/>
                <w:bCs/>
                <w:sz w:val="24"/>
                <w:szCs w:val="24"/>
                <w:lang w:val="en-US" w:eastAsia="zh-CN"/>
              </w:rPr>
              <w:t>漆渣、滤棉的合规处置资质。</w:t>
            </w:r>
          </w:p>
          <w:p w14:paraId="1937360C">
            <w:pPr>
              <w:pStyle w:val="14"/>
              <w:snapToGrid w:val="0"/>
              <w:rPr>
                <w:rFonts w:hint="eastAsia" w:ascii="仿宋_GB2312" w:hAnsi="宋体" w:eastAsia="仿宋_GB2312"/>
                <w:b w:val="0"/>
                <w:bCs/>
                <w:sz w:val="24"/>
                <w:szCs w:val="24"/>
              </w:rPr>
            </w:pPr>
            <w:r>
              <w:rPr>
                <w:rFonts w:hint="eastAsia" w:ascii="仿宋_GB2312" w:hAnsi="宋体" w:eastAsia="仿宋_GB2312"/>
                <w:b w:val="0"/>
                <w:bCs/>
                <w:sz w:val="24"/>
                <w:szCs w:val="24"/>
                <w:lang w:val="en-US" w:eastAsia="zh-CN"/>
              </w:rPr>
              <w:t>4.</w:t>
            </w:r>
            <w:r>
              <w:rPr>
                <w:rFonts w:hint="eastAsia" w:ascii="仿宋_GB2312" w:hAnsi="宋体" w:eastAsia="仿宋_GB2312"/>
                <w:b w:val="0"/>
                <w:bCs/>
                <w:sz w:val="24"/>
                <w:szCs w:val="24"/>
              </w:rPr>
              <w:t>企业规模（注册资金，技术人员等）</w:t>
            </w:r>
          </w:p>
          <w:p w14:paraId="3B27E17E">
            <w:pPr>
              <w:pStyle w:val="14"/>
              <w:snapToGrid w:val="0"/>
              <w:rPr>
                <w:rFonts w:hint="default" w:ascii="仿宋_GB2312" w:hAnsi="宋体" w:eastAsia="仿宋_GB2312"/>
                <w:b w:val="0"/>
                <w:bCs/>
                <w:sz w:val="24"/>
                <w:szCs w:val="24"/>
                <w:lang w:val="en-US" w:eastAsia="zh-CN"/>
              </w:rPr>
            </w:pPr>
            <w:r>
              <w:rPr>
                <w:rFonts w:hint="eastAsia" w:ascii="仿宋_GB2312" w:hAnsi="宋体" w:eastAsia="仿宋_GB2312"/>
                <w:b w:val="0"/>
                <w:bCs/>
                <w:sz w:val="24"/>
                <w:szCs w:val="24"/>
                <w:lang w:val="en-US" w:eastAsia="zh-CN"/>
              </w:rPr>
              <w:t>此项满分25分。</w:t>
            </w:r>
          </w:p>
        </w:tc>
        <w:tc>
          <w:tcPr>
            <w:tcW w:w="2097" w:type="dxa"/>
            <w:vAlign w:val="center"/>
          </w:tcPr>
          <w:p w14:paraId="762132BD">
            <w:pPr>
              <w:pStyle w:val="14"/>
              <w:snapToGrid w:val="0"/>
              <w:jc w:val="center"/>
              <w:rPr>
                <w:rFonts w:hint="default" w:ascii="仿宋_GB2312" w:hAnsi="宋体" w:eastAsia="仿宋_GB2312"/>
                <w:sz w:val="24"/>
                <w:szCs w:val="24"/>
                <w:lang w:val="en-US" w:eastAsia="zh-CN"/>
              </w:rPr>
            </w:pPr>
            <w:r>
              <w:rPr>
                <w:rFonts w:hint="eastAsia" w:ascii="仿宋_GB2312" w:hAnsi="宋体" w:eastAsia="仿宋_GB2312"/>
                <w:sz w:val="24"/>
                <w:szCs w:val="24"/>
                <w:lang w:val="en-US" w:eastAsia="zh-CN"/>
              </w:rPr>
              <w:t>25</w:t>
            </w:r>
          </w:p>
        </w:tc>
      </w:tr>
      <w:tr w14:paraId="309ED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vAlign w:val="center"/>
          </w:tcPr>
          <w:p w14:paraId="29FC9BA8">
            <w:pPr>
              <w:pStyle w:val="14"/>
              <w:snapToGrid w:val="0"/>
              <w:jc w:val="center"/>
              <w:rPr>
                <w:rFonts w:hint="eastAsia" w:ascii="仿宋_GB2312" w:hAnsi="宋体" w:eastAsia="仿宋_GB2312"/>
                <w:sz w:val="24"/>
                <w:szCs w:val="24"/>
              </w:rPr>
            </w:pPr>
          </w:p>
        </w:tc>
        <w:tc>
          <w:tcPr>
            <w:tcW w:w="1695" w:type="dxa"/>
            <w:vAlign w:val="center"/>
          </w:tcPr>
          <w:p w14:paraId="5AEC3773">
            <w:pPr>
              <w:pStyle w:val="14"/>
              <w:snapToGrid w:val="0"/>
              <w:rPr>
                <w:rFonts w:ascii="仿宋_GB2312" w:eastAsia="仿宋_GB2312"/>
                <w:sz w:val="24"/>
                <w:szCs w:val="24"/>
              </w:rPr>
            </w:pPr>
            <w:r>
              <w:rPr>
                <w:rFonts w:hint="eastAsia" w:ascii="仿宋_GB2312" w:eastAsia="仿宋_GB2312"/>
                <w:sz w:val="24"/>
                <w:szCs w:val="24"/>
              </w:rPr>
              <w:t xml:space="preserve">转移及时性 </w:t>
            </w:r>
          </w:p>
          <w:p w14:paraId="33181231">
            <w:pPr>
              <w:pStyle w:val="14"/>
              <w:snapToGrid w:val="0"/>
              <w:jc w:val="center"/>
              <w:rPr>
                <w:rFonts w:hint="eastAsia" w:ascii="仿宋_GB2312" w:hAnsi="宋体" w:eastAsia="仿宋_GB2312"/>
                <w:sz w:val="24"/>
                <w:szCs w:val="24"/>
              </w:rPr>
            </w:pPr>
            <w:r>
              <w:rPr>
                <w:rFonts w:hint="eastAsia" w:ascii="仿宋_GB2312" w:hAnsi="宋体" w:eastAsia="仿宋_GB2312"/>
                <w:sz w:val="24"/>
                <w:szCs w:val="24"/>
              </w:rPr>
              <w:t>（</w:t>
            </w:r>
            <w:r>
              <w:rPr>
                <w:rFonts w:hint="eastAsia" w:ascii="仿宋_GB2312" w:hAnsi="宋体" w:eastAsia="仿宋_GB2312"/>
                <w:sz w:val="24"/>
                <w:szCs w:val="24"/>
                <w:lang w:val="en-US" w:eastAsia="zh-CN"/>
              </w:rPr>
              <w:t>50</w:t>
            </w:r>
            <w:r>
              <w:rPr>
                <w:rFonts w:hint="eastAsia" w:ascii="仿宋_GB2312" w:hAnsi="宋体" w:eastAsia="仿宋_GB2312"/>
                <w:sz w:val="24"/>
                <w:szCs w:val="24"/>
              </w:rPr>
              <w:t>分）</w:t>
            </w:r>
          </w:p>
        </w:tc>
        <w:tc>
          <w:tcPr>
            <w:tcW w:w="4820" w:type="dxa"/>
          </w:tcPr>
          <w:p w14:paraId="575575A5">
            <w:pPr>
              <w:pStyle w:val="14"/>
              <w:numPr>
                <w:ilvl w:val="0"/>
                <w:numId w:val="27"/>
              </w:numPr>
              <w:snapToGrid w:val="0"/>
              <w:rPr>
                <w:rFonts w:hint="eastAsia" w:ascii="仿宋_GB2312" w:hAnsi="宋体" w:eastAsia="仿宋_GB2312"/>
                <w:sz w:val="24"/>
                <w:szCs w:val="24"/>
                <w:lang w:eastAsia="zh-CN"/>
              </w:rPr>
            </w:pPr>
            <w:r>
              <w:rPr>
                <w:rFonts w:hint="eastAsia" w:ascii="仿宋_GB2312" w:hAnsi="宋体" w:eastAsia="仿宋_GB2312"/>
                <w:sz w:val="24"/>
                <w:szCs w:val="24"/>
                <w:lang w:val="en-US" w:eastAsia="zh-CN"/>
              </w:rPr>
              <w:t>完全</w:t>
            </w:r>
            <w:r>
              <w:rPr>
                <w:rFonts w:hint="eastAsia" w:ascii="仿宋_GB2312" w:hAnsi="宋体" w:eastAsia="仿宋_GB2312"/>
                <w:sz w:val="24"/>
                <w:szCs w:val="24"/>
              </w:rPr>
              <w:t>满足招标文件要求</w:t>
            </w:r>
            <w:r>
              <w:rPr>
                <w:rFonts w:hint="eastAsia" w:ascii="仿宋_GB2312" w:hAnsi="宋体" w:eastAsia="仿宋_GB2312"/>
                <w:sz w:val="24"/>
                <w:szCs w:val="24"/>
                <w:lang w:eastAsia="zh-CN"/>
              </w:rPr>
              <w:t>。</w:t>
            </w:r>
          </w:p>
          <w:p w14:paraId="692BE612">
            <w:pPr>
              <w:pStyle w:val="14"/>
              <w:numPr>
                <w:ilvl w:val="0"/>
                <w:numId w:val="0"/>
              </w:numPr>
              <w:snapToGrid w:val="0"/>
              <w:rPr>
                <w:rFonts w:hint="eastAsia" w:ascii="仿宋_GB2312" w:hAnsi="宋体" w:eastAsia="仿宋_GB2312"/>
                <w:sz w:val="24"/>
                <w:szCs w:val="24"/>
              </w:rPr>
            </w:pPr>
            <w:r>
              <w:rPr>
                <w:rFonts w:hint="eastAsia" w:ascii="仿宋_GB2312" w:eastAsia="仿宋_GB2312"/>
                <w:sz w:val="24"/>
                <w:szCs w:val="24"/>
                <w:lang w:val="en-US" w:eastAsia="zh-CN"/>
              </w:rPr>
              <w:t>2.</w:t>
            </w:r>
            <w:r>
              <w:rPr>
                <w:rFonts w:hint="eastAsia" w:ascii="仿宋_GB2312" w:eastAsia="仿宋_GB2312"/>
                <w:sz w:val="24"/>
                <w:szCs w:val="24"/>
              </w:rPr>
              <w:t>产生单位电话或书面通知处置单位后</w:t>
            </w:r>
            <w:r>
              <w:rPr>
                <w:rFonts w:hint="eastAsia" w:ascii="仿宋_GB2312" w:eastAsia="仿宋_GB2312"/>
                <w:sz w:val="24"/>
                <w:szCs w:val="24"/>
                <w:lang w:val="en-US" w:eastAsia="zh-CN"/>
              </w:rPr>
              <w:t>3</w:t>
            </w:r>
            <w:r>
              <w:rPr>
                <w:rFonts w:hint="eastAsia" w:ascii="仿宋_GB2312" w:eastAsia="仿宋_GB2312"/>
                <w:sz w:val="24"/>
                <w:szCs w:val="24"/>
              </w:rPr>
              <w:t>日内予以转移处置</w:t>
            </w:r>
            <w:r>
              <w:rPr>
                <w:rFonts w:hint="eastAsia" w:ascii="仿宋_GB2312" w:eastAsia="仿宋_GB2312"/>
                <w:sz w:val="24"/>
                <w:szCs w:val="24"/>
                <w:lang w:eastAsia="zh-CN"/>
              </w:rPr>
              <w:t>。</w:t>
            </w:r>
          </w:p>
          <w:p w14:paraId="3FA6EEA2">
            <w:pPr>
              <w:pStyle w:val="14"/>
              <w:numPr>
                <w:ilvl w:val="0"/>
                <w:numId w:val="0"/>
              </w:numPr>
              <w:snapToGrid w:val="0"/>
              <w:rPr>
                <w:rFonts w:hint="eastAsia" w:ascii="仿宋_GB2312" w:hAnsi="宋体" w:eastAsia="仿宋_GB2312"/>
                <w:sz w:val="24"/>
                <w:szCs w:val="24"/>
              </w:rPr>
            </w:pPr>
            <w:r>
              <w:rPr>
                <w:rFonts w:hint="eastAsia" w:ascii="仿宋_GB2312" w:hAnsi="宋体" w:eastAsia="仿宋_GB2312"/>
                <w:sz w:val="24"/>
                <w:szCs w:val="24"/>
                <w:lang w:val="en-US" w:eastAsia="zh-CN"/>
              </w:rPr>
              <w:t>3.</w:t>
            </w:r>
            <w:r>
              <w:rPr>
                <w:rFonts w:hint="eastAsia" w:ascii="仿宋_GB2312" w:hAnsi="宋体" w:eastAsia="仿宋_GB2312"/>
                <w:sz w:val="24"/>
                <w:szCs w:val="24"/>
              </w:rPr>
              <w:t>遇紧急情况能及时安排车辆</w:t>
            </w:r>
            <w:r>
              <w:rPr>
                <w:rFonts w:hint="eastAsia" w:ascii="仿宋_GB2312" w:hAnsi="宋体" w:eastAsia="仿宋_GB2312"/>
                <w:sz w:val="24"/>
                <w:szCs w:val="24"/>
                <w:lang w:val="en-US" w:eastAsia="zh-CN"/>
              </w:rPr>
              <w:t>1</w:t>
            </w:r>
            <w:r>
              <w:rPr>
                <w:rFonts w:hint="eastAsia" w:ascii="仿宋_GB2312" w:hAnsi="宋体" w:eastAsia="仿宋_GB2312"/>
                <w:sz w:val="24"/>
                <w:szCs w:val="24"/>
              </w:rPr>
              <w:t>小时到达，</w:t>
            </w:r>
          </w:p>
          <w:p w14:paraId="021D92F3">
            <w:pPr>
              <w:pStyle w:val="14"/>
              <w:snapToGrid w:val="0"/>
              <w:rPr>
                <w:rFonts w:hint="default" w:ascii="仿宋_GB2312" w:hAnsi="宋体" w:eastAsia="仿宋_GB2312"/>
                <w:sz w:val="24"/>
                <w:szCs w:val="24"/>
                <w:lang w:val="en-US" w:eastAsia="zh-CN"/>
              </w:rPr>
            </w:pPr>
            <w:r>
              <w:rPr>
                <w:rFonts w:hint="eastAsia" w:ascii="仿宋_GB2312" w:hAnsi="宋体" w:eastAsia="仿宋_GB2312"/>
                <w:sz w:val="24"/>
                <w:szCs w:val="24"/>
                <w:lang w:val="en-US" w:eastAsia="zh-CN"/>
              </w:rPr>
              <w:t>此项满分50分。</w:t>
            </w:r>
          </w:p>
        </w:tc>
        <w:tc>
          <w:tcPr>
            <w:tcW w:w="2097" w:type="dxa"/>
            <w:vAlign w:val="center"/>
          </w:tcPr>
          <w:p w14:paraId="439B1C70">
            <w:pPr>
              <w:pStyle w:val="14"/>
              <w:snapToGrid w:val="0"/>
              <w:jc w:val="center"/>
              <w:rPr>
                <w:rFonts w:hint="default" w:ascii="仿宋_GB2312" w:hAnsi="宋体" w:eastAsia="仿宋_GB2312"/>
                <w:sz w:val="24"/>
                <w:szCs w:val="24"/>
                <w:lang w:val="en-US" w:eastAsia="zh-CN"/>
              </w:rPr>
            </w:pPr>
            <w:r>
              <w:rPr>
                <w:rFonts w:hint="eastAsia" w:ascii="仿宋_GB2312" w:hAnsi="宋体" w:eastAsia="仿宋_GB2312"/>
                <w:sz w:val="24"/>
                <w:szCs w:val="24"/>
                <w:lang w:val="en-US" w:eastAsia="zh-CN"/>
              </w:rPr>
              <w:t>50</w:t>
            </w:r>
          </w:p>
        </w:tc>
      </w:tr>
      <w:tr w14:paraId="5A765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2" w:hRule="atLeast"/>
        </w:trPr>
        <w:tc>
          <w:tcPr>
            <w:tcW w:w="1135" w:type="dxa"/>
            <w:vMerge w:val="continue"/>
            <w:vAlign w:val="center"/>
          </w:tcPr>
          <w:p w14:paraId="5976E1EC">
            <w:pPr>
              <w:pStyle w:val="14"/>
              <w:snapToGrid w:val="0"/>
              <w:jc w:val="center"/>
              <w:rPr>
                <w:rFonts w:hint="eastAsia" w:ascii="仿宋_GB2312" w:hAnsi="宋体" w:eastAsia="仿宋_GB2312"/>
                <w:sz w:val="24"/>
                <w:szCs w:val="24"/>
              </w:rPr>
            </w:pPr>
          </w:p>
        </w:tc>
        <w:tc>
          <w:tcPr>
            <w:tcW w:w="1695" w:type="dxa"/>
            <w:vAlign w:val="center"/>
          </w:tcPr>
          <w:p w14:paraId="40C5F40D">
            <w:pPr>
              <w:pStyle w:val="14"/>
              <w:snapToGrid w:val="0"/>
              <w:jc w:val="center"/>
              <w:rPr>
                <w:rFonts w:hint="eastAsia" w:ascii="仿宋_GB2312" w:hAnsi="宋体" w:eastAsia="仿宋_GB2312"/>
                <w:sz w:val="24"/>
                <w:szCs w:val="24"/>
              </w:rPr>
            </w:pPr>
            <w:r>
              <w:rPr>
                <w:rFonts w:hint="eastAsia" w:ascii="仿宋_GB2312" w:hAnsi="宋体" w:eastAsia="仿宋_GB2312"/>
                <w:sz w:val="24"/>
                <w:szCs w:val="24"/>
              </w:rPr>
              <w:t>服务措施</w:t>
            </w:r>
          </w:p>
          <w:p w14:paraId="05305DFC">
            <w:pPr>
              <w:pStyle w:val="14"/>
              <w:snapToGrid w:val="0"/>
              <w:jc w:val="center"/>
              <w:rPr>
                <w:rFonts w:hint="eastAsia" w:ascii="仿宋_GB2312" w:hAnsi="宋体" w:eastAsia="仿宋_GB2312"/>
                <w:sz w:val="24"/>
                <w:szCs w:val="24"/>
              </w:rPr>
            </w:pPr>
            <w:r>
              <w:rPr>
                <w:rFonts w:hint="eastAsia" w:ascii="仿宋_GB2312" w:hAnsi="宋体" w:eastAsia="仿宋_GB2312"/>
                <w:sz w:val="24"/>
                <w:szCs w:val="24"/>
              </w:rPr>
              <w:t>（25分）</w:t>
            </w:r>
          </w:p>
        </w:tc>
        <w:tc>
          <w:tcPr>
            <w:tcW w:w="4820" w:type="dxa"/>
          </w:tcPr>
          <w:p w14:paraId="204E8461">
            <w:pPr>
              <w:pStyle w:val="14"/>
              <w:snapToGrid w:val="0"/>
              <w:rPr>
                <w:rFonts w:hint="eastAsia" w:ascii="仿宋_GB2312" w:hAnsi="宋体" w:eastAsia="仿宋_GB2312"/>
                <w:color w:val="000000" w:themeColor="text1"/>
                <w:sz w:val="24"/>
                <w:szCs w:val="24"/>
                <w:lang w:eastAsia="zh-CN"/>
                <w14:textFill>
                  <w14:solidFill>
                    <w14:schemeClr w14:val="tx1"/>
                  </w14:solidFill>
                </w14:textFill>
              </w:rPr>
            </w:pPr>
            <w:r>
              <w:rPr>
                <w:rFonts w:hint="eastAsia" w:ascii="仿宋_GB2312" w:hAnsi="宋体" w:eastAsia="仿宋_GB2312"/>
                <w:sz w:val="24"/>
                <w:szCs w:val="24"/>
                <w:lang w:val="en-US" w:eastAsia="zh-CN"/>
              </w:rPr>
              <w:t>1.</w:t>
            </w:r>
            <w:r>
              <w:rPr>
                <w:rFonts w:hint="eastAsia" w:ascii="仿宋_GB2312" w:hAnsi="宋体" w:eastAsia="仿宋_GB2312"/>
                <w:sz w:val="24"/>
                <w:szCs w:val="24"/>
              </w:rPr>
              <w:t>有过既往合</w:t>
            </w:r>
            <w:r>
              <w:rPr>
                <w:rFonts w:hint="eastAsia" w:ascii="仿宋_GB2312" w:hAnsi="宋体" w:eastAsia="仿宋_GB2312"/>
                <w:color w:val="000000" w:themeColor="text1"/>
                <w:sz w:val="24"/>
                <w:szCs w:val="24"/>
                <w14:textFill>
                  <w14:solidFill>
                    <w14:schemeClr w14:val="tx1"/>
                  </w14:solidFill>
                </w14:textFill>
              </w:rPr>
              <w:t>作历史、服务过程中无相关投诉的</w:t>
            </w:r>
            <w:r>
              <w:rPr>
                <w:rFonts w:hint="eastAsia" w:ascii="仿宋_GB2312" w:hAnsi="宋体" w:eastAsia="仿宋_GB2312"/>
                <w:color w:val="000000" w:themeColor="text1"/>
                <w:sz w:val="24"/>
                <w:szCs w:val="24"/>
                <w:lang w:eastAsia="zh-CN"/>
                <w14:textFill>
                  <w14:solidFill>
                    <w14:schemeClr w14:val="tx1"/>
                  </w14:solidFill>
                </w14:textFill>
              </w:rPr>
              <w:t>。</w:t>
            </w:r>
          </w:p>
          <w:p w14:paraId="2B92360F">
            <w:pPr>
              <w:pStyle w:val="14"/>
              <w:snapToGrid w:val="0"/>
              <w:rPr>
                <w:rFonts w:hint="eastAsia" w:ascii="仿宋_GB2312" w:hAnsi="宋体" w:eastAsia="仿宋_GB2312"/>
                <w:color w:val="000000" w:themeColor="text1"/>
                <w:sz w:val="24"/>
                <w:szCs w:val="24"/>
                <w:lang w:eastAsia="zh-CN"/>
                <w14:textFill>
                  <w14:solidFill>
                    <w14:schemeClr w14:val="tx1"/>
                  </w14:solidFill>
                </w14:textFill>
              </w:rPr>
            </w:pPr>
            <w:r>
              <w:rPr>
                <w:rFonts w:hint="eastAsia" w:ascii="仿宋_GB2312" w:hAnsi="宋体" w:eastAsia="仿宋_GB2312"/>
                <w:color w:val="000000" w:themeColor="text1"/>
                <w:sz w:val="24"/>
                <w:szCs w:val="24"/>
                <w:lang w:val="en-US" w:eastAsia="zh-CN"/>
                <w14:textFill>
                  <w14:solidFill>
                    <w14:schemeClr w14:val="tx1"/>
                  </w14:solidFill>
                </w14:textFill>
              </w:rPr>
              <w:t>2.制定</w:t>
            </w:r>
            <w:r>
              <w:rPr>
                <w:rFonts w:hint="eastAsia" w:ascii="仿宋_GB2312" w:hAnsi="宋体" w:eastAsia="仿宋_GB2312"/>
                <w:color w:val="000000" w:themeColor="text1"/>
                <w:sz w:val="24"/>
                <w:szCs w:val="24"/>
                <w14:textFill>
                  <w14:solidFill>
                    <w14:schemeClr w14:val="tx1"/>
                  </w14:solidFill>
                </w14:textFill>
              </w:rPr>
              <w:t>单次拉运不足10吨的拉运方案</w:t>
            </w:r>
            <w:r>
              <w:rPr>
                <w:rFonts w:hint="eastAsia" w:ascii="仿宋_GB2312" w:hAnsi="宋体" w:eastAsia="仿宋_GB2312"/>
                <w:color w:val="000000" w:themeColor="text1"/>
                <w:sz w:val="24"/>
                <w:szCs w:val="24"/>
                <w:lang w:eastAsia="zh-CN"/>
                <w14:textFill>
                  <w14:solidFill>
                    <w14:schemeClr w14:val="tx1"/>
                  </w14:solidFill>
                </w14:textFill>
              </w:rPr>
              <w:t>，</w:t>
            </w:r>
            <w:r>
              <w:rPr>
                <w:rFonts w:hint="eastAsia" w:ascii="仿宋_GB2312" w:hAnsi="宋体" w:eastAsia="仿宋_GB2312"/>
                <w:color w:val="000000" w:themeColor="text1"/>
                <w:sz w:val="24"/>
                <w:szCs w:val="24"/>
                <w:lang w:val="en-US" w:eastAsia="zh-CN"/>
                <w14:textFill>
                  <w14:solidFill>
                    <w14:schemeClr w14:val="tx1"/>
                  </w14:solidFill>
                </w14:textFill>
              </w:rPr>
              <w:t>且</w:t>
            </w:r>
            <w:r>
              <w:rPr>
                <w:rFonts w:hint="eastAsia" w:ascii="仿宋_GB2312" w:hAnsi="宋体" w:eastAsia="仿宋_GB2312"/>
                <w:color w:val="000000" w:themeColor="text1"/>
                <w:sz w:val="24"/>
                <w:szCs w:val="24"/>
                <w14:textFill>
                  <w14:solidFill>
                    <w14:schemeClr w14:val="tx1"/>
                  </w14:solidFill>
                </w14:textFill>
              </w:rPr>
              <w:t>适用</w:t>
            </w:r>
            <w:r>
              <w:rPr>
                <w:rFonts w:hint="eastAsia" w:ascii="仿宋_GB2312" w:hAnsi="宋体" w:eastAsia="仿宋_GB2312"/>
                <w:color w:val="000000" w:themeColor="text1"/>
                <w:sz w:val="24"/>
                <w:szCs w:val="24"/>
                <w:lang w:eastAsia="zh-CN"/>
                <w14:textFill>
                  <w14:solidFill>
                    <w14:schemeClr w14:val="tx1"/>
                  </w14:solidFill>
                </w14:textFill>
              </w:rPr>
              <w:t>、</w:t>
            </w:r>
            <w:r>
              <w:rPr>
                <w:rFonts w:hint="eastAsia" w:ascii="仿宋_GB2312" w:hAnsi="宋体" w:eastAsia="仿宋_GB2312"/>
                <w:color w:val="000000" w:themeColor="text1"/>
                <w:sz w:val="24"/>
                <w:szCs w:val="24"/>
                <w14:textFill>
                  <w14:solidFill>
                    <w14:schemeClr w14:val="tx1"/>
                  </w14:solidFill>
                </w14:textFill>
              </w:rPr>
              <w:t>合理</w:t>
            </w:r>
            <w:r>
              <w:rPr>
                <w:rFonts w:hint="eastAsia" w:ascii="仿宋_GB2312" w:hAnsi="宋体" w:eastAsia="仿宋_GB2312"/>
                <w:color w:val="000000" w:themeColor="text1"/>
                <w:sz w:val="24"/>
                <w:szCs w:val="24"/>
                <w:lang w:eastAsia="zh-CN"/>
                <w14:textFill>
                  <w14:solidFill>
                    <w14:schemeClr w14:val="tx1"/>
                  </w14:solidFill>
                </w14:textFill>
              </w:rPr>
              <w:t>。</w:t>
            </w:r>
          </w:p>
          <w:p w14:paraId="2CAD1985">
            <w:pPr>
              <w:pStyle w:val="14"/>
              <w:snapToGrid w:val="0"/>
              <w:rPr>
                <w:rFonts w:hint="eastAsia" w:ascii="仿宋_GB2312" w:hAnsi="宋体" w:eastAsia="仿宋_GB2312"/>
                <w:color w:val="000000" w:themeColor="text1"/>
                <w:sz w:val="24"/>
                <w:szCs w:val="24"/>
                <w:lang w:eastAsia="zh-CN"/>
                <w14:textFill>
                  <w14:solidFill>
                    <w14:schemeClr w14:val="tx1"/>
                  </w14:solidFill>
                </w14:textFill>
              </w:rPr>
            </w:pPr>
            <w:r>
              <w:rPr>
                <w:rFonts w:hint="eastAsia" w:ascii="仿宋_GB2312" w:hAnsi="宋体" w:eastAsia="仿宋_GB2312"/>
                <w:color w:val="000000" w:themeColor="text1"/>
                <w:sz w:val="24"/>
                <w:szCs w:val="24"/>
                <w:lang w:val="en-US" w:eastAsia="zh-CN"/>
                <w14:textFill>
                  <w14:solidFill>
                    <w14:schemeClr w14:val="tx1"/>
                  </w14:solidFill>
                </w14:textFill>
              </w:rPr>
              <w:t>3.</w:t>
            </w:r>
            <w:r>
              <w:rPr>
                <w:rFonts w:hint="eastAsia" w:ascii="仿宋_GB2312" w:hAnsi="宋体" w:eastAsia="仿宋_GB2312"/>
                <w:color w:val="000000" w:themeColor="text1"/>
                <w:sz w:val="24"/>
                <w:szCs w:val="24"/>
                <w14:textFill>
                  <w14:solidFill>
                    <w14:schemeClr w14:val="tx1"/>
                  </w14:solidFill>
                </w14:textFill>
              </w:rPr>
              <w:t>无既往合作历史但能够提供</w:t>
            </w:r>
            <w:r>
              <w:rPr>
                <w:rFonts w:hint="eastAsia" w:ascii="仿宋_GB2312" w:hAnsi="宋体" w:eastAsia="仿宋_GB2312"/>
                <w:color w:val="000000" w:themeColor="text1"/>
                <w:sz w:val="24"/>
                <w:szCs w:val="24"/>
                <w:lang w:val="en-US" w:eastAsia="zh-CN"/>
                <w14:textFill>
                  <w14:solidFill>
                    <w14:schemeClr w14:val="tx1"/>
                  </w14:solidFill>
                </w14:textFill>
              </w:rPr>
              <w:t>额外相关</w:t>
            </w:r>
            <w:r>
              <w:rPr>
                <w:rFonts w:hint="eastAsia" w:ascii="仿宋_GB2312" w:hAnsi="宋体" w:eastAsia="仿宋_GB2312"/>
                <w:color w:val="000000" w:themeColor="text1"/>
                <w:sz w:val="24"/>
                <w:szCs w:val="24"/>
                <w14:textFill>
                  <w14:solidFill>
                    <w14:schemeClr w14:val="tx1"/>
                  </w14:solidFill>
                </w14:textFill>
              </w:rPr>
              <w:t>服务的：</w:t>
            </w:r>
            <w:r>
              <w:rPr>
                <w:rFonts w:hint="eastAsia" w:ascii="仿宋_GB2312" w:hAnsi="宋体" w:eastAsia="仿宋_GB2312"/>
                <w:color w:val="000000" w:themeColor="text1"/>
                <w:sz w:val="24"/>
                <w:szCs w:val="24"/>
                <w:lang w:val="en-US" w:eastAsia="zh-CN"/>
                <w14:textFill>
                  <w14:solidFill>
                    <w14:schemeClr w14:val="tx1"/>
                  </w14:solidFill>
                </w14:textFill>
              </w:rPr>
              <w:t>如</w:t>
            </w:r>
            <w:r>
              <w:rPr>
                <w:rFonts w:hint="eastAsia" w:ascii="仿宋_GB2312" w:hAnsi="宋体" w:eastAsia="仿宋_GB2312"/>
                <w:color w:val="000000" w:themeColor="text1"/>
                <w:sz w:val="24"/>
                <w:szCs w:val="24"/>
                <w14:textFill>
                  <w14:solidFill>
                    <w14:schemeClr w14:val="tx1"/>
                  </w14:solidFill>
                </w14:textFill>
              </w:rPr>
              <w:t>危险货物自主装卸等</w:t>
            </w:r>
            <w:r>
              <w:rPr>
                <w:rFonts w:hint="eastAsia" w:ascii="仿宋_GB2312" w:hAnsi="宋体" w:eastAsia="仿宋_GB2312"/>
                <w:color w:val="000000" w:themeColor="text1"/>
                <w:sz w:val="24"/>
                <w:szCs w:val="24"/>
                <w:lang w:eastAsia="zh-CN"/>
                <w14:textFill>
                  <w14:solidFill>
                    <w14:schemeClr w14:val="tx1"/>
                  </w14:solidFill>
                </w14:textFill>
              </w:rPr>
              <w:t>。</w:t>
            </w:r>
          </w:p>
          <w:p w14:paraId="316F90D4">
            <w:pPr>
              <w:pStyle w:val="14"/>
              <w:snapToGrid w:val="0"/>
              <w:rPr>
                <w:rFonts w:hint="default" w:ascii="仿宋_GB2312" w:hAnsi="宋体" w:eastAsia="仿宋_GB2312"/>
                <w:color w:val="000000" w:themeColor="text1"/>
                <w:sz w:val="24"/>
                <w:szCs w:val="24"/>
                <w:lang w:val="en-US" w:eastAsia="zh-CN"/>
                <w14:textFill>
                  <w14:solidFill>
                    <w14:schemeClr w14:val="tx1"/>
                  </w14:solidFill>
                </w14:textFill>
              </w:rPr>
            </w:pPr>
            <w:r>
              <w:rPr>
                <w:rFonts w:hint="eastAsia" w:ascii="仿宋_GB2312" w:hAnsi="宋体" w:eastAsia="仿宋_GB2312"/>
                <w:color w:val="000000" w:themeColor="text1"/>
                <w:sz w:val="24"/>
                <w:szCs w:val="24"/>
                <w:lang w:val="en-US" w:eastAsia="zh-CN"/>
                <w14:textFill>
                  <w14:solidFill>
                    <w14:schemeClr w14:val="tx1"/>
                  </w14:solidFill>
                </w14:textFill>
              </w:rPr>
              <w:t>此项满分25分。</w:t>
            </w:r>
          </w:p>
        </w:tc>
        <w:tc>
          <w:tcPr>
            <w:tcW w:w="2097" w:type="dxa"/>
            <w:vAlign w:val="center"/>
          </w:tcPr>
          <w:p w14:paraId="07B8E002">
            <w:pPr>
              <w:pStyle w:val="17"/>
              <w:snapToGrid w:val="0"/>
              <w:jc w:val="center"/>
              <w:rPr>
                <w:rFonts w:hint="eastAsia" w:ascii="仿宋_GB2312" w:hAnsi="宋体" w:eastAsia="仿宋_GB2312"/>
                <w:sz w:val="24"/>
                <w:szCs w:val="24"/>
              </w:rPr>
            </w:pPr>
            <w:r>
              <w:rPr>
                <w:rFonts w:hint="eastAsia" w:ascii="仿宋_GB2312" w:hAnsi="宋体" w:eastAsia="仿宋_GB2312"/>
                <w:sz w:val="24"/>
                <w:szCs w:val="24"/>
              </w:rPr>
              <w:t>25</w:t>
            </w:r>
          </w:p>
        </w:tc>
      </w:tr>
      <w:tr w14:paraId="3E50D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1135" w:type="dxa"/>
            <w:vAlign w:val="center"/>
          </w:tcPr>
          <w:p w14:paraId="088C7121">
            <w:pPr>
              <w:pStyle w:val="14"/>
              <w:snapToGrid w:val="0"/>
              <w:jc w:val="center"/>
              <w:rPr>
                <w:rFonts w:hint="eastAsia" w:ascii="仿宋_GB2312" w:hAnsi="宋体" w:eastAsia="仿宋_GB2312"/>
                <w:sz w:val="24"/>
                <w:szCs w:val="24"/>
              </w:rPr>
            </w:pPr>
            <w:r>
              <w:rPr>
                <w:rFonts w:hint="eastAsia" w:ascii="仿宋_GB2312" w:hAnsi="宋体" w:eastAsia="仿宋_GB2312"/>
                <w:sz w:val="24"/>
                <w:szCs w:val="24"/>
              </w:rPr>
              <w:t>商务</w:t>
            </w:r>
          </w:p>
        </w:tc>
        <w:tc>
          <w:tcPr>
            <w:tcW w:w="1695" w:type="dxa"/>
            <w:vAlign w:val="center"/>
          </w:tcPr>
          <w:p w14:paraId="0EDCB517">
            <w:pPr>
              <w:pStyle w:val="14"/>
              <w:snapToGrid w:val="0"/>
              <w:jc w:val="center"/>
              <w:rPr>
                <w:rFonts w:hint="eastAsia" w:ascii="仿宋_GB2312" w:hAnsi="宋体" w:eastAsia="仿宋_GB2312"/>
                <w:sz w:val="24"/>
                <w:szCs w:val="24"/>
              </w:rPr>
            </w:pPr>
            <w:r>
              <w:rPr>
                <w:rFonts w:hint="eastAsia" w:ascii="仿宋_GB2312" w:hAnsi="宋体" w:eastAsia="仿宋_GB2312"/>
                <w:sz w:val="24"/>
                <w:szCs w:val="24"/>
              </w:rPr>
              <w:t>投标报价</w:t>
            </w:r>
          </w:p>
          <w:p w14:paraId="441BEC60">
            <w:pPr>
              <w:pStyle w:val="14"/>
              <w:snapToGrid w:val="0"/>
              <w:jc w:val="center"/>
              <w:rPr>
                <w:rFonts w:hint="eastAsia" w:ascii="仿宋_GB2312" w:hAnsi="宋体" w:eastAsia="仿宋_GB2312"/>
                <w:sz w:val="24"/>
                <w:szCs w:val="24"/>
              </w:rPr>
            </w:pPr>
            <w:r>
              <w:rPr>
                <w:rFonts w:hint="eastAsia" w:ascii="仿宋_GB2312" w:hAnsi="宋体" w:eastAsia="仿宋_GB2312"/>
                <w:sz w:val="24"/>
                <w:szCs w:val="24"/>
              </w:rPr>
              <w:t>（</w:t>
            </w:r>
            <w:r>
              <w:rPr>
                <w:rFonts w:hint="eastAsia" w:ascii="仿宋_GB2312" w:hAnsi="宋体" w:eastAsia="仿宋_GB2312"/>
                <w:sz w:val="24"/>
                <w:szCs w:val="24"/>
                <w:lang w:val="en-US" w:eastAsia="zh-CN"/>
              </w:rPr>
              <w:t>100</w:t>
            </w:r>
            <w:r>
              <w:rPr>
                <w:rFonts w:hint="eastAsia" w:ascii="仿宋_GB2312" w:hAnsi="宋体" w:eastAsia="仿宋_GB2312"/>
                <w:sz w:val="24"/>
                <w:szCs w:val="24"/>
              </w:rPr>
              <w:t>分）</w:t>
            </w:r>
          </w:p>
        </w:tc>
        <w:tc>
          <w:tcPr>
            <w:tcW w:w="4820" w:type="dxa"/>
          </w:tcPr>
          <w:p w14:paraId="7E48017A">
            <w:pPr>
              <w:pStyle w:val="14"/>
              <w:snapToGrid w:val="0"/>
              <w:rPr>
                <w:rFonts w:hint="eastAsia" w:ascii="仿宋_GB2312" w:hAnsi="宋体" w:eastAsia="仿宋_GB2312"/>
                <w:sz w:val="24"/>
                <w:szCs w:val="24"/>
              </w:rPr>
            </w:pPr>
            <w:r>
              <w:rPr>
                <w:rFonts w:hint="eastAsia" w:ascii="仿宋_GB2312" w:hAnsi="宋体" w:eastAsia="仿宋_GB2312"/>
                <w:sz w:val="24"/>
                <w:szCs w:val="24"/>
              </w:rPr>
              <w:t>1.经初审合格的投标文件其投标报价为有效报价；</w:t>
            </w:r>
          </w:p>
          <w:p w14:paraId="2B6DA706">
            <w:pPr>
              <w:pStyle w:val="14"/>
              <w:snapToGrid w:val="0"/>
              <w:rPr>
                <w:rFonts w:hint="eastAsia" w:ascii="仿宋_GB2312" w:hAnsi="宋体" w:eastAsia="仿宋_GB2312"/>
                <w:sz w:val="24"/>
                <w:szCs w:val="24"/>
              </w:rPr>
            </w:pPr>
            <w:r>
              <w:rPr>
                <w:rFonts w:hint="eastAsia" w:ascii="仿宋_GB2312" w:hAnsi="宋体" w:eastAsia="仿宋_GB2312"/>
                <w:sz w:val="24"/>
                <w:szCs w:val="24"/>
              </w:rPr>
              <w:t>2.商务标得分=当前轮次最低价/供方投标价×商务标总分；</w:t>
            </w:r>
          </w:p>
          <w:p w14:paraId="28AD54D7">
            <w:pPr>
              <w:pStyle w:val="14"/>
              <w:snapToGrid w:val="0"/>
              <w:rPr>
                <w:rFonts w:hint="eastAsia" w:ascii="仿宋_GB2312" w:hAnsi="宋体" w:eastAsia="仿宋_GB2312"/>
                <w:sz w:val="24"/>
                <w:szCs w:val="24"/>
              </w:rPr>
            </w:pPr>
            <w:r>
              <w:rPr>
                <w:rFonts w:hint="eastAsia" w:ascii="仿宋_GB2312" w:hAnsi="宋体" w:eastAsia="仿宋_GB2312"/>
                <w:sz w:val="24"/>
                <w:szCs w:val="24"/>
              </w:rPr>
              <w:t>3.百分率、得分值小数点后保留二位，第三位四舍五入。</w:t>
            </w:r>
          </w:p>
        </w:tc>
        <w:tc>
          <w:tcPr>
            <w:tcW w:w="2097" w:type="dxa"/>
            <w:vAlign w:val="center"/>
          </w:tcPr>
          <w:p w14:paraId="1C9C96C5">
            <w:pPr>
              <w:pStyle w:val="14"/>
              <w:snapToGrid w:val="0"/>
              <w:ind w:firstLine="360" w:firstLineChars="150"/>
              <w:jc w:val="center"/>
              <w:rPr>
                <w:rFonts w:hint="default" w:ascii="仿宋_GB2312" w:hAnsi="宋体" w:eastAsia="仿宋_GB2312"/>
                <w:sz w:val="24"/>
                <w:szCs w:val="24"/>
                <w:lang w:val="en-US" w:eastAsia="zh-CN"/>
              </w:rPr>
            </w:pPr>
            <w:r>
              <w:rPr>
                <w:rFonts w:hint="eastAsia" w:ascii="仿宋_GB2312" w:hAnsi="宋体" w:eastAsia="仿宋_GB2312"/>
                <w:sz w:val="24"/>
                <w:szCs w:val="24"/>
                <w:lang w:val="en-US" w:eastAsia="zh-CN"/>
              </w:rPr>
              <w:t>100</w:t>
            </w:r>
          </w:p>
        </w:tc>
      </w:tr>
    </w:tbl>
    <w:p w14:paraId="6754D211">
      <w:pPr>
        <w:pStyle w:val="72"/>
        <w:numPr>
          <w:ilvl w:val="0"/>
          <w:numId w:val="0"/>
        </w:numPr>
        <w:rPr>
          <w:rFonts w:hint="default" w:ascii="宋体" w:hAnsi="宋体" w:eastAsia="宋体" w:cs="宋体"/>
          <w:b w:val="0"/>
          <w:bCs w:val="0"/>
          <w:sz w:val="24"/>
          <w:szCs w:val="24"/>
          <w:highlight w:val="none"/>
          <w:lang w:val="en-US" w:eastAsia="zh-CN"/>
        </w:rPr>
      </w:pPr>
    </w:p>
    <w:p w14:paraId="7C0A112D">
      <w:pPr>
        <w:pStyle w:val="72"/>
      </w:pPr>
      <w:r>
        <w:rPr>
          <w:rFonts w:hint="eastAsia"/>
          <w:lang w:val="en-US" w:eastAsia="zh-CN"/>
        </w:rPr>
        <w:t>定标</w:t>
      </w:r>
    </w:p>
    <w:p w14:paraId="6B705137">
      <w:pPr>
        <w:pStyle w:val="72"/>
        <w:keepNext w:val="0"/>
        <w:keepLines w:val="0"/>
        <w:pageBreakBefore w:val="0"/>
        <w:widowControl w:val="0"/>
        <w:numPr>
          <w:ilvl w:val="0"/>
          <w:numId w:val="0"/>
        </w:numPr>
        <w:kinsoku/>
        <w:wordWrap/>
        <w:overflowPunct/>
        <w:topLinePunct w:val="0"/>
        <w:autoSpaceDE/>
        <w:autoSpaceDN/>
        <w:bidi w:val="0"/>
        <w:adjustRightInd/>
        <w:snapToGrid/>
        <w:ind w:leftChars="0" w:firstLine="0" w:firstLineChars="0"/>
        <w:textAlignment w:val="auto"/>
        <w:rPr>
          <w:rFonts w:hint="eastAsia" w:ascii="宋体" w:hAnsi="宋体" w:eastAsia="宋体" w:cs="宋体"/>
          <w:b w:val="0"/>
          <w:bCs w:val="0"/>
          <w:sz w:val="21"/>
          <w:szCs w:val="21"/>
          <w:highlight w:val="none"/>
          <w:lang w:eastAsia="zh-CN"/>
        </w:rPr>
      </w:pPr>
      <w:r>
        <w:rPr>
          <w:rFonts w:hint="eastAsia" w:ascii="宋体" w:hAnsi="宋体" w:eastAsia="宋体" w:cs="宋体"/>
          <w:b w:val="0"/>
          <w:bCs w:val="0"/>
          <w:sz w:val="21"/>
          <w:szCs w:val="21"/>
          <w:highlight w:val="none"/>
        </w:rPr>
        <w:t>本项目只产生</w:t>
      </w:r>
      <w:r>
        <w:rPr>
          <w:rFonts w:hint="eastAsia" w:ascii="宋体" w:hAnsi="宋体" w:eastAsia="宋体" w:cs="宋体"/>
          <w:b w:val="0"/>
          <w:bCs w:val="0"/>
          <w:sz w:val="21"/>
          <w:szCs w:val="21"/>
          <w:highlight w:val="yellow"/>
          <w:u w:val="single"/>
          <w:lang w:val="en-US" w:eastAsia="zh-CN"/>
        </w:rPr>
        <w:t xml:space="preserve"> </w:t>
      </w:r>
      <w:r>
        <w:rPr>
          <w:rFonts w:hint="eastAsia" w:ascii="宋体" w:hAnsi="宋体" w:eastAsia="宋体" w:cs="宋体"/>
          <w:b w:val="0"/>
          <w:bCs w:val="0"/>
          <w:color w:val="FF0000"/>
          <w:sz w:val="21"/>
          <w:szCs w:val="21"/>
          <w:highlight w:val="yellow"/>
          <w:u w:val="single"/>
          <w:lang w:val="en-US" w:eastAsia="zh-CN"/>
        </w:rPr>
        <w:t>1</w:t>
      </w:r>
      <w:r>
        <w:rPr>
          <w:rFonts w:hint="eastAsia" w:ascii="宋体" w:hAnsi="宋体" w:eastAsia="宋体" w:cs="宋体"/>
          <w:b w:val="0"/>
          <w:bCs w:val="0"/>
          <w:sz w:val="21"/>
          <w:szCs w:val="21"/>
          <w:highlight w:val="yellow"/>
          <w:u w:val="single"/>
          <w:lang w:val="en-US" w:eastAsia="zh-CN"/>
        </w:rPr>
        <w:t xml:space="preserve">  </w:t>
      </w:r>
      <w:r>
        <w:rPr>
          <w:rFonts w:hint="eastAsia" w:ascii="宋体" w:hAnsi="宋体" w:eastAsia="宋体" w:cs="宋体"/>
          <w:b w:val="0"/>
          <w:bCs w:val="0"/>
          <w:sz w:val="21"/>
          <w:szCs w:val="21"/>
          <w:highlight w:val="none"/>
        </w:rPr>
        <w:t>个中标人。中标人签订合同前须进行最终审查。最终审查的对象</w:t>
      </w:r>
      <w:r>
        <w:rPr>
          <w:rFonts w:hint="eastAsia" w:ascii="宋体" w:hAnsi="宋体" w:eastAsia="宋体" w:cs="宋体"/>
          <w:b w:val="0"/>
          <w:bCs w:val="0"/>
          <w:sz w:val="21"/>
          <w:szCs w:val="21"/>
          <w:highlight w:val="none"/>
          <w:lang w:val="en-US" w:eastAsia="zh-CN"/>
        </w:rPr>
        <w:t>是</w:t>
      </w:r>
      <w:r>
        <w:rPr>
          <w:rFonts w:hint="eastAsia" w:ascii="宋体" w:hAnsi="宋体" w:eastAsia="宋体" w:cs="宋体"/>
          <w:b w:val="0"/>
          <w:bCs w:val="0"/>
          <w:sz w:val="21"/>
          <w:szCs w:val="21"/>
          <w:highlight w:val="none"/>
        </w:rPr>
        <w:t>投标项目的中标候选人。最终审查的内容是对中标候选人的经营状况、服务质量、资格、信誉以及招标人认为有必要了解的其它问题作进一步的考查及后审。最终审查的方式，根据需要采取问询或实地查证等方式。如审查结果不符合成交条件</w:t>
      </w:r>
      <w:r>
        <w:rPr>
          <w:rFonts w:hint="eastAsia" w:ascii="宋体" w:hAnsi="宋体" w:eastAsia="宋体" w:cs="宋体"/>
          <w:b w:val="0"/>
          <w:bCs w:val="0"/>
          <w:sz w:val="21"/>
          <w:szCs w:val="21"/>
          <w:highlight w:val="none"/>
          <w:lang w:val="en-US" w:eastAsia="zh-CN"/>
        </w:rPr>
        <w:t>的</w:t>
      </w:r>
      <w:r>
        <w:rPr>
          <w:rFonts w:hint="eastAsia" w:ascii="宋体" w:hAnsi="宋体" w:eastAsia="宋体" w:cs="宋体"/>
          <w:b w:val="0"/>
          <w:bCs w:val="0"/>
          <w:sz w:val="21"/>
          <w:szCs w:val="21"/>
          <w:highlight w:val="none"/>
        </w:rPr>
        <w:t>，则本次评标作废</w:t>
      </w:r>
      <w:r>
        <w:rPr>
          <w:rFonts w:hint="eastAsia" w:ascii="宋体" w:hAnsi="宋体" w:eastAsia="宋体" w:cs="宋体"/>
          <w:b w:val="0"/>
          <w:bCs w:val="0"/>
          <w:sz w:val="21"/>
          <w:szCs w:val="21"/>
          <w:highlight w:val="none"/>
          <w:lang w:val="en-US" w:eastAsia="zh-CN"/>
        </w:rPr>
        <w:t>或变更意向中标人</w:t>
      </w:r>
      <w:r>
        <w:rPr>
          <w:rFonts w:hint="eastAsia" w:ascii="宋体" w:hAnsi="宋体" w:eastAsia="宋体" w:cs="宋体"/>
          <w:b w:val="0"/>
          <w:bCs w:val="0"/>
          <w:sz w:val="21"/>
          <w:szCs w:val="21"/>
          <w:highlight w:val="none"/>
          <w:lang w:eastAsia="zh-CN"/>
        </w:rPr>
        <w:t>。</w:t>
      </w:r>
    </w:p>
    <w:p w14:paraId="62C1FD49">
      <w:pPr>
        <w:pStyle w:val="72"/>
        <w:keepNext w:val="0"/>
        <w:keepLines w:val="0"/>
        <w:pageBreakBefore w:val="0"/>
        <w:widowControl w:val="0"/>
        <w:numPr>
          <w:ilvl w:val="0"/>
          <w:numId w:val="0"/>
        </w:numPr>
        <w:kinsoku/>
        <w:wordWrap/>
        <w:overflowPunct/>
        <w:topLinePunct w:val="0"/>
        <w:autoSpaceDE/>
        <w:autoSpaceDN/>
        <w:bidi w:val="0"/>
        <w:adjustRightInd/>
        <w:snapToGrid/>
        <w:ind w:leftChars="0" w:firstLine="0" w:firstLineChars="0"/>
        <w:textAlignment w:val="auto"/>
        <w:rPr>
          <w:rFonts w:hint="eastAsia" w:ascii="宋体" w:hAnsi="宋体" w:eastAsia="宋体" w:cs="宋体"/>
          <w:b w:val="0"/>
          <w:bCs w:val="0"/>
          <w:sz w:val="21"/>
          <w:szCs w:val="21"/>
          <w:highlight w:val="none"/>
          <w:lang w:eastAsia="zh-CN"/>
        </w:rPr>
      </w:pPr>
      <w:r>
        <w:rPr>
          <w:rFonts w:hint="eastAsia" w:ascii="宋体" w:hAnsi="宋体" w:eastAsia="宋体" w:cs="宋体"/>
          <w:b w:val="0"/>
          <w:bCs w:val="0"/>
          <w:sz w:val="21"/>
          <w:szCs w:val="21"/>
          <w:highlight w:val="none"/>
          <w:lang w:eastAsia="zh-CN"/>
        </w:rPr>
        <w:t>服务过程中招标人有危废拉运需求时将遵循以下原则：中标单位收到拉运需求后在承诺时间内</w:t>
      </w:r>
      <w:r>
        <w:rPr>
          <w:rFonts w:hint="eastAsia" w:ascii="宋体" w:hAnsi="宋体" w:eastAsia="宋体" w:cs="宋体"/>
          <w:b w:val="0"/>
          <w:bCs w:val="0"/>
          <w:sz w:val="21"/>
          <w:szCs w:val="21"/>
          <w:highlight w:val="none"/>
          <w:lang w:val="en-US" w:eastAsia="zh-CN"/>
        </w:rPr>
        <w:t>完成拉运</w:t>
      </w:r>
      <w:r>
        <w:rPr>
          <w:rFonts w:hint="eastAsia" w:ascii="宋体" w:hAnsi="宋体" w:eastAsia="宋体" w:cs="宋体"/>
          <w:b w:val="0"/>
          <w:bCs w:val="0"/>
          <w:sz w:val="21"/>
          <w:szCs w:val="21"/>
          <w:highlight w:val="none"/>
          <w:lang w:eastAsia="zh-CN"/>
        </w:rPr>
        <w:t>（以报价时承诺的转移时间为准，最长</w:t>
      </w:r>
      <w:r>
        <w:rPr>
          <w:rFonts w:hint="eastAsia" w:ascii="宋体" w:hAnsi="宋体" w:eastAsia="宋体" w:cs="宋体"/>
          <w:b w:val="0"/>
          <w:bCs w:val="0"/>
          <w:sz w:val="21"/>
          <w:szCs w:val="21"/>
          <w:highlight w:val="none"/>
          <w:lang w:val="en-US" w:eastAsia="zh-CN"/>
        </w:rPr>
        <w:t>3</w:t>
      </w:r>
      <w:r>
        <w:rPr>
          <w:rFonts w:hint="eastAsia" w:ascii="宋体" w:hAnsi="宋体" w:eastAsia="宋体" w:cs="宋体"/>
          <w:b w:val="0"/>
          <w:bCs w:val="0"/>
          <w:sz w:val="21"/>
          <w:szCs w:val="21"/>
          <w:highlight w:val="none"/>
          <w:lang w:eastAsia="zh-CN"/>
        </w:rPr>
        <w:t>个日历日）</w:t>
      </w:r>
    </w:p>
    <w:p w14:paraId="434A2260">
      <w:pPr>
        <w:pStyle w:val="72"/>
      </w:pPr>
      <w:r>
        <w:rPr>
          <w:rFonts w:hint="eastAsia"/>
          <w:lang w:val="en-US" w:eastAsia="zh-CN"/>
        </w:rPr>
        <w:t>废标及终止招标</w:t>
      </w:r>
    </w:p>
    <w:p w14:paraId="2C8EAF4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w:t>
      </w:r>
      <w:r>
        <w:rPr>
          <w:rFonts w:hint="eastAsia" w:ascii="宋体" w:hAnsi="宋体" w:eastAsia="宋体" w:cs="宋体"/>
          <w:color w:val="000000"/>
          <w:sz w:val="21"/>
          <w:szCs w:val="21"/>
          <w:highlight w:val="none"/>
        </w:rPr>
        <w:t>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7F5A6C5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w:t>
      </w:r>
      <w:r>
        <w:rPr>
          <w:rFonts w:hint="eastAsia" w:ascii="宋体" w:hAnsi="宋体" w:eastAsia="宋体" w:cs="宋体"/>
          <w:color w:val="000000"/>
          <w:sz w:val="21"/>
          <w:szCs w:val="21"/>
          <w:highlight w:val="none"/>
        </w:rPr>
        <w:t>投标人提供的有关资格、资质证明文件不合格、不真实或提供虚假投标材料；</w:t>
      </w:r>
    </w:p>
    <w:p w14:paraId="3B8EDBB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(2)</w:t>
      </w:r>
      <w:r>
        <w:rPr>
          <w:rFonts w:hint="eastAsia" w:ascii="宋体" w:hAnsi="宋体" w:eastAsia="宋体" w:cs="宋体"/>
          <w:color w:val="000000"/>
          <w:sz w:val="21"/>
          <w:szCs w:val="21"/>
          <w:highlight w:val="none"/>
        </w:rPr>
        <w:t>投标人在报价有效期内撤回投标；</w:t>
      </w:r>
    </w:p>
    <w:p w14:paraId="4343009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(3)</w:t>
      </w:r>
      <w:r>
        <w:rPr>
          <w:rFonts w:hint="eastAsia" w:ascii="宋体" w:hAnsi="宋体" w:eastAsia="宋体" w:cs="宋体"/>
          <w:color w:val="000000"/>
          <w:sz w:val="21"/>
          <w:szCs w:val="21"/>
          <w:highlight w:val="none"/>
        </w:rPr>
        <w:t>在整个评标过程中，投标人有企图影响评标结果公正性的任何活动；</w:t>
      </w:r>
    </w:p>
    <w:p w14:paraId="0178F8B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lang w:eastAsia="zh-CN"/>
        </w:rPr>
      </w:pPr>
      <w:r>
        <w:rPr>
          <w:rFonts w:hint="default" w:ascii="宋体" w:hAnsi="宋体" w:eastAsia="宋体" w:cs="宋体"/>
          <w:color w:val="000000"/>
          <w:kern w:val="2"/>
          <w:sz w:val="21"/>
          <w:szCs w:val="21"/>
          <w:lang w:val="en-US" w:eastAsia="zh-CN" w:bidi="ar-SA"/>
        </w:rPr>
        <w:t>(4)</w:t>
      </w:r>
      <w:r>
        <w:rPr>
          <w:rFonts w:hint="eastAsia" w:ascii="宋体" w:hAnsi="宋体" w:eastAsia="宋体" w:cs="宋体"/>
          <w:color w:val="000000"/>
          <w:sz w:val="21"/>
          <w:szCs w:val="21"/>
          <w:highlight w:val="none"/>
        </w:rPr>
        <w:t>投标人以任何方式诋毁其他投标人；</w:t>
      </w:r>
    </w:p>
    <w:p w14:paraId="4A1479F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(5)</w:t>
      </w:r>
      <w:r>
        <w:rPr>
          <w:rFonts w:hint="eastAsia" w:ascii="宋体" w:hAnsi="宋体" w:eastAsia="宋体" w:cs="宋体"/>
          <w:color w:val="000000"/>
          <w:sz w:val="21"/>
          <w:szCs w:val="21"/>
          <w:highlight w:val="none"/>
        </w:rPr>
        <w:t>投标人串通投标；</w:t>
      </w:r>
    </w:p>
    <w:p w14:paraId="57D4CDCD">
      <w:pPr>
        <w:pStyle w:val="14"/>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(6)</w:t>
      </w:r>
      <w:r>
        <w:rPr>
          <w:rFonts w:hint="eastAsia" w:ascii="宋体" w:hAnsi="宋体" w:eastAsia="宋体" w:cs="宋体"/>
          <w:color w:val="000000"/>
          <w:sz w:val="21"/>
          <w:szCs w:val="21"/>
          <w:highlight w:val="none"/>
        </w:rPr>
        <w:t>投标人被举报、检举，并经招标人查实无误的；</w:t>
      </w:r>
    </w:p>
    <w:p w14:paraId="019FF29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(7)</w:t>
      </w:r>
      <w:r>
        <w:rPr>
          <w:rFonts w:hint="eastAsia" w:ascii="宋体" w:hAnsi="宋体" w:eastAsia="宋体" w:cs="宋体"/>
          <w:color w:val="000000"/>
          <w:sz w:val="21"/>
          <w:szCs w:val="21"/>
          <w:highlight w:val="none"/>
        </w:rPr>
        <w:t>以他人名义投标或者以其他方式弄虚作假，骗取中标的；</w:t>
      </w:r>
    </w:p>
    <w:p w14:paraId="7FEF708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(8)</w:t>
      </w:r>
      <w:r>
        <w:rPr>
          <w:rFonts w:hint="eastAsia" w:ascii="宋体" w:hAnsi="宋体" w:eastAsia="宋体" w:cs="宋体"/>
          <w:sz w:val="21"/>
          <w:szCs w:val="21"/>
          <w:highlight w:val="none"/>
        </w:rPr>
        <w:t>投标人负责人为同一人或者存在控股、管理关系的不同单位；</w:t>
      </w:r>
    </w:p>
    <w:p w14:paraId="5DB4D46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(9)</w:t>
      </w:r>
      <w:r>
        <w:rPr>
          <w:rFonts w:hint="eastAsia" w:ascii="宋体" w:hAnsi="宋体" w:eastAsia="宋体" w:cs="宋体"/>
          <w:sz w:val="21"/>
          <w:szCs w:val="21"/>
          <w:highlight w:val="none"/>
        </w:rPr>
        <w:t>有效投标不足三家；</w:t>
      </w:r>
    </w:p>
    <w:p w14:paraId="06AA862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(10)</w:t>
      </w:r>
      <w:r>
        <w:rPr>
          <w:rFonts w:hint="eastAsia" w:ascii="宋体" w:hAnsi="宋体" w:eastAsia="宋体" w:cs="宋体"/>
          <w:sz w:val="21"/>
          <w:szCs w:val="21"/>
          <w:highlight w:val="none"/>
        </w:rPr>
        <w:t>不同投标人的投标文件异常一致或者投标报价呈规律性差异的；</w:t>
      </w:r>
    </w:p>
    <w:p w14:paraId="1AD76C7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(11)</w:t>
      </w:r>
      <w:r>
        <w:rPr>
          <w:rFonts w:hint="eastAsia" w:ascii="宋体" w:hAnsi="宋体" w:eastAsia="宋体" w:cs="宋体"/>
          <w:sz w:val="21"/>
          <w:szCs w:val="21"/>
          <w:highlight w:val="none"/>
        </w:rPr>
        <w:t>投标人报价均超过</w:t>
      </w:r>
      <w:r>
        <w:rPr>
          <w:rFonts w:hint="eastAsia" w:ascii="宋体" w:hAnsi="宋体" w:cs="宋体"/>
          <w:sz w:val="21"/>
          <w:szCs w:val="21"/>
          <w:highlight w:val="none"/>
          <w:lang w:val="en-US" w:eastAsia="zh-CN"/>
        </w:rPr>
        <w:t>最高限价</w:t>
      </w:r>
      <w:r>
        <w:rPr>
          <w:rFonts w:hint="eastAsia" w:ascii="宋体" w:hAnsi="宋体" w:eastAsia="宋体" w:cs="宋体"/>
          <w:sz w:val="21"/>
          <w:szCs w:val="21"/>
          <w:highlight w:val="none"/>
        </w:rPr>
        <w:t>的；</w:t>
      </w:r>
    </w:p>
    <w:p w14:paraId="0D7AB83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(12)</w:t>
      </w:r>
      <w:r>
        <w:rPr>
          <w:rFonts w:hint="eastAsia" w:ascii="宋体" w:hAnsi="宋体" w:eastAsia="宋体" w:cs="宋体"/>
          <w:color w:val="000000"/>
          <w:sz w:val="21"/>
          <w:szCs w:val="21"/>
          <w:highlight w:val="none"/>
        </w:rPr>
        <w:t>未按要求填报商务报价资料，对招标开展造成较大影响；</w:t>
      </w:r>
    </w:p>
    <w:p w14:paraId="46E4730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(13)</w:t>
      </w:r>
      <w:r>
        <w:rPr>
          <w:rFonts w:hint="eastAsia" w:ascii="宋体" w:hAnsi="宋体" w:eastAsia="宋体" w:cs="宋体"/>
          <w:b w:val="0"/>
          <w:bCs w:val="0"/>
          <w:spacing w:val="0"/>
          <w:sz w:val="21"/>
          <w:szCs w:val="21"/>
          <w:highlight w:val="none"/>
          <w:lang w:val="en-US" w:eastAsia="zh-CN"/>
        </w:rPr>
        <w:t>未按照招标人规定的时间内在中国重汽e采通完成投标的；</w:t>
      </w:r>
    </w:p>
    <w:p w14:paraId="2A852CD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(14)</w:t>
      </w:r>
      <w:r>
        <w:rPr>
          <w:rFonts w:hint="eastAsia" w:ascii="宋体" w:hAnsi="宋体" w:eastAsia="宋体" w:cs="宋体"/>
          <w:color w:val="000000"/>
          <w:sz w:val="21"/>
          <w:szCs w:val="21"/>
          <w:highlight w:val="none"/>
        </w:rPr>
        <w:t>法律、法规规定的其他情况。</w:t>
      </w:r>
    </w:p>
    <w:p w14:paraId="75E706C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eastAsia" w:ascii="宋体" w:hAnsi="宋体" w:cs="宋体"/>
          <w:kern w:val="2"/>
          <w:sz w:val="21"/>
          <w:szCs w:val="21"/>
          <w:lang w:val="en-US" w:eastAsia="zh-CN" w:bidi="ar-SA"/>
        </w:rPr>
        <w:t>2</w:t>
      </w:r>
      <w:r>
        <w:rPr>
          <w:rFonts w:hint="default" w:ascii="宋体" w:hAnsi="宋体" w:eastAsia="宋体" w:cs="宋体"/>
          <w:kern w:val="2"/>
          <w:sz w:val="21"/>
          <w:szCs w:val="21"/>
          <w:lang w:val="en-US" w:eastAsia="zh-CN" w:bidi="ar-SA"/>
        </w:rPr>
        <w:t>.</w:t>
      </w:r>
      <w:r>
        <w:rPr>
          <w:rFonts w:hint="eastAsia" w:ascii="宋体" w:hAnsi="宋体" w:eastAsia="宋体" w:cs="宋体"/>
          <w:sz w:val="21"/>
          <w:szCs w:val="21"/>
          <w:highlight w:val="none"/>
        </w:rPr>
        <w:t>出现下列情形之一，招标人有权否决所有投标人的投标，并终止招标。</w:t>
      </w:r>
    </w:p>
    <w:p w14:paraId="6BC017B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宋体" w:hAnsi="宋体" w:eastAsia="宋体" w:cs="宋体"/>
          <w:b/>
          <w:bCs/>
          <w:color w:val="FF0000"/>
          <w:sz w:val="18"/>
          <w:szCs w:val="18"/>
          <w:highlight w:val="none"/>
          <w:lang w:eastAsia="zh-CN"/>
        </w:rPr>
      </w:pPr>
      <w:r>
        <w:rPr>
          <w:rFonts w:hint="default" w:ascii="宋体" w:hAnsi="宋体" w:eastAsia="宋体" w:cs="宋体"/>
          <w:b w:val="0"/>
          <w:bCs w:val="0"/>
          <w:color w:val="auto"/>
          <w:kern w:val="2"/>
          <w:sz w:val="21"/>
          <w:szCs w:val="21"/>
          <w:lang w:val="en-US" w:eastAsia="zh-CN" w:bidi="ar-SA"/>
        </w:rPr>
        <w:t>(</w:t>
      </w:r>
      <w:r>
        <w:rPr>
          <w:rFonts w:hint="eastAsia" w:ascii="宋体" w:hAnsi="宋体" w:cs="宋体"/>
          <w:b w:val="0"/>
          <w:bCs w:val="0"/>
          <w:color w:val="auto"/>
          <w:kern w:val="2"/>
          <w:sz w:val="21"/>
          <w:szCs w:val="21"/>
          <w:highlight w:val="none"/>
          <w:lang w:val="en-US" w:eastAsia="zh-CN" w:bidi="ar-SA"/>
        </w:rPr>
        <w:t>1</w:t>
      </w:r>
      <w:r>
        <w:rPr>
          <w:rFonts w:hint="default" w:ascii="宋体" w:hAnsi="宋体" w:eastAsia="宋体" w:cs="宋体"/>
          <w:b w:val="0"/>
          <w:bCs w:val="0"/>
          <w:color w:val="auto"/>
          <w:kern w:val="2"/>
          <w:sz w:val="21"/>
          <w:szCs w:val="21"/>
          <w:highlight w:val="none"/>
          <w:lang w:val="en-US" w:eastAsia="zh-CN" w:bidi="ar-SA"/>
        </w:rPr>
        <w:t>)</w:t>
      </w:r>
      <w:r>
        <w:rPr>
          <w:rFonts w:hint="eastAsia" w:ascii="宋体" w:hAnsi="宋体" w:eastAsia="宋体" w:cs="宋体"/>
          <w:sz w:val="21"/>
          <w:szCs w:val="21"/>
          <w:highlight w:val="none"/>
        </w:rPr>
        <w:t>符合条件的投标人或者对招标文件做实质响应的投标人不足三家的；</w:t>
      </w:r>
    </w:p>
    <w:p w14:paraId="4633ED6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w:t>
      </w:r>
      <w:r>
        <w:rPr>
          <w:rFonts w:hint="eastAsia" w:ascii="宋体" w:hAnsi="宋体" w:cs="宋体"/>
          <w:kern w:val="2"/>
          <w:sz w:val="21"/>
          <w:szCs w:val="21"/>
          <w:lang w:val="en-US" w:eastAsia="zh-CN" w:bidi="ar-SA"/>
        </w:rPr>
        <w:t>2</w:t>
      </w:r>
      <w:r>
        <w:rPr>
          <w:rFonts w:hint="default" w:ascii="宋体" w:hAnsi="宋体" w:eastAsia="宋体" w:cs="宋体"/>
          <w:kern w:val="2"/>
          <w:sz w:val="21"/>
          <w:szCs w:val="21"/>
          <w:lang w:val="en-US" w:eastAsia="zh-CN" w:bidi="ar-SA"/>
        </w:rPr>
        <w:t>)</w:t>
      </w:r>
      <w:r>
        <w:rPr>
          <w:rFonts w:hint="eastAsia" w:ascii="宋体" w:hAnsi="宋体" w:eastAsia="宋体" w:cs="宋体"/>
          <w:sz w:val="21"/>
          <w:szCs w:val="21"/>
          <w:highlight w:val="none"/>
        </w:rPr>
        <w:t>出现影响采购公正的违法、违规行为的；</w:t>
      </w:r>
    </w:p>
    <w:p w14:paraId="3D9449A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bCs/>
          <w:sz w:val="21"/>
          <w:szCs w:val="21"/>
          <w:highlight w:val="none"/>
        </w:rPr>
      </w:pPr>
      <w:r>
        <w:rPr>
          <w:rFonts w:hint="default" w:ascii="宋体" w:hAnsi="宋体" w:eastAsia="宋体" w:cs="宋体"/>
          <w:bCs/>
          <w:kern w:val="2"/>
          <w:sz w:val="21"/>
          <w:szCs w:val="21"/>
          <w:lang w:val="en-US" w:eastAsia="zh-CN" w:bidi="ar-SA"/>
        </w:rPr>
        <w:t>(</w:t>
      </w:r>
      <w:r>
        <w:rPr>
          <w:rFonts w:hint="eastAsia" w:ascii="宋体" w:hAnsi="宋体" w:cs="宋体"/>
          <w:bCs/>
          <w:kern w:val="2"/>
          <w:sz w:val="21"/>
          <w:szCs w:val="21"/>
          <w:lang w:val="en-US" w:eastAsia="zh-CN" w:bidi="ar-SA"/>
        </w:rPr>
        <w:t>3</w:t>
      </w:r>
      <w:r>
        <w:rPr>
          <w:rFonts w:hint="default" w:ascii="宋体" w:hAnsi="宋体" w:eastAsia="宋体" w:cs="宋体"/>
          <w:bCs/>
          <w:kern w:val="2"/>
          <w:sz w:val="21"/>
          <w:szCs w:val="21"/>
          <w:lang w:val="en-US" w:eastAsia="zh-CN" w:bidi="ar-SA"/>
        </w:rPr>
        <w:t>)</w:t>
      </w:r>
      <w:r>
        <w:rPr>
          <w:rFonts w:hint="eastAsia" w:ascii="宋体" w:hAnsi="宋体" w:eastAsia="宋体" w:cs="宋体"/>
          <w:bCs/>
          <w:sz w:val="21"/>
          <w:szCs w:val="21"/>
          <w:highlight w:val="none"/>
        </w:rPr>
        <w:t>评标委员会经评审，认为所有投标都不符合招标文件要求的；</w:t>
      </w:r>
    </w:p>
    <w:p w14:paraId="1872B76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bCs/>
          <w:sz w:val="21"/>
          <w:szCs w:val="21"/>
          <w:highlight w:val="none"/>
        </w:rPr>
      </w:pPr>
      <w:r>
        <w:rPr>
          <w:rFonts w:hint="default" w:ascii="宋体" w:hAnsi="宋体" w:eastAsia="宋体" w:cs="宋体"/>
          <w:bCs/>
          <w:kern w:val="2"/>
          <w:sz w:val="21"/>
          <w:szCs w:val="21"/>
          <w:lang w:val="en-US" w:eastAsia="zh-CN" w:bidi="ar-SA"/>
        </w:rPr>
        <w:t>(</w:t>
      </w:r>
      <w:r>
        <w:rPr>
          <w:rFonts w:hint="eastAsia" w:ascii="宋体" w:hAnsi="宋体" w:cs="宋体"/>
          <w:bCs/>
          <w:kern w:val="2"/>
          <w:sz w:val="21"/>
          <w:szCs w:val="21"/>
          <w:lang w:val="en-US" w:eastAsia="zh-CN" w:bidi="ar-SA"/>
        </w:rPr>
        <w:t>4</w:t>
      </w:r>
      <w:r>
        <w:rPr>
          <w:rFonts w:hint="default" w:ascii="宋体" w:hAnsi="宋体" w:eastAsia="宋体" w:cs="宋体"/>
          <w:bCs/>
          <w:kern w:val="2"/>
          <w:sz w:val="21"/>
          <w:szCs w:val="21"/>
          <w:lang w:val="en-US" w:eastAsia="zh-CN" w:bidi="ar-SA"/>
        </w:rPr>
        <w:t>)</w:t>
      </w:r>
      <w:r>
        <w:rPr>
          <w:rFonts w:hint="eastAsia" w:ascii="宋体" w:hAnsi="宋体" w:eastAsia="宋体" w:cs="宋体"/>
          <w:bCs/>
          <w:sz w:val="21"/>
          <w:szCs w:val="21"/>
          <w:highlight w:val="none"/>
        </w:rPr>
        <w:t>因重大变故，采购任务取消的</w:t>
      </w:r>
      <w:bookmarkStart w:id="12" w:name="OLE_LINK28"/>
      <w:bookmarkStart w:id="13" w:name="OLE_LINK27"/>
      <w:bookmarkStart w:id="14" w:name="OLE_LINK25"/>
      <w:bookmarkStart w:id="15" w:name="OLE_LINK26"/>
      <w:bookmarkStart w:id="16" w:name="OLE_LINK29"/>
      <w:r>
        <w:rPr>
          <w:rFonts w:hint="eastAsia" w:ascii="宋体" w:hAnsi="宋体" w:eastAsia="宋体" w:cs="宋体"/>
          <w:bCs/>
          <w:sz w:val="21"/>
          <w:szCs w:val="21"/>
          <w:highlight w:val="none"/>
        </w:rPr>
        <w:t>；</w:t>
      </w:r>
      <w:bookmarkEnd w:id="12"/>
      <w:bookmarkEnd w:id="13"/>
      <w:bookmarkEnd w:id="14"/>
      <w:bookmarkEnd w:id="15"/>
      <w:bookmarkEnd w:id="16"/>
    </w:p>
    <w:p w14:paraId="5CD1D199">
      <w:pPr>
        <w:pStyle w:val="14"/>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bCs/>
          <w:sz w:val="21"/>
          <w:szCs w:val="21"/>
          <w:highlight w:val="none"/>
        </w:rPr>
      </w:pPr>
      <w:r>
        <w:rPr>
          <w:rFonts w:hint="default" w:ascii="宋体" w:hAnsi="宋体" w:eastAsia="宋体" w:cs="宋体"/>
          <w:bCs/>
          <w:kern w:val="2"/>
          <w:sz w:val="21"/>
          <w:szCs w:val="21"/>
          <w:lang w:val="en-US" w:eastAsia="zh-CN" w:bidi="ar-SA"/>
        </w:rPr>
        <w:t>(</w:t>
      </w:r>
      <w:r>
        <w:rPr>
          <w:rFonts w:hint="eastAsia" w:hAnsi="宋体" w:cs="宋体"/>
          <w:bCs/>
          <w:kern w:val="2"/>
          <w:sz w:val="21"/>
          <w:szCs w:val="21"/>
          <w:lang w:val="en-US" w:eastAsia="zh-CN" w:bidi="ar-SA"/>
        </w:rPr>
        <w:t>5</w:t>
      </w:r>
      <w:r>
        <w:rPr>
          <w:rFonts w:hint="default" w:ascii="宋体" w:hAnsi="宋体" w:eastAsia="宋体" w:cs="宋体"/>
          <w:bCs/>
          <w:kern w:val="2"/>
          <w:sz w:val="21"/>
          <w:szCs w:val="21"/>
          <w:lang w:val="en-US" w:eastAsia="zh-CN" w:bidi="ar-SA"/>
        </w:rPr>
        <w:t>)</w:t>
      </w:r>
      <w:r>
        <w:rPr>
          <w:rFonts w:hint="eastAsia" w:ascii="宋体" w:hAnsi="宋体" w:eastAsia="宋体" w:cs="宋体"/>
          <w:bCs/>
          <w:sz w:val="21"/>
          <w:szCs w:val="21"/>
          <w:highlight w:val="none"/>
        </w:rPr>
        <w:t>招标人认为其他应终止招标的情形。</w:t>
      </w:r>
    </w:p>
    <w:p w14:paraId="24E6827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textAlignment w:val="auto"/>
        <w:rPr>
          <w:sz w:val="21"/>
          <w:szCs w:val="21"/>
        </w:rPr>
      </w:pPr>
      <w:r>
        <w:rPr>
          <w:rFonts w:hint="eastAsia" w:ascii="宋体" w:hAnsi="宋体" w:eastAsia="宋体" w:cs="宋体"/>
          <w:kern w:val="2"/>
          <w:sz w:val="21"/>
          <w:szCs w:val="21"/>
          <w:lang w:val="en-US" w:eastAsia="zh-CN" w:bidi="ar-SA"/>
        </w:rPr>
        <w:t>3</w:t>
      </w:r>
      <w:r>
        <w:rPr>
          <w:rFonts w:hint="default" w:ascii="Times New Roman" w:hAnsi="Times New Roman" w:eastAsia="宋体" w:cs="Times New Roman"/>
          <w:kern w:val="2"/>
          <w:sz w:val="21"/>
          <w:szCs w:val="21"/>
          <w:lang w:val="en-US" w:eastAsia="zh-CN" w:bidi="ar-SA"/>
        </w:rPr>
        <w:t>.</w:t>
      </w:r>
      <w:r>
        <w:rPr>
          <w:rFonts w:hint="eastAsia" w:ascii="宋体" w:hAnsi="宋体" w:eastAsia="宋体" w:cs="宋体"/>
          <w:color w:val="000000"/>
          <w:sz w:val="21"/>
          <w:szCs w:val="21"/>
          <w:highlight w:val="none"/>
        </w:rPr>
        <w:t>中标人瑕疵滞后发现的处理原则：无论基于何种原因，各项本应作为拒绝处理的情形，即便未被及时发现或中标人隐瞒真实情况，而使该中标人通过了资格审核、初评、现场复审、终评或其他所有相关程序，包括已发布中标通知或已签订合同的情形，招标人均有权拒绝或取消中标人资格，一旦中标人被拒绝或该中标人此前的评议结果被取消，相关的一切损失均由该中标人承担。</w:t>
      </w:r>
    </w:p>
    <w:p w14:paraId="3E00D4EE">
      <w:pPr>
        <w:pStyle w:val="72"/>
      </w:pPr>
      <w:r>
        <w:rPr>
          <w:rFonts w:hint="eastAsia"/>
          <w:lang w:val="en-US" w:eastAsia="zh-CN"/>
        </w:rPr>
        <w:t>合同签订</w:t>
      </w:r>
    </w:p>
    <w:p w14:paraId="470297F8">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color w:val="000000"/>
          <w:sz w:val="21"/>
          <w:szCs w:val="21"/>
        </w:rPr>
      </w:pPr>
      <w:r>
        <w:rPr>
          <w:rFonts w:hint="eastAsia" w:ascii="宋体" w:hAnsi="宋体" w:cs="宋体"/>
          <w:color w:val="000000"/>
          <w:sz w:val="21"/>
          <w:szCs w:val="21"/>
        </w:rPr>
        <w:t>1.招标人根据评标工作小组的评标结果确定中标人，在重汽e采通平台公布中标结果，并发送中标通知。</w:t>
      </w:r>
    </w:p>
    <w:p w14:paraId="13B36870">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color w:val="000000"/>
          <w:sz w:val="21"/>
          <w:szCs w:val="21"/>
        </w:rPr>
      </w:pPr>
      <w:r>
        <w:rPr>
          <w:rFonts w:hint="eastAsia" w:ascii="宋体" w:hAnsi="宋体" w:cs="宋体"/>
          <w:color w:val="000000"/>
          <w:sz w:val="21"/>
          <w:szCs w:val="21"/>
        </w:rPr>
        <w:t>2.中标人应该在中标通知书规定的时间、地点与招标人签订采购合同，否则按照开标后撤回投标处理。</w:t>
      </w:r>
    </w:p>
    <w:p w14:paraId="247515F9">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color w:val="000000"/>
          <w:sz w:val="21"/>
          <w:szCs w:val="21"/>
        </w:rPr>
      </w:pPr>
      <w:r>
        <w:rPr>
          <w:rFonts w:hint="eastAsia" w:ascii="宋体" w:hAnsi="宋体" w:cs="宋体"/>
          <w:color w:val="000000"/>
          <w:sz w:val="21"/>
          <w:szCs w:val="21"/>
        </w:rPr>
        <w:t>3.中标人应当按照合同约定的履约责任，在保证质量的前提下完成中标项目，不得将中标项目转包或分包给他人，否则视为违约，招标人有权解除合同。</w:t>
      </w:r>
    </w:p>
    <w:p w14:paraId="71A3F1F6">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b/>
          <w:sz w:val="21"/>
          <w:szCs w:val="21"/>
        </w:rPr>
      </w:pPr>
      <w:r>
        <w:rPr>
          <w:rFonts w:hint="eastAsia" w:ascii="宋体" w:hAnsi="宋体" w:cs="宋体"/>
          <w:b/>
          <w:sz w:val="21"/>
          <w:szCs w:val="21"/>
        </w:rPr>
        <w:t>4.中标人由于履行义务的能力或信用有严重缺陷，招标人有权取消其中标资格，招标人将从中标候选单位中依序重新确定中标人，或重新组织招标；</w:t>
      </w:r>
    </w:p>
    <w:p w14:paraId="4B1A7D9C">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eastAsia="宋体" w:cs="宋体"/>
          <w:color w:val="000000"/>
          <w:sz w:val="21"/>
          <w:szCs w:val="21"/>
          <w:highlight w:val="none"/>
        </w:rPr>
      </w:pPr>
      <w:r>
        <w:rPr>
          <w:rFonts w:hint="eastAsia" w:ascii="宋体" w:hAnsi="宋体" w:cs="宋体"/>
          <w:b/>
          <w:sz w:val="21"/>
          <w:szCs w:val="21"/>
        </w:rPr>
        <w:t>5.合同以双方最终签署的版本为准。</w:t>
      </w:r>
    </w:p>
    <w:p w14:paraId="610E8BB3">
      <w:pPr>
        <w:pStyle w:val="72"/>
      </w:pPr>
      <w:r>
        <w:rPr>
          <w:rFonts w:hint="eastAsia"/>
          <w:lang w:val="en-US" w:eastAsia="zh-CN"/>
        </w:rPr>
        <w:t>交货及付款</w:t>
      </w:r>
    </w:p>
    <w:p w14:paraId="1494B402">
      <w:pPr>
        <w:pStyle w:val="72"/>
        <w:numPr>
          <w:ilvl w:val="0"/>
          <w:numId w:val="28"/>
        </w:numPr>
        <w:ind w:left="425" w:leftChars="0" w:hanging="425" w:firstLineChars="0"/>
        <w:rPr>
          <w:rFonts w:hint="eastAsia" w:ascii="宋体" w:hAnsi="宋体" w:eastAsia="宋体" w:cs="宋体"/>
          <w:b w:val="0"/>
          <w:bCs w:val="0"/>
          <w:sz w:val="21"/>
          <w:szCs w:val="21"/>
          <w:highlight w:val="yellow"/>
          <w:lang w:eastAsia="zh-CN"/>
        </w:rPr>
      </w:pPr>
      <w:r>
        <w:rPr>
          <w:rFonts w:hint="eastAsia" w:ascii="宋体" w:hAnsi="宋体" w:eastAsia="宋体" w:cs="宋体"/>
          <w:b w:val="0"/>
          <w:bCs w:val="0"/>
          <w:sz w:val="21"/>
          <w:szCs w:val="21"/>
          <w:highlight w:val="yellow"/>
        </w:rPr>
        <w:t>付款方式</w:t>
      </w:r>
      <w:r>
        <w:rPr>
          <w:rFonts w:hint="eastAsia" w:ascii="宋体" w:hAnsi="宋体" w:eastAsia="宋体" w:cs="宋体"/>
          <w:b w:val="0"/>
          <w:bCs w:val="0"/>
          <w:sz w:val="21"/>
          <w:szCs w:val="21"/>
          <w:highlight w:val="yellow"/>
          <w:lang w:eastAsia="zh-CN"/>
        </w:rPr>
        <w:t>：</w:t>
      </w:r>
    </w:p>
    <w:p w14:paraId="517A66BC">
      <w:pPr>
        <w:pStyle w:val="72"/>
        <w:numPr>
          <w:ilvl w:val="0"/>
          <w:numId w:val="0"/>
        </w:numPr>
        <w:ind w:left="59" w:leftChars="0"/>
        <w:rPr>
          <w:rFonts w:hint="eastAsia" w:ascii="宋体" w:hAnsi="宋体" w:eastAsia="宋体" w:cs="宋体"/>
          <w:b/>
          <w:bCs/>
          <w:color w:val="FF0000"/>
          <w:sz w:val="21"/>
          <w:szCs w:val="21"/>
          <w:lang w:val="en-US" w:eastAsia="zh-CN"/>
        </w:rPr>
      </w:pPr>
      <w:r>
        <w:rPr>
          <w:rFonts w:hint="eastAsia" w:ascii="宋体" w:hAnsi="宋体" w:eastAsia="宋体" w:cs="宋体"/>
          <w:b w:val="0"/>
          <w:bCs w:val="0"/>
          <w:sz w:val="21"/>
          <w:szCs w:val="21"/>
          <w:highlight w:val="yellow"/>
          <w:lang w:eastAsia="zh-CN"/>
        </w:rPr>
        <w:t>半年期商业汇票（包括银行承兑汇票和商业承兑汇票）；</w:t>
      </w:r>
    </w:p>
    <w:p w14:paraId="691542A2">
      <w:pPr>
        <w:pStyle w:val="72"/>
        <w:keepNext w:val="0"/>
        <w:keepLines w:val="0"/>
        <w:pageBreakBefore w:val="0"/>
        <w:widowControl w:val="0"/>
        <w:numPr>
          <w:ilvl w:val="0"/>
          <w:numId w:val="0"/>
        </w:numPr>
        <w:kinsoku/>
        <w:wordWrap/>
        <w:overflowPunct/>
        <w:topLinePunct w:val="0"/>
        <w:autoSpaceDE/>
        <w:autoSpaceDN/>
        <w:bidi w:val="0"/>
        <w:adjustRightInd/>
        <w:spacing w:line="360" w:lineRule="auto"/>
        <w:ind w:left="425" w:leftChars="0" w:hanging="425" w:firstLineChars="0"/>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kern w:val="2"/>
          <w:sz w:val="21"/>
          <w:szCs w:val="21"/>
          <w:lang w:val="en-US" w:eastAsia="zh-CN" w:bidi="ar-SA"/>
        </w:rPr>
        <w:t>2</w:t>
      </w:r>
      <w:r>
        <w:rPr>
          <w:rFonts w:hint="default" w:ascii="宋体" w:hAnsi="宋体" w:eastAsia="宋体" w:cs="宋体"/>
          <w:b w:val="0"/>
          <w:bCs w:val="0"/>
          <w:kern w:val="2"/>
          <w:sz w:val="21"/>
          <w:szCs w:val="21"/>
          <w:highlight w:val="yellow"/>
          <w:lang w:val="en-US" w:eastAsia="zh-CN" w:bidi="ar-SA"/>
        </w:rPr>
        <w:t>.</w:t>
      </w:r>
      <w:r>
        <w:rPr>
          <w:rFonts w:hint="eastAsia" w:ascii="宋体" w:hAnsi="宋体" w:eastAsia="宋体" w:cs="宋体"/>
          <w:b w:val="0"/>
          <w:bCs w:val="0"/>
          <w:sz w:val="21"/>
          <w:szCs w:val="21"/>
          <w:highlight w:val="yellow"/>
          <w:lang w:val="en-US" w:eastAsia="zh-CN"/>
        </w:rPr>
        <w:t>付款节点：</w:t>
      </w:r>
    </w:p>
    <w:p w14:paraId="142DB7A2">
      <w:pPr>
        <w:pStyle w:val="62"/>
        <w:keepNext w:val="0"/>
        <w:keepLines w:val="0"/>
        <w:pageBreakBefore w:val="0"/>
        <w:widowControl w:val="0"/>
        <w:kinsoku/>
        <w:wordWrap/>
        <w:overflowPunct/>
        <w:topLinePunct w:val="0"/>
        <w:autoSpaceDE/>
        <w:autoSpaceDN/>
        <w:bidi w:val="0"/>
        <w:adjustRightInd/>
        <w:snapToGrid w:val="0"/>
        <w:spacing w:line="360" w:lineRule="auto"/>
        <w:ind w:left="0" w:leftChars="0" w:firstLine="0" w:firstLineChars="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yellow"/>
        </w:rPr>
        <w:t>100%：</w:t>
      </w:r>
      <w:r>
        <w:rPr>
          <w:rFonts w:hint="eastAsia" w:ascii="宋体" w:hAnsi="宋体" w:eastAsia="宋体" w:cs="宋体"/>
          <w:sz w:val="21"/>
          <w:szCs w:val="21"/>
          <w:highlight w:val="none"/>
        </w:rPr>
        <w:t>乙方完成甲方的需求，乙方开具合同价款100%的收据并增值税专用发票，经甲方核对无误后支付。</w:t>
      </w:r>
    </w:p>
    <w:p w14:paraId="011E213D">
      <w:pPr>
        <w:pStyle w:val="62"/>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注：</w:t>
      </w:r>
    </w:p>
    <w:p w14:paraId="76070DD5">
      <w:pPr>
        <w:pStyle w:val="62"/>
        <w:keepNext w:val="0"/>
        <w:keepLines w:val="0"/>
        <w:pageBreakBefore w:val="0"/>
        <w:widowControl w:val="0"/>
        <w:kinsoku/>
        <w:wordWrap/>
        <w:overflowPunct/>
        <w:topLinePunct w:val="0"/>
        <w:autoSpaceDE/>
        <w:autoSpaceDN/>
        <w:bidi w:val="0"/>
        <w:adjustRightInd/>
        <w:snapToGrid w:val="0"/>
        <w:spacing w:line="360" w:lineRule="auto"/>
        <w:ind w:left="0" w:leftChars="0" w:firstLine="0" w:firstLineChars="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（1）如投标人不认可、不接受使用半年期商业汇票支付用于费用结算，则须在附件“开标一览表”中注明，招标人将视之为主动弃标。</w:t>
      </w:r>
    </w:p>
    <w:p w14:paraId="1CDF3683">
      <w:pPr>
        <w:pStyle w:val="62"/>
        <w:keepNext w:val="0"/>
        <w:keepLines w:val="0"/>
        <w:pageBreakBefore w:val="0"/>
        <w:widowControl w:val="0"/>
        <w:kinsoku/>
        <w:wordWrap/>
        <w:overflowPunct/>
        <w:topLinePunct w:val="0"/>
        <w:autoSpaceDE/>
        <w:autoSpaceDN/>
        <w:bidi w:val="0"/>
        <w:adjustRightInd/>
        <w:snapToGrid w:val="0"/>
        <w:spacing w:line="360" w:lineRule="auto"/>
        <w:ind w:left="0" w:leftChars="0" w:firstLine="0" w:firstLineChars="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（2）投标人应对项目内招标的全部内容进行报价，不允许挑项报价、空项报价，否则视为主动弃标。</w:t>
      </w:r>
    </w:p>
    <w:p w14:paraId="09E67618">
      <w:pPr>
        <w:pStyle w:val="62"/>
        <w:keepNext w:val="0"/>
        <w:keepLines w:val="0"/>
        <w:pageBreakBefore w:val="0"/>
        <w:widowControl w:val="0"/>
        <w:kinsoku/>
        <w:wordWrap/>
        <w:overflowPunct/>
        <w:topLinePunct w:val="0"/>
        <w:autoSpaceDE/>
        <w:autoSpaceDN/>
        <w:bidi w:val="0"/>
        <w:adjustRightInd/>
        <w:snapToGrid w:val="0"/>
        <w:spacing w:line="360" w:lineRule="auto"/>
        <w:ind w:left="0" w:leftChars="0" w:firstLine="0" w:firstLineChars="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（3）有商务条款偏离的要在附件中注明。</w:t>
      </w:r>
    </w:p>
    <w:p w14:paraId="6E0D7439">
      <w:pPr>
        <w:pStyle w:val="72"/>
        <w:rPr>
          <w:rFonts w:hint="eastAsia"/>
          <w:lang w:val="en-US" w:eastAsia="zh-CN"/>
        </w:rPr>
      </w:pPr>
      <w:r>
        <w:rPr>
          <w:rFonts w:hint="eastAsia"/>
          <w:lang w:val="en-US" w:eastAsia="zh-CN"/>
        </w:rPr>
        <w:t>本次招标最终解释权归重汽（济南）车桥有限公司。</w:t>
      </w:r>
    </w:p>
    <w:p w14:paraId="66BCACD8">
      <w:pPr>
        <w:pStyle w:val="76"/>
      </w:pPr>
    </w:p>
    <w:p w14:paraId="243FF35F">
      <w:pPr>
        <w:rPr>
          <w:rFonts w:hint="eastAsia"/>
        </w:rPr>
      </w:pPr>
      <w:bookmarkStart w:id="17" w:name="_Toc47976607"/>
      <w:r>
        <w:rPr>
          <w:rFonts w:hint="eastAsia"/>
        </w:rPr>
        <w:br w:type="page"/>
      </w:r>
    </w:p>
    <w:p w14:paraId="1FB6CA61">
      <w:pPr>
        <w:pStyle w:val="71"/>
        <w:jc w:val="center"/>
        <w:rPr>
          <w:rFonts w:hint="default" w:eastAsia="黑体"/>
          <w:lang w:val="en-US" w:eastAsia="zh-CN"/>
        </w:rPr>
      </w:pPr>
      <w:bookmarkStart w:id="18" w:name="_Toc1910"/>
      <w:r>
        <w:rPr>
          <w:rFonts w:hint="eastAsia"/>
        </w:rPr>
        <w:t>第二部分　</w:t>
      </w:r>
      <w:bookmarkEnd w:id="17"/>
      <w:r>
        <w:rPr>
          <w:rFonts w:hint="eastAsia"/>
          <w:lang w:val="en-US" w:eastAsia="zh-CN"/>
        </w:rPr>
        <w:t>技术标书</w:t>
      </w:r>
      <w:bookmarkEnd w:id="18"/>
    </w:p>
    <w:p w14:paraId="659CEFF1">
      <w:pPr>
        <w:pStyle w:val="14"/>
        <w:spacing w:line="360" w:lineRule="auto"/>
        <w:rPr>
          <w:rFonts w:hint="eastAsia" w:ascii="仿宋_GB2312" w:hAnsi="Microsoft YaHei UI Light" w:eastAsia="仿宋_GB2312"/>
          <w:sz w:val="28"/>
          <w:szCs w:val="28"/>
        </w:rPr>
      </w:pPr>
      <w:r>
        <w:rPr>
          <w:rFonts w:hint="eastAsia" w:ascii="仿宋_GB2312" w:hAnsi="Microsoft YaHei UI Light" w:eastAsia="仿宋_GB2312"/>
          <w:b/>
          <w:bCs/>
          <w:sz w:val="28"/>
          <w:szCs w:val="28"/>
        </w:rPr>
        <w:t>一、项目名称</w:t>
      </w:r>
      <w:r>
        <w:rPr>
          <w:rFonts w:hint="eastAsia" w:ascii="仿宋_GB2312" w:hAnsi="Microsoft YaHei UI Light" w:eastAsia="仿宋_GB2312"/>
          <w:sz w:val="28"/>
          <w:szCs w:val="28"/>
        </w:rPr>
        <w:t>：</w:t>
      </w:r>
      <w:r>
        <w:rPr>
          <w:rFonts w:hint="eastAsia" w:ascii="仿宋_GB2312" w:eastAsia="仿宋_GB2312"/>
          <w:b w:val="0"/>
          <w:bCs w:val="0"/>
          <w:sz w:val="32"/>
          <w:szCs w:val="32"/>
          <w:lang w:val="en-US" w:eastAsia="zh-CN"/>
        </w:rPr>
        <w:t>车桥公司</w:t>
      </w:r>
      <w:r>
        <w:rPr>
          <w:rFonts w:hint="eastAsia" w:ascii="仿宋_GB2312" w:hAnsi="Microsoft YaHei UI Light" w:eastAsia="仿宋_GB2312"/>
          <w:b w:val="0"/>
          <w:bCs w:val="0"/>
          <w:sz w:val="28"/>
          <w:szCs w:val="28"/>
        </w:rPr>
        <w:t>2026</w:t>
      </w:r>
      <w:r>
        <w:rPr>
          <w:rFonts w:hint="eastAsia" w:ascii="仿宋_GB2312" w:hAnsi="Microsoft YaHei UI Light" w:eastAsia="仿宋_GB2312"/>
          <w:sz w:val="28"/>
          <w:szCs w:val="28"/>
        </w:rPr>
        <w:t>年危险废物处置项目</w:t>
      </w:r>
    </w:p>
    <w:p w14:paraId="775AC0A0">
      <w:pPr>
        <w:pStyle w:val="14"/>
        <w:spacing w:line="360" w:lineRule="auto"/>
        <w:rPr>
          <w:rFonts w:hint="eastAsia" w:ascii="仿宋_GB2312" w:hAnsi="Microsoft YaHei UI Light" w:eastAsia="仿宋_GB2312"/>
          <w:b/>
          <w:bCs/>
          <w:sz w:val="28"/>
          <w:szCs w:val="28"/>
        </w:rPr>
      </w:pPr>
      <w:r>
        <w:rPr>
          <w:rFonts w:hint="eastAsia" w:ascii="仿宋_GB2312" w:hAnsi="Microsoft YaHei UI Light" w:eastAsia="仿宋_GB2312"/>
          <w:b/>
          <w:bCs/>
          <w:sz w:val="28"/>
          <w:szCs w:val="28"/>
        </w:rPr>
        <w:t>二、项目内容</w:t>
      </w:r>
    </w:p>
    <w:p w14:paraId="014489D5">
      <w:pPr>
        <w:pStyle w:val="14"/>
        <w:spacing w:line="360" w:lineRule="auto"/>
        <w:rPr>
          <w:rFonts w:hint="eastAsia" w:ascii="仿宋_GB2312" w:hAnsi="Microsoft YaHei UI Light" w:eastAsia="仿宋_GB2312"/>
          <w:sz w:val="28"/>
          <w:szCs w:val="28"/>
        </w:rPr>
      </w:pPr>
      <w:r>
        <w:rPr>
          <w:rFonts w:hint="eastAsia" w:ascii="仿宋_GB2312" w:hAnsi="Microsoft YaHei UI Light" w:eastAsia="仿宋_GB2312"/>
          <w:sz w:val="28"/>
          <w:szCs w:val="28"/>
        </w:rPr>
        <w:t>1.重汽（济南）车桥有限公司产生的废漆渣</w:t>
      </w:r>
      <w:r>
        <w:rPr>
          <w:rFonts w:hint="eastAsia" w:ascii="仿宋_GB2312" w:hAnsi="Microsoft YaHei UI Light" w:eastAsia="仿宋_GB2312"/>
          <w:sz w:val="28"/>
          <w:szCs w:val="28"/>
          <w:lang w:val="en-US" w:eastAsia="zh-CN"/>
        </w:rPr>
        <w:t>HW</w:t>
      </w:r>
      <w:r>
        <w:rPr>
          <w:rFonts w:hint="eastAsia" w:ascii="仿宋_GB2312" w:hAnsi="Microsoft YaHei UI Light" w:eastAsia="仿宋_GB2312"/>
          <w:sz w:val="28"/>
          <w:szCs w:val="28"/>
        </w:rPr>
        <w:t>（900-252-12）和废过滤棉</w:t>
      </w:r>
      <w:r>
        <w:rPr>
          <w:rFonts w:hint="eastAsia" w:ascii="仿宋_GB2312" w:hAnsi="Microsoft YaHei UI Light" w:eastAsia="仿宋_GB2312"/>
          <w:sz w:val="28"/>
          <w:szCs w:val="28"/>
          <w:lang w:val="en-US" w:eastAsia="zh-CN"/>
        </w:rPr>
        <w:t>HW</w:t>
      </w:r>
      <w:r>
        <w:rPr>
          <w:rFonts w:hint="eastAsia" w:ascii="仿宋_GB2312" w:hAnsi="Microsoft YaHei UI Light" w:eastAsia="仿宋_GB2312"/>
          <w:sz w:val="28"/>
          <w:szCs w:val="28"/>
        </w:rPr>
        <w:t>（900-041-49）交由有经营资质的危险废物处置单位进行合规处置。</w:t>
      </w:r>
    </w:p>
    <w:p w14:paraId="0342C537">
      <w:pPr>
        <w:pStyle w:val="14"/>
        <w:spacing w:line="360" w:lineRule="auto"/>
        <w:rPr>
          <w:rFonts w:hint="eastAsia" w:ascii="仿宋_GB2312" w:hAnsi="Microsoft YaHei UI Light" w:eastAsia="仿宋_GB2312"/>
          <w:b/>
          <w:bCs/>
          <w:sz w:val="28"/>
          <w:szCs w:val="28"/>
        </w:rPr>
      </w:pPr>
      <w:r>
        <w:rPr>
          <w:rFonts w:hint="eastAsia" w:ascii="仿宋_GB2312" w:hAnsi="Microsoft YaHei UI Light" w:eastAsia="仿宋_GB2312"/>
          <w:b/>
          <w:bCs/>
          <w:sz w:val="28"/>
          <w:szCs w:val="28"/>
        </w:rPr>
        <w:t>三、技术要求</w:t>
      </w:r>
    </w:p>
    <w:p w14:paraId="0CBBB339">
      <w:pPr>
        <w:pStyle w:val="14"/>
        <w:spacing w:line="360" w:lineRule="auto"/>
        <w:ind w:firstLine="562" w:firstLineChars="200"/>
        <w:rPr>
          <w:rFonts w:hint="eastAsia" w:ascii="仿宋_GB2312" w:hAnsi="Microsoft YaHei UI Light" w:eastAsia="仿宋_GB2312"/>
          <w:b/>
          <w:sz w:val="28"/>
          <w:szCs w:val="28"/>
        </w:rPr>
      </w:pPr>
      <w:r>
        <w:rPr>
          <w:rFonts w:hint="eastAsia" w:ascii="仿宋_GB2312" w:hAnsi="Microsoft YaHei UI Light" w:eastAsia="仿宋_GB2312"/>
          <w:b/>
          <w:sz w:val="28"/>
          <w:szCs w:val="28"/>
        </w:rPr>
        <w:t>1.资质要求</w:t>
      </w:r>
    </w:p>
    <w:p w14:paraId="520F31CA">
      <w:pPr>
        <w:pStyle w:val="14"/>
        <w:spacing w:line="360" w:lineRule="auto"/>
        <w:ind w:firstLine="560" w:firstLineChars="200"/>
        <w:rPr>
          <w:rFonts w:hint="eastAsia" w:ascii="仿宋_GB2312" w:hAnsi="Microsoft YaHei UI Light" w:eastAsia="仿宋_GB2312"/>
          <w:sz w:val="28"/>
          <w:szCs w:val="28"/>
        </w:rPr>
      </w:pPr>
      <w:r>
        <w:rPr>
          <w:rFonts w:hint="eastAsia" w:ascii="仿宋_GB2312" w:hAnsi="Microsoft YaHei UI Light" w:eastAsia="仿宋_GB2312"/>
          <w:sz w:val="28"/>
          <w:szCs w:val="28"/>
        </w:rPr>
        <w:t>中标方持有当地生态环境局(厅)核发的正式危险废物经营许可证</w:t>
      </w:r>
      <w:bookmarkStart w:id="19" w:name="_Hlk213940017"/>
      <w:r>
        <w:rPr>
          <w:rFonts w:hint="eastAsia" w:ascii="仿宋_GB2312" w:hAnsi="Microsoft YaHei UI Light" w:eastAsia="仿宋_GB2312"/>
          <w:sz w:val="28"/>
          <w:szCs w:val="28"/>
        </w:rPr>
        <w:t>（增项、变更、换证除外）</w:t>
      </w:r>
      <w:bookmarkEnd w:id="19"/>
      <w:r>
        <w:rPr>
          <w:rFonts w:hint="eastAsia" w:ascii="仿宋_GB2312" w:hAnsi="Microsoft YaHei UI Light" w:eastAsia="仿宋_GB2312"/>
          <w:sz w:val="28"/>
          <w:szCs w:val="28"/>
        </w:rPr>
        <w:t>，并严格按照危险废物经营许可证所批准的经营危险废物类别及规模范围进行危险废物转移运输及处置。</w:t>
      </w:r>
    </w:p>
    <w:p w14:paraId="16EC5A43">
      <w:pPr>
        <w:pStyle w:val="14"/>
        <w:spacing w:line="360" w:lineRule="auto"/>
        <w:ind w:firstLine="562" w:firstLineChars="200"/>
        <w:rPr>
          <w:rFonts w:hint="eastAsia" w:ascii="仿宋_GB2312" w:hAnsi="Microsoft YaHei UI Light" w:eastAsia="仿宋_GB2312"/>
          <w:b/>
          <w:sz w:val="28"/>
          <w:szCs w:val="28"/>
        </w:rPr>
      </w:pPr>
      <w:r>
        <w:rPr>
          <w:rFonts w:hint="eastAsia" w:ascii="仿宋_GB2312" w:hAnsi="Microsoft YaHei UI Light" w:eastAsia="仿宋_GB2312"/>
          <w:b/>
          <w:sz w:val="28"/>
          <w:szCs w:val="28"/>
        </w:rPr>
        <w:t>2.装卸</w:t>
      </w:r>
    </w:p>
    <w:p w14:paraId="674B04C6">
      <w:pPr>
        <w:autoSpaceDE w:val="0"/>
        <w:autoSpaceDN w:val="0"/>
        <w:adjustRightInd w:val="0"/>
        <w:spacing w:line="360" w:lineRule="auto"/>
        <w:ind w:firstLine="560" w:firstLineChars="200"/>
        <w:jc w:val="left"/>
        <w:rPr>
          <w:rFonts w:hint="eastAsia" w:ascii="仿宋_GB2312" w:hAnsi="Microsoft YaHei UI Light" w:eastAsia="仿宋_GB2312"/>
          <w:sz w:val="28"/>
          <w:szCs w:val="28"/>
        </w:rPr>
      </w:pPr>
      <w:r>
        <w:rPr>
          <w:rFonts w:hint="eastAsia" w:ascii="仿宋_GB2312" w:hAnsi="Microsoft YaHei UI Light" w:eastAsia="仿宋_GB2312"/>
          <w:sz w:val="28"/>
          <w:szCs w:val="28"/>
        </w:rPr>
        <w:t>中标方负责危险废物转移运输期间的装卸车活动（招标方负责提供叉车、行车等机械设备并配备叉车司机及行车操作人员）。</w:t>
      </w:r>
    </w:p>
    <w:p w14:paraId="676C8569">
      <w:pPr>
        <w:autoSpaceDE w:val="0"/>
        <w:autoSpaceDN w:val="0"/>
        <w:adjustRightInd w:val="0"/>
        <w:spacing w:line="360" w:lineRule="auto"/>
        <w:ind w:firstLine="562" w:firstLineChars="200"/>
        <w:jc w:val="left"/>
        <w:rPr>
          <w:rFonts w:hint="eastAsia" w:ascii="仿宋_GB2312" w:hAnsi="Microsoft YaHei UI Light" w:eastAsia="仿宋_GB2312"/>
          <w:b/>
          <w:sz w:val="28"/>
          <w:szCs w:val="28"/>
        </w:rPr>
      </w:pPr>
      <w:r>
        <w:rPr>
          <w:rFonts w:hint="eastAsia" w:ascii="仿宋_GB2312" w:hAnsi="Microsoft YaHei UI Light" w:eastAsia="仿宋_GB2312"/>
          <w:b/>
          <w:sz w:val="28"/>
          <w:szCs w:val="28"/>
        </w:rPr>
        <w:t>3.运输</w:t>
      </w:r>
    </w:p>
    <w:p w14:paraId="2E7D6CDF">
      <w:pPr>
        <w:autoSpaceDE w:val="0"/>
        <w:autoSpaceDN w:val="0"/>
        <w:adjustRightInd w:val="0"/>
        <w:spacing w:line="360" w:lineRule="auto"/>
        <w:ind w:firstLine="560" w:firstLineChars="200"/>
        <w:jc w:val="left"/>
        <w:rPr>
          <w:rFonts w:hint="eastAsia" w:ascii="仿宋_GB2312" w:hAnsi="Microsoft YaHei UI Light" w:eastAsia="仿宋_GB2312"/>
          <w:sz w:val="28"/>
          <w:szCs w:val="28"/>
        </w:rPr>
      </w:pPr>
      <w:r>
        <w:rPr>
          <w:rFonts w:hint="eastAsia" w:ascii="仿宋_GB2312" w:hAnsi="Microsoft YaHei UI Light" w:eastAsia="仿宋_GB2312"/>
          <w:sz w:val="28"/>
          <w:szCs w:val="28"/>
        </w:rPr>
        <w:t>（1）中标方可自行运输或委托有危险废物道路运输资质的公司负责运输危险废物，运输车辆驶出招标方厂区的所发生的任何运输风险由中标方承担；</w:t>
      </w:r>
    </w:p>
    <w:p w14:paraId="4CE495A0">
      <w:pPr>
        <w:autoSpaceDE w:val="0"/>
        <w:autoSpaceDN w:val="0"/>
        <w:adjustRightInd w:val="0"/>
        <w:spacing w:line="360" w:lineRule="auto"/>
        <w:ind w:firstLine="560" w:firstLineChars="200"/>
        <w:jc w:val="left"/>
        <w:rPr>
          <w:rFonts w:hint="eastAsia" w:ascii="仿宋_GB2312" w:hAnsi="Microsoft YaHei UI Light" w:eastAsia="仿宋_GB2312"/>
          <w:sz w:val="28"/>
          <w:szCs w:val="28"/>
        </w:rPr>
      </w:pPr>
      <w:r>
        <w:rPr>
          <w:rFonts w:hint="eastAsia" w:ascii="仿宋_GB2312" w:hAnsi="Microsoft YaHei UI Light" w:eastAsia="仿宋_GB2312"/>
          <w:sz w:val="28"/>
          <w:szCs w:val="28"/>
        </w:rPr>
        <w:t>（2）出入招标方厂区的危险废物运输车辆必须是中国重汽品牌车辆，厂家配备能够取得济南市区内通行证的轻型危废处置车辆；</w:t>
      </w:r>
    </w:p>
    <w:p w14:paraId="758DBD50">
      <w:pPr>
        <w:autoSpaceDE w:val="0"/>
        <w:autoSpaceDN w:val="0"/>
        <w:adjustRightInd w:val="0"/>
        <w:spacing w:line="360" w:lineRule="auto"/>
        <w:ind w:firstLine="560" w:firstLineChars="200"/>
        <w:jc w:val="left"/>
        <w:rPr>
          <w:rFonts w:hint="eastAsia" w:ascii="仿宋_GB2312" w:hAnsi="Microsoft YaHei UI Light" w:eastAsia="仿宋_GB2312"/>
          <w:sz w:val="28"/>
          <w:szCs w:val="28"/>
        </w:rPr>
      </w:pPr>
      <w:r>
        <w:rPr>
          <w:rFonts w:hint="eastAsia" w:ascii="仿宋_GB2312" w:hAnsi="Microsoft YaHei UI Light" w:eastAsia="仿宋_GB2312"/>
          <w:sz w:val="28"/>
          <w:szCs w:val="28"/>
        </w:rPr>
        <w:t>（3）危险废物运输过程中保证密封包装，捆扎结实，确保装车、运输过程中无泄露；</w:t>
      </w:r>
    </w:p>
    <w:p w14:paraId="3972CADD">
      <w:pPr>
        <w:pStyle w:val="14"/>
        <w:spacing w:line="360" w:lineRule="auto"/>
        <w:ind w:firstLine="560" w:firstLineChars="200"/>
        <w:jc w:val="left"/>
        <w:rPr>
          <w:rFonts w:hint="eastAsia" w:ascii="仿宋_GB2312" w:hAnsi="Microsoft YaHei UI Light" w:eastAsia="仿宋_GB2312"/>
          <w:sz w:val="28"/>
          <w:szCs w:val="28"/>
        </w:rPr>
      </w:pPr>
      <w:r>
        <w:rPr>
          <w:rFonts w:hint="eastAsia" w:ascii="仿宋_GB2312" w:hAnsi="Microsoft YaHei UI Light" w:eastAsia="仿宋_GB2312"/>
          <w:sz w:val="28"/>
          <w:szCs w:val="28"/>
        </w:rPr>
        <w:t>（4）必须由持有危险货物运输车辆驾驶及押运资格证的人员负责运输。</w:t>
      </w:r>
    </w:p>
    <w:p w14:paraId="2DB63C27">
      <w:pPr>
        <w:autoSpaceDE w:val="0"/>
        <w:autoSpaceDN w:val="0"/>
        <w:adjustRightInd w:val="0"/>
        <w:spacing w:line="360" w:lineRule="auto"/>
        <w:ind w:firstLine="562" w:firstLineChars="200"/>
        <w:jc w:val="left"/>
        <w:rPr>
          <w:rFonts w:hint="eastAsia" w:ascii="仿宋_GB2312" w:hAnsi="Microsoft YaHei UI Light" w:eastAsia="仿宋_GB2312"/>
          <w:b/>
          <w:sz w:val="28"/>
          <w:szCs w:val="28"/>
        </w:rPr>
      </w:pPr>
      <w:r>
        <w:rPr>
          <w:rFonts w:hint="eastAsia" w:ascii="仿宋_GB2312" w:hAnsi="Microsoft YaHei UI Light" w:eastAsia="仿宋_GB2312"/>
          <w:b/>
          <w:sz w:val="28"/>
          <w:szCs w:val="28"/>
        </w:rPr>
        <w:t>5.转移期限</w:t>
      </w:r>
    </w:p>
    <w:p w14:paraId="0CA1C0AD">
      <w:pPr>
        <w:autoSpaceDE w:val="0"/>
        <w:autoSpaceDN w:val="0"/>
        <w:adjustRightInd w:val="0"/>
        <w:spacing w:line="360" w:lineRule="auto"/>
        <w:ind w:firstLine="560" w:firstLineChars="200"/>
        <w:jc w:val="left"/>
        <w:rPr>
          <w:rFonts w:hint="eastAsia" w:ascii="仿宋_GB2312" w:hAnsi="Microsoft YaHei UI Light" w:eastAsia="仿宋_GB2312"/>
          <w:sz w:val="28"/>
          <w:szCs w:val="28"/>
        </w:rPr>
      </w:pPr>
      <w:r>
        <w:rPr>
          <w:rFonts w:hint="eastAsia" w:ascii="仿宋_GB2312" w:hAnsi="Microsoft YaHei UI Light" w:eastAsia="仿宋_GB2312"/>
          <w:sz w:val="28"/>
          <w:szCs w:val="28"/>
        </w:rPr>
        <w:t>（1）按照合同规定时间内到达产生单位进行转移运输。</w:t>
      </w:r>
    </w:p>
    <w:p w14:paraId="7AC23BAE">
      <w:pPr>
        <w:pStyle w:val="14"/>
        <w:spacing w:line="360" w:lineRule="auto"/>
        <w:ind w:firstLine="560" w:firstLineChars="200"/>
        <w:jc w:val="left"/>
        <w:rPr>
          <w:rFonts w:hint="eastAsia" w:ascii="仿宋_GB2312" w:hAnsi="Microsoft YaHei UI Light" w:eastAsia="仿宋_GB2312"/>
          <w:sz w:val="28"/>
          <w:szCs w:val="28"/>
        </w:rPr>
      </w:pPr>
      <w:r>
        <w:rPr>
          <w:rFonts w:hint="eastAsia" w:ascii="仿宋_GB2312" w:hAnsi="Microsoft YaHei UI Light" w:eastAsia="仿宋_GB2312"/>
          <w:sz w:val="28"/>
          <w:szCs w:val="28"/>
        </w:rPr>
        <w:t>（2）不得以任何理由拒绝、拖延转移处置合同约定范围内的各类危险废物。</w:t>
      </w:r>
    </w:p>
    <w:p w14:paraId="5AE46317">
      <w:pPr>
        <w:pStyle w:val="14"/>
        <w:spacing w:line="360" w:lineRule="auto"/>
        <w:ind w:firstLine="562" w:firstLineChars="200"/>
        <w:jc w:val="left"/>
        <w:rPr>
          <w:rFonts w:hint="eastAsia" w:ascii="仿宋_GB2312" w:hAnsi="Microsoft YaHei UI Light" w:eastAsia="仿宋_GB2312"/>
          <w:b/>
          <w:bCs/>
          <w:sz w:val="28"/>
          <w:szCs w:val="28"/>
        </w:rPr>
      </w:pPr>
      <w:r>
        <w:rPr>
          <w:rFonts w:hint="eastAsia" w:ascii="仿宋_GB2312" w:hAnsi="Microsoft YaHei UI Light" w:eastAsia="仿宋_GB2312"/>
          <w:b/>
          <w:bCs/>
          <w:sz w:val="28"/>
          <w:szCs w:val="28"/>
        </w:rPr>
        <w:t>6.处置工艺</w:t>
      </w:r>
    </w:p>
    <w:p w14:paraId="0468C8FD">
      <w:pPr>
        <w:pStyle w:val="14"/>
        <w:spacing w:line="360" w:lineRule="auto"/>
        <w:ind w:firstLine="560" w:firstLineChars="200"/>
        <w:rPr>
          <w:rFonts w:hint="eastAsia" w:ascii="仿宋_GB2312" w:hAnsi="Microsoft YaHei UI Light" w:eastAsia="仿宋_GB2312"/>
          <w:sz w:val="28"/>
          <w:szCs w:val="28"/>
        </w:rPr>
      </w:pPr>
      <w:r>
        <w:rPr>
          <w:rFonts w:hint="eastAsia" w:ascii="仿宋_GB2312" w:hAnsi="Microsoft YaHei UI Light" w:eastAsia="仿宋_GB2312"/>
          <w:sz w:val="28"/>
          <w:szCs w:val="28"/>
        </w:rPr>
        <w:t>投标单位需对本项目中涵盖的危废类别的处置工艺进行说明。</w:t>
      </w:r>
    </w:p>
    <w:p w14:paraId="3BCBFBC6">
      <w:pPr>
        <w:pStyle w:val="14"/>
        <w:spacing w:line="360" w:lineRule="auto"/>
        <w:rPr>
          <w:rFonts w:hint="eastAsia" w:ascii="仿宋_GB2312" w:hAnsi="Microsoft YaHei UI Light" w:eastAsia="仿宋_GB2312"/>
          <w:b/>
          <w:bCs/>
          <w:sz w:val="28"/>
          <w:szCs w:val="28"/>
        </w:rPr>
      </w:pPr>
      <w:r>
        <w:rPr>
          <w:rFonts w:hint="eastAsia" w:ascii="仿宋_GB2312" w:hAnsi="Microsoft YaHei UI Light" w:eastAsia="仿宋_GB2312"/>
          <w:b/>
          <w:bCs/>
          <w:sz w:val="28"/>
          <w:szCs w:val="28"/>
        </w:rPr>
        <w:t>四、服务</w:t>
      </w:r>
    </w:p>
    <w:p w14:paraId="283FC374">
      <w:pPr>
        <w:pStyle w:val="14"/>
        <w:spacing w:line="360" w:lineRule="auto"/>
        <w:ind w:firstLine="560" w:firstLineChars="200"/>
        <w:rPr>
          <w:rFonts w:hint="eastAsia" w:ascii="仿宋_GB2312" w:hAnsi="Microsoft YaHei UI Light" w:eastAsia="仿宋_GB2312"/>
          <w:sz w:val="28"/>
          <w:szCs w:val="28"/>
        </w:rPr>
      </w:pPr>
      <w:r>
        <w:rPr>
          <w:rFonts w:hint="eastAsia" w:ascii="仿宋_GB2312" w:hAnsi="Microsoft YaHei UI Light" w:eastAsia="仿宋_GB2312"/>
          <w:sz w:val="28"/>
          <w:szCs w:val="28"/>
        </w:rPr>
        <w:t>1.危险废物包装、运输、装卸、检验、暂存、处置及相关服务等，最终以合同约定为准。</w:t>
      </w:r>
    </w:p>
    <w:p w14:paraId="4BD904E0">
      <w:pPr>
        <w:pStyle w:val="14"/>
        <w:spacing w:line="360" w:lineRule="auto"/>
        <w:ind w:firstLine="560" w:firstLineChars="200"/>
        <w:rPr>
          <w:rFonts w:hint="eastAsia" w:ascii="仿宋_GB2312" w:hAnsi="Microsoft YaHei UI Light" w:eastAsia="仿宋_GB2312"/>
          <w:sz w:val="28"/>
          <w:szCs w:val="28"/>
        </w:rPr>
      </w:pPr>
      <w:r>
        <w:rPr>
          <w:rFonts w:hint="eastAsia" w:ascii="仿宋_GB2312" w:hAnsi="Microsoft YaHei UI Light" w:eastAsia="仿宋_GB2312"/>
          <w:sz w:val="28"/>
          <w:szCs w:val="28"/>
        </w:rPr>
        <w:t>2.服务响应：按需方或招标人的要求，如出现问题随时进行服务，直至需方或招标人满意为止。</w:t>
      </w:r>
    </w:p>
    <w:p w14:paraId="5D70341D">
      <w:pPr>
        <w:pStyle w:val="14"/>
        <w:spacing w:line="360" w:lineRule="auto"/>
        <w:ind w:firstLine="560" w:firstLineChars="200"/>
        <w:rPr>
          <w:rFonts w:hint="eastAsia" w:ascii="仿宋_GB2312" w:hAnsi="Microsoft YaHei UI Light" w:eastAsia="仿宋_GB2312"/>
          <w:sz w:val="28"/>
          <w:szCs w:val="28"/>
        </w:rPr>
      </w:pPr>
      <w:r>
        <w:rPr>
          <w:rFonts w:hint="eastAsia" w:ascii="仿宋_GB2312" w:hAnsi="Microsoft YaHei UI Light" w:eastAsia="仿宋_GB2312"/>
          <w:sz w:val="28"/>
          <w:szCs w:val="28"/>
        </w:rPr>
        <w:t>3.针对拉运过程中存在急需拉运但拉运量不足10吨的情况，投标方要针对单车（含拼车）拉运重量10吨以下，增加单车单趟费用，提出具体拉运方案及费用说明。拉运量不足10吨核定标准为中标方与合同方执行合同时合并单车拉运量。</w:t>
      </w:r>
    </w:p>
    <w:p w14:paraId="36F9C641">
      <w:pPr>
        <w:pStyle w:val="14"/>
        <w:spacing w:line="360" w:lineRule="auto"/>
        <w:ind w:firstLine="560" w:firstLineChars="200"/>
        <w:rPr>
          <w:rFonts w:hint="eastAsia" w:ascii="仿宋_GB2312" w:hAnsi="Microsoft YaHei UI Light" w:eastAsia="仿宋_GB2312" w:cs="宋体"/>
          <w:color w:val="000000"/>
          <w:sz w:val="28"/>
          <w:szCs w:val="28"/>
          <w:shd w:val="clear" w:color="auto" w:fill="FCFCFC"/>
        </w:rPr>
      </w:pPr>
      <w:r>
        <w:rPr>
          <w:rFonts w:hint="eastAsia" w:ascii="仿宋_GB2312" w:hAnsi="Microsoft YaHei UI Light" w:eastAsia="仿宋_GB2312" w:cs="宋体"/>
          <w:color w:val="000000"/>
          <w:sz w:val="28"/>
          <w:szCs w:val="28"/>
          <w:shd w:val="clear" w:color="auto" w:fill="FCFCFC"/>
        </w:rPr>
        <w:t>4.本项目中标方合同履约保证金</w:t>
      </w:r>
      <w:r>
        <w:rPr>
          <w:rFonts w:hint="eastAsia" w:ascii="仿宋_GB2312" w:hAnsi="Microsoft YaHei UI Light" w:eastAsia="仿宋_GB2312" w:cs="宋体"/>
          <w:color w:val="000000"/>
          <w:sz w:val="28"/>
          <w:szCs w:val="28"/>
          <w:shd w:val="clear" w:color="auto" w:fill="FCFCFC"/>
          <w:lang w:val="en-US" w:eastAsia="zh-CN"/>
        </w:rPr>
        <w:t>10</w:t>
      </w:r>
      <w:r>
        <w:rPr>
          <w:rFonts w:hint="eastAsia" w:ascii="仿宋_GB2312" w:hAnsi="Microsoft YaHei UI Light" w:eastAsia="仿宋_GB2312" w:cs="宋体"/>
          <w:color w:val="000000"/>
          <w:sz w:val="28"/>
          <w:szCs w:val="28"/>
          <w:shd w:val="clear" w:color="auto" w:fill="FCFCFC"/>
        </w:rPr>
        <w:t>000元（人民币</w:t>
      </w:r>
      <w:r>
        <w:rPr>
          <w:rFonts w:hint="eastAsia" w:ascii="仿宋_GB2312" w:hAnsi="Microsoft YaHei UI Light" w:eastAsia="仿宋_GB2312" w:cs="宋体"/>
          <w:color w:val="000000"/>
          <w:sz w:val="28"/>
          <w:szCs w:val="28"/>
          <w:shd w:val="clear" w:color="auto" w:fill="FCFCFC"/>
          <w:lang w:val="en-US" w:eastAsia="zh-CN"/>
        </w:rPr>
        <w:t>一万</w:t>
      </w:r>
      <w:r>
        <w:rPr>
          <w:rFonts w:hint="eastAsia" w:ascii="仿宋_GB2312" w:hAnsi="Microsoft YaHei UI Light" w:eastAsia="仿宋_GB2312" w:cs="宋体"/>
          <w:color w:val="000000"/>
          <w:sz w:val="28"/>
          <w:szCs w:val="28"/>
          <w:shd w:val="clear" w:color="auto" w:fill="FCFCFC"/>
        </w:rPr>
        <w:t>元），根据合同或协议针对拉运处置投诉问题进行经济考核。</w:t>
      </w:r>
    </w:p>
    <w:p w14:paraId="73CC9BE3">
      <w:pPr>
        <w:pStyle w:val="14"/>
        <w:spacing w:line="360" w:lineRule="auto"/>
        <w:rPr>
          <w:rFonts w:hint="eastAsia" w:ascii="仿宋_GB2312" w:hAnsi="Microsoft YaHei UI Light" w:eastAsia="仿宋_GB2312"/>
          <w:b/>
          <w:bCs/>
          <w:sz w:val="28"/>
          <w:szCs w:val="28"/>
        </w:rPr>
      </w:pPr>
      <w:r>
        <w:rPr>
          <w:rFonts w:hint="eastAsia" w:ascii="仿宋_GB2312" w:hAnsi="Microsoft YaHei UI Light" w:eastAsia="仿宋_GB2312"/>
          <w:b/>
          <w:bCs/>
          <w:sz w:val="28"/>
          <w:szCs w:val="28"/>
        </w:rPr>
        <w:t>五、其他</w:t>
      </w:r>
    </w:p>
    <w:p w14:paraId="46406B1E">
      <w:pPr>
        <w:spacing w:line="360" w:lineRule="auto"/>
        <w:ind w:firstLine="560" w:firstLineChars="200"/>
        <w:jc w:val="left"/>
        <w:rPr>
          <w:rFonts w:hint="eastAsia" w:ascii="Microsoft YaHei UI Light" w:hAnsi="Microsoft YaHei UI Light" w:eastAsia="Microsoft YaHei UI Light"/>
          <w:sz w:val="28"/>
          <w:szCs w:val="28"/>
        </w:rPr>
      </w:pPr>
      <w:r>
        <w:rPr>
          <w:rFonts w:hint="eastAsia" w:ascii="仿宋_GB2312" w:hAnsi="Microsoft YaHei UI Light" w:eastAsia="仿宋_GB2312" w:cs="宋体"/>
          <w:color w:val="000000"/>
          <w:sz w:val="28"/>
          <w:szCs w:val="28"/>
          <w:shd w:val="clear" w:color="auto" w:fill="FCFCFC"/>
        </w:rPr>
        <w:t>因投标方原因未能及时完成项目的，或因乙方其他原因造成损失的，应赔偿由此给我司造成的损失。</w:t>
      </w:r>
    </w:p>
    <w:p w14:paraId="79870086">
      <w:pPr>
        <w:spacing w:line="360" w:lineRule="auto"/>
        <w:ind w:firstLine="560" w:firstLineChars="200"/>
        <w:jc w:val="left"/>
        <w:rPr>
          <w:rFonts w:hint="eastAsia" w:ascii="仿宋_GB2312" w:hAnsi="Microsoft YaHei UI Light" w:eastAsia="仿宋_GB2312" w:cs="宋体"/>
          <w:color w:val="000000"/>
          <w:sz w:val="28"/>
          <w:szCs w:val="28"/>
          <w:shd w:val="clear" w:color="auto" w:fill="FCFCFC"/>
        </w:rPr>
      </w:pPr>
    </w:p>
    <w:p w14:paraId="186A9E55">
      <w:pPr>
        <w:rPr>
          <w:rFonts w:hint="eastAsia" w:ascii="仿宋_GB2312" w:hAnsi="Times New Roman" w:eastAsia="仿宋_GB2312"/>
          <w:b/>
          <w:bCs/>
          <w:sz w:val="28"/>
          <w:szCs w:val="28"/>
        </w:rPr>
      </w:pPr>
      <w:r>
        <w:rPr>
          <w:rFonts w:hint="eastAsia" w:ascii="仿宋_GB2312" w:hAnsi="Times New Roman" w:eastAsia="仿宋_GB2312"/>
          <w:b/>
          <w:bCs/>
          <w:sz w:val="28"/>
          <w:szCs w:val="28"/>
        </w:rPr>
        <w:br w:type="page"/>
      </w:r>
    </w:p>
    <w:p w14:paraId="4C4D0995">
      <w:pPr>
        <w:pStyle w:val="14"/>
        <w:spacing w:line="360" w:lineRule="auto"/>
        <w:jc w:val="center"/>
        <w:rPr>
          <w:rFonts w:ascii="仿宋_GB2312" w:hAnsi="Times New Roman" w:eastAsia="仿宋_GB2312"/>
          <w:b/>
          <w:bCs/>
          <w:sz w:val="28"/>
          <w:szCs w:val="28"/>
        </w:rPr>
      </w:pPr>
      <w:r>
        <w:rPr>
          <w:rFonts w:hint="eastAsia" w:ascii="仿宋_GB2312" w:hAnsi="Times New Roman" w:eastAsia="仿宋_GB2312"/>
          <w:b/>
          <w:bCs/>
          <w:sz w:val="28"/>
          <w:szCs w:val="28"/>
          <w:lang w:val="en-US" w:eastAsia="zh-CN"/>
        </w:rPr>
        <w:t>车桥公司</w:t>
      </w:r>
      <w:r>
        <w:rPr>
          <w:rFonts w:hint="eastAsia" w:ascii="仿宋_GB2312" w:hAnsi="Times New Roman" w:eastAsia="仿宋_GB2312"/>
          <w:b/>
          <w:bCs/>
          <w:sz w:val="28"/>
          <w:szCs w:val="28"/>
        </w:rPr>
        <w:t>2026 年度危险废物处置项目技术文件附件</w:t>
      </w:r>
    </w:p>
    <w:p w14:paraId="4CC04EF5">
      <w:pPr>
        <w:pStyle w:val="14"/>
        <w:spacing w:line="360" w:lineRule="auto"/>
        <w:rPr>
          <w:rFonts w:ascii="仿宋_GB2312" w:hAnsi="Times New Roman" w:eastAsia="仿宋_GB2312"/>
          <w:b/>
          <w:bCs/>
          <w:sz w:val="24"/>
          <w:szCs w:val="24"/>
        </w:rPr>
      </w:pPr>
      <w:r>
        <w:rPr>
          <w:rFonts w:hint="eastAsia" w:ascii="仿宋_GB2312" w:hAnsi="Times New Roman" w:eastAsia="仿宋_GB2312"/>
          <w:b/>
          <w:bCs/>
          <w:sz w:val="24"/>
          <w:szCs w:val="24"/>
        </w:rPr>
        <w:t>附件1</w:t>
      </w:r>
    </w:p>
    <w:p w14:paraId="41E7F414">
      <w:pPr>
        <w:rPr>
          <w:rFonts w:ascii="仿宋_GB2312" w:eastAsia="仿宋_GB2312"/>
          <w:b/>
          <w:bCs/>
          <w:sz w:val="24"/>
          <w:szCs w:val="24"/>
        </w:rPr>
      </w:pPr>
      <w:r>
        <w:rPr>
          <w:rFonts w:hint="eastAsia" w:ascii="仿宋_GB2312" w:hAnsi="宋体" w:eastAsia="仿宋_GB2312"/>
          <w:b/>
          <w:bCs/>
          <w:sz w:val="24"/>
          <w:szCs w:val="24"/>
        </w:rPr>
        <w:t>项目名称：</w:t>
      </w:r>
      <w:r>
        <w:rPr>
          <w:rFonts w:hint="eastAsia" w:ascii="仿宋_GB2312" w:hAnsi="宋体" w:eastAsia="仿宋_GB2312"/>
          <w:b/>
          <w:bCs/>
          <w:sz w:val="24"/>
          <w:szCs w:val="24"/>
          <w:lang w:val="en-US" w:eastAsia="zh-CN"/>
        </w:rPr>
        <w:t>车桥公司</w:t>
      </w:r>
      <w:r>
        <w:rPr>
          <w:rFonts w:hint="eastAsia" w:ascii="仿宋_GB2312" w:eastAsia="仿宋_GB2312"/>
          <w:b/>
          <w:bCs/>
          <w:sz w:val="24"/>
          <w:szCs w:val="24"/>
        </w:rPr>
        <w:t>2026年度危险废物处置项目</w:t>
      </w:r>
    </w:p>
    <w:p w14:paraId="4F1350C5">
      <w:pPr>
        <w:rPr>
          <w:rFonts w:ascii="仿宋_GB2312" w:eastAsia="仿宋_GB2312"/>
          <w:sz w:val="24"/>
          <w:szCs w:val="24"/>
          <w:u w:val="single"/>
        </w:rPr>
      </w:pPr>
    </w:p>
    <w:p w14:paraId="6EA1249A">
      <w:pPr>
        <w:rPr>
          <w:rFonts w:hint="eastAsia" w:ascii="仿宋_GB2312" w:hAnsi="宋体" w:eastAsia="仿宋_GB2312"/>
          <w:b/>
          <w:bCs/>
          <w:sz w:val="24"/>
          <w:szCs w:val="24"/>
        </w:rPr>
      </w:pPr>
      <w:r>
        <w:rPr>
          <w:rFonts w:hint="eastAsia" w:ascii="仿宋_GB2312" w:hAnsi="宋体" w:eastAsia="仿宋_GB2312"/>
          <w:b/>
          <w:bCs/>
          <w:sz w:val="24"/>
          <w:szCs w:val="24"/>
        </w:rPr>
        <w:t>日期：  年   月   日</w:t>
      </w:r>
    </w:p>
    <w:p w14:paraId="5C19F0B6">
      <w:pPr>
        <w:jc w:val="center"/>
        <w:rPr>
          <w:rFonts w:ascii="仿宋_GB2312" w:eastAsia="仿宋_GB2312"/>
          <w:b/>
          <w:bCs/>
          <w:sz w:val="24"/>
          <w:szCs w:val="24"/>
        </w:rPr>
      </w:pPr>
      <w:r>
        <w:rPr>
          <w:rFonts w:hint="eastAsia" w:ascii="仿宋_GB2312" w:eastAsia="仿宋_GB2312"/>
          <w:b/>
          <w:bCs/>
          <w:sz w:val="24"/>
          <w:szCs w:val="24"/>
        </w:rPr>
        <w:t>同类项目业绩一览表</w:t>
      </w: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26"/>
        <w:gridCol w:w="1843"/>
        <w:gridCol w:w="1984"/>
        <w:gridCol w:w="2075"/>
        <w:gridCol w:w="1858"/>
      </w:tblGrid>
      <w:tr w14:paraId="16E1A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1526" w:type="dxa"/>
            <w:vAlign w:val="center"/>
          </w:tcPr>
          <w:p w14:paraId="658BFBAB">
            <w:pPr>
              <w:pStyle w:val="14"/>
              <w:spacing w:line="360" w:lineRule="auto"/>
              <w:jc w:val="center"/>
              <w:rPr>
                <w:rFonts w:hint="eastAsia" w:ascii="仿宋_GB2312" w:hAnsi="宋体" w:eastAsia="仿宋_GB2312"/>
                <w:b/>
                <w:bCs/>
                <w:sz w:val="24"/>
                <w:szCs w:val="24"/>
              </w:rPr>
            </w:pPr>
            <w:r>
              <w:rPr>
                <w:rFonts w:hint="eastAsia" w:ascii="仿宋_GB2312" w:hAnsi="宋体" w:eastAsia="仿宋_GB2312"/>
                <w:bCs/>
                <w:sz w:val="24"/>
                <w:szCs w:val="24"/>
              </w:rPr>
              <w:t>客户名称</w:t>
            </w:r>
          </w:p>
        </w:tc>
        <w:tc>
          <w:tcPr>
            <w:tcW w:w="1843" w:type="dxa"/>
            <w:vAlign w:val="center"/>
          </w:tcPr>
          <w:p w14:paraId="2A8774D3">
            <w:pPr>
              <w:pStyle w:val="14"/>
              <w:spacing w:line="360" w:lineRule="auto"/>
              <w:jc w:val="center"/>
              <w:rPr>
                <w:rFonts w:hint="eastAsia" w:ascii="仿宋_GB2312" w:hAnsi="宋体" w:eastAsia="仿宋_GB2312"/>
                <w:bCs/>
                <w:sz w:val="24"/>
                <w:szCs w:val="24"/>
              </w:rPr>
            </w:pPr>
            <w:r>
              <w:rPr>
                <w:rFonts w:hint="eastAsia" w:ascii="仿宋_GB2312" w:hAnsi="宋体" w:eastAsia="仿宋_GB2312"/>
                <w:bCs/>
                <w:sz w:val="24"/>
                <w:szCs w:val="24"/>
              </w:rPr>
              <w:t>合同项目</w:t>
            </w:r>
          </w:p>
        </w:tc>
        <w:tc>
          <w:tcPr>
            <w:tcW w:w="1984" w:type="dxa"/>
            <w:vAlign w:val="center"/>
          </w:tcPr>
          <w:p w14:paraId="4F97514F">
            <w:pPr>
              <w:pStyle w:val="14"/>
              <w:spacing w:line="360" w:lineRule="auto"/>
              <w:jc w:val="center"/>
              <w:rPr>
                <w:rFonts w:hint="eastAsia" w:ascii="仿宋_GB2312" w:hAnsi="宋体" w:eastAsia="仿宋_GB2312"/>
                <w:bCs/>
                <w:sz w:val="24"/>
                <w:szCs w:val="24"/>
              </w:rPr>
            </w:pPr>
            <w:r>
              <w:rPr>
                <w:rFonts w:hint="eastAsia" w:ascii="仿宋_GB2312" w:hAnsi="宋体" w:eastAsia="仿宋_GB2312"/>
                <w:bCs/>
                <w:sz w:val="24"/>
                <w:szCs w:val="24"/>
              </w:rPr>
              <w:t>合同起止时间</w:t>
            </w:r>
          </w:p>
        </w:tc>
        <w:tc>
          <w:tcPr>
            <w:tcW w:w="2075" w:type="dxa"/>
            <w:vAlign w:val="center"/>
          </w:tcPr>
          <w:p w14:paraId="4746D44A">
            <w:pPr>
              <w:pStyle w:val="14"/>
              <w:spacing w:line="360" w:lineRule="auto"/>
              <w:jc w:val="center"/>
              <w:rPr>
                <w:rFonts w:hint="eastAsia" w:ascii="仿宋_GB2312" w:hAnsi="宋体" w:eastAsia="仿宋_GB2312"/>
                <w:bCs/>
                <w:sz w:val="24"/>
                <w:szCs w:val="24"/>
              </w:rPr>
            </w:pPr>
            <w:r>
              <w:rPr>
                <w:rFonts w:hint="eastAsia" w:ascii="仿宋_GB2312" w:hAnsi="宋体" w:eastAsia="仿宋_GB2312"/>
                <w:bCs/>
                <w:sz w:val="24"/>
                <w:szCs w:val="24"/>
              </w:rPr>
              <w:t>合同数量（吨）</w:t>
            </w:r>
          </w:p>
        </w:tc>
        <w:tc>
          <w:tcPr>
            <w:tcW w:w="1858" w:type="dxa"/>
            <w:vAlign w:val="center"/>
          </w:tcPr>
          <w:p w14:paraId="5D0A3F4C">
            <w:pPr>
              <w:pStyle w:val="14"/>
              <w:spacing w:line="360" w:lineRule="auto"/>
              <w:jc w:val="center"/>
              <w:rPr>
                <w:rFonts w:hint="eastAsia" w:ascii="仿宋_GB2312" w:hAnsi="宋体" w:eastAsia="仿宋_GB2312"/>
                <w:bCs/>
                <w:sz w:val="24"/>
                <w:szCs w:val="24"/>
              </w:rPr>
            </w:pPr>
            <w:r>
              <w:rPr>
                <w:rFonts w:hint="eastAsia" w:ascii="仿宋_GB2312" w:hAnsi="宋体" w:eastAsia="仿宋_GB2312"/>
                <w:bCs/>
                <w:sz w:val="24"/>
                <w:szCs w:val="24"/>
              </w:rPr>
              <w:t>合同金额</w:t>
            </w:r>
          </w:p>
          <w:p w14:paraId="16BCF9E0">
            <w:pPr>
              <w:pStyle w:val="14"/>
              <w:spacing w:line="360" w:lineRule="auto"/>
              <w:jc w:val="center"/>
              <w:rPr>
                <w:rFonts w:hint="eastAsia" w:ascii="仿宋_GB2312" w:hAnsi="宋体" w:eastAsia="仿宋_GB2312"/>
                <w:bCs/>
                <w:sz w:val="24"/>
                <w:szCs w:val="24"/>
              </w:rPr>
            </w:pPr>
            <w:r>
              <w:rPr>
                <w:rFonts w:hint="eastAsia" w:ascii="仿宋_GB2312" w:hAnsi="宋体" w:eastAsia="仿宋_GB2312"/>
                <w:bCs/>
                <w:sz w:val="24"/>
                <w:szCs w:val="24"/>
              </w:rPr>
              <w:t>（万元）</w:t>
            </w:r>
          </w:p>
        </w:tc>
      </w:tr>
      <w:tr w14:paraId="24D0B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Align w:val="center"/>
          </w:tcPr>
          <w:p w14:paraId="45C2C06C">
            <w:pPr>
              <w:pStyle w:val="14"/>
              <w:spacing w:line="360" w:lineRule="auto"/>
              <w:jc w:val="center"/>
              <w:rPr>
                <w:rFonts w:hint="eastAsia" w:ascii="仿宋_GB2312" w:hAnsi="宋体" w:eastAsia="仿宋_GB2312"/>
                <w:b/>
                <w:bCs/>
                <w:sz w:val="24"/>
                <w:szCs w:val="24"/>
              </w:rPr>
            </w:pPr>
          </w:p>
        </w:tc>
        <w:tc>
          <w:tcPr>
            <w:tcW w:w="1843" w:type="dxa"/>
            <w:vAlign w:val="center"/>
          </w:tcPr>
          <w:p w14:paraId="25094B42">
            <w:pPr>
              <w:pStyle w:val="14"/>
              <w:spacing w:line="360" w:lineRule="auto"/>
              <w:jc w:val="center"/>
              <w:rPr>
                <w:rFonts w:hint="eastAsia" w:ascii="仿宋_GB2312" w:hAnsi="宋体" w:eastAsia="仿宋_GB2312"/>
                <w:b/>
                <w:bCs/>
                <w:sz w:val="24"/>
                <w:szCs w:val="24"/>
              </w:rPr>
            </w:pPr>
          </w:p>
        </w:tc>
        <w:tc>
          <w:tcPr>
            <w:tcW w:w="1984" w:type="dxa"/>
            <w:vAlign w:val="center"/>
          </w:tcPr>
          <w:p w14:paraId="68568D2D">
            <w:pPr>
              <w:pStyle w:val="14"/>
              <w:spacing w:line="360" w:lineRule="auto"/>
              <w:jc w:val="center"/>
              <w:rPr>
                <w:rFonts w:hint="eastAsia" w:ascii="仿宋_GB2312" w:hAnsi="宋体" w:eastAsia="仿宋_GB2312"/>
                <w:b/>
                <w:bCs/>
                <w:sz w:val="24"/>
                <w:szCs w:val="24"/>
              </w:rPr>
            </w:pPr>
          </w:p>
        </w:tc>
        <w:tc>
          <w:tcPr>
            <w:tcW w:w="2075" w:type="dxa"/>
            <w:vAlign w:val="center"/>
          </w:tcPr>
          <w:p w14:paraId="01C62C3E">
            <w:pPr>
              <w:pStyle w:val="14"/>
              <w:spacing w:line="360" w:lineRule="auto"/>
              <w:jc w:val="center"/>
              <w:rPr>
                <w:rFonts w:hint="eastAsia" w:ascii="仿宋_GB2312" w:hAnsi="宋体" w:eastAsia="仿宋_GB2312"/>
                <w:b/>
                <w:bCs/>
                <w:sz w:val="24"/>
                <w:szCs w:val="24"/>
              </w:rPr>
            </w:pPr>
          </w:p>
        </w:tc>
        <w:tc>
          <w:tcPr>
            <w:tcW w:w="1858" w:type="dxa"/>
            <w:vAlign w:val="center"/>
          </w:tcPr>
          <w:p w14:paraId="7AFAF160">
            <w:pPr>
              <w:pStyle w:val="14"/>
              <w:spacing w:line="360" w:lineRule="auto"/>
              <w:jc w:val="center"/>
              <w:rPr>
                <w:rFonts w:hint="eastAsia" w:ascii="仿宋_GB2312" w:hAnsi="宋体" w:eastAsia="仿宋_GB2312"/>
                <w:b/>
                <w:bCs/>
                <w:sz w:val="24"/>
                <w:szCs w:val="24"/>
              </w:rPr>
            </w:pPr>
          </w:p>
        </w:tc>
      </w:tr>
      <w:tr w14:paraId="1315D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Align w:val="center"/>
          </w:tcPr>
          <w:p w14:paraId="185E38D7">
            <w:pPr>
              <w:pStyle w:val="14"/>
              <w:spacing w:line="360" w:lineRule="auto"/>
              <w:jc w:val="center"/>
              <w:rPr>
                <w:rFonts w:hint="eastAsia" w:ascii="仿宋_GB2312" w:hAnsi="宋体" w:eastAsia="仿宋_GB2312"/>
                <w:b/>
                <w:bCs/>
                <w:sz w:val="24"/>
                <w:szCs w:val="24"/>
              </w:rPr>
            </w:pPr>
          </w:p>
        </w:tc>
        <w:tc>
          <w:tcPr>
            <w:tcW w:w="1843" w:type="dxa"/>
            <w:vAlign w:val="center"/>
          </w:tcPr>
          <w:p w14:paraId="4C1A34EF">
            <w:pPr>
              <w:pStyle w:val="14"/>
              <w:spacing w:line="360" w:lineRule="auto"/>
              <w:jc w:val="center"/>
              <w:rPr>
                <w:rFonts w:hint="eastAsia" w:ascii="仿宋_GB2312" w:hAnsi="宋体" w:eastAsia="仿宋_GB2312"/>
                <w:b/>
                <w:bCs/>
                <w:sz w:val="24"/>
                <w:szCs w:val="24"/>
              </w:rPr>
            </w:pPr>
          </w:p>
        </w:tc>
        <w:tc>
          <w:tcPr>
            <w:tcW w:w="1984" w:type="dxa"/>
            <w:vAlign w:val="center"/>
          </w:tcPr>
          <w:p w14:paraId="068F5157">
            <w:pPr>
              <w:pStyle w:val="14"/>
              <w:spacing w:line="360" w:lineRule="auto"/>
              <w:jc w:val="center"/>
              <w:rPr>
                <w:rFonts w:hint="eastAsia" w:ascii="仿宋_GB2312" w:hAnsi="宋体" w:eastAsia="仿宋_GB2312"/>
                <w:b/>
                <w:bCs/>
                <w:sz w:val="24"/>
                <w:szCs w:val="24"/>
              </w:rPr>
            </w:pPr>
          </w:p>
        </w:tc>
        <w:tc>
          <w:tcPr>
            <w:tcW w:w="2075" w:type="dxa"/>
            <w:vAlign w:val="center"/>
          </w:tcPr>
          <w:p w14:paraId="6A4A428A">
            <w:pPr>
              <w:pStyle w:val="14"/>
              <w:spacing w:line="360" w:lineRule="auto"/>
              <w:jc w:val="center"/>
              <w:rPr>
                <w:rFonts w:hint="eastAsia" w:ascii="仿宋_GB2312" w:hAnsi="宋体" w:eastAsia="仿宋_GB2312"/>
                <w:b/>
                <w:bCs/>
                <w:sz w:val="24"/>
                <w:szCs w:val="24"/>
              </w:rPr>
            </w:pPr>
          </w:p>
        </w:tc>
        <w:tc>
          <w:tcPr>
            <w:tcW w:w="1858" w:type="dxa"/>
            <w:vAlign w:val="center"/>
          </w:tcPr>
          <w:p w14:paraId="7CBFAAF5">
            <w:pPr>
              <w:pStyle w:val="14"/>
              <w:spacing w:line="360" w:lineRule="auto"/>
              <w:jc w:val="center"/>
              <w:rPr>
                <w:rFonts w:hint="eastAsia" w:ascii="仿宋_GB2312" w:hAnsi="宋体" w:eastAsia="仿宋_GB2312"/>
                <w:b/>
                <w:bCs/>
                <w:sz w:val="24"/>
                <w:szCs w:val="24"/>
              </w:rPr>
            </w:pPr>
          </w:p>
        </w:tc>
      </w:tr>
      <w:tr w14:paraId="344DA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Align w:val="center"/>
          </w:tcPr>
          <w:p w14:paraId="561B38AE">
            <w:pPr>
              <w:pStyle w:val="14"/>
              <w:spacing w:line="360" w:lineRule="auto"/>
              <w:jc w:val="center"/>
              <w:rPr>
                <w:rFonts w:hint="eastAsia" w:ascii="仿宋_GB2312" w:hAnsi="宋体" w:eastAsia="仿宋_GB2312"/>
                <w:b/>
                <w:bCs/>
                <w:sz w:val="24"/>
                <w:szCs w:val="24"/>
              </w:rPr>
            </w:pPr>
          </w:p>
        </w:tc>
        <w:tc>
          <w:tcPr>
            <w:tcW w:w="1843" w:type="dxa"/>
            <w:vAlign w:val="center"/>
          </w:tcPr>
          <w:p w14:paraId="5194CBF7">
            <w:pPr>
              <w:pStyle w:val="14"/>
              <w:spacing w:line="360" w:lineRule="auto"/>
              <w:jc w:val="center"/>
              <w:rPr>
                <w:rFonts w:hint="eastAsia" w:ascii="仿宋_GB2312" w:hAnsi="宋体" w:eastAsia="仿宋_GB2312"/>
                <w:b/>
                <w:bCs/>
                <w:sz w:val="24"/>
                <w:szCs w:val="24"/>
              </w:rPr>
            </w:pPr>
          </w:p>
        </w:tc>
        <w:tc>
          <w:tcPr>
            <w:tcW w:w="1984" w:type="dxa"/>
            <w:vAlign w:val="center"/>
          </w:tcPr>
          <w:p w14:paraId="2650F099">
            <w:pPr>
              <w:pStyle w:val="14"/>
              <w:spacing w:line="360" w:lineRule="auto"/>
              <w:jc w:val="center"/>
              <w:rPr>
                <w:rFonts w:hint="eastAsia" w:ascii="仿宋_GB2312" w:hAnsi="宋体" w:eastAsia="仿宋_GB2312"/>
                <w:b/>
                <w:bCs/>
                <w:sz w:val="24"/>
                <w:szCs w:val="24"/>
              </w:rPr>
            </w:pPr>
          </w:p>
        </w:tc>
        <w:tc>
          <w:tcPr>
            <w:tcW w:w="2075" w:type="dxa"/>
            <w:vAlign w:val="center"/>
          </w:tcPr>
          <w:p w14:paraId="4515EE04">
            <w:pPr>
              <w:pStyle w:val="14"/>
              <w:spacing w:line="360" w:lineRule="auto"/>
              <w:jc w:val="center"/>
              <w:rPr>
                <w:rFonts w:hint="eastAsia" w:ascii="仿宋_GB2312" w:hAnsi="宋体" w:eastAsia="仿宋_GB2312"/>
                <w:b/>
                <w:bCs/>
                <w:sz w:val="24"/>
                <w:szCs w:val="24"/>
              </w:rPr>
            </w:pPr>
          </w:p>
        </w:tc>
        <w:tc>
          <w:tcPr>
            <w:tcW w:w="1858" w:type="dxa"/>
            <w:vAlign w:val="center"/>
          </w:tcPr>
          <w:p w14:paraId="75B751BD">
            <w:pPr>
              <w:pStyle w:val="14"/>
              <w:spacing w:line="360" w:lineRule="auto"/>
              <w:jc w:val="center"/>
              <w:rPr>
                <w:rFonts w:hint="eastAsia" w:ascii="仿宋_GB2312" w:hAnsi="宋体" w:eastAsia="仿宋_GB2312"/>
                <w:b/>
                <w:bCs/>
                <w:sz w:val="24"/>
                <w:szCs w:val="24"/>
              </w:rPr>
            </w:pPr>
          </w:p>
        </w:tc>
      </w:tr>
      <w:tr w14:paraId="6F6B6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Align w:val="center"/>
          </w:tcPr>
          <w:p w14:paraId="49273899">
            <w:pPr>
              <w:pStyle w:val="14"/>
              <w:spacing w:line="360" w:lineRule="auto"/>
              <w:jc w:val="center"/>
              <w:rPr>
                <w:rFonts w:hint="eastAsia" w:ascii="仿宋_GB2312" w:hAnsi="宋体" w:eastAsia="仿宋_GB2312"/>
                <w:b/>
                <w:bCs/>
                <w:sz w:val="24"/>
                <w:szCs w:val="24"/>
              </w:rPr>
            </w:pPr>
          </w:p>
        </w:tc>
        <w:tc>
          <w:tcPr>
            <w:tcW w:w="1843" w:type="dxa"/>
            <w:vAlign w:val="center"/>
          </w:tcPr>
          <w:p w14:paraId="1765A4B3">
            <w:pPr>
              <w:pStyle w:val="14"/>
              <w:spacing w:line="360" w:lineRule="auto"/>
              <w:jc w:val="center"/>
              <w:rPr>
                <w:rFonts w:hint="eastAsia" w:ascii="仿宋_GB2312" w:hAnsi="宋体" w:eastAsia="仿宋_GB2312"/>
                <w:b/>
                <w:bCs/>
                <w:sz w:val="24"/>
                <w:szCs w:val="24"/>
              </w:rPr>
            </w:pPr>
          </w:p>
        </w:tc>
        <w:tc>
          <w:tcPr>
            <w:tcW w:w="1984" w:type="dxa"/>
            <w:vAlign w:val="center"/>
          </w:tcPr>
          <w:p w14:paraId="7EB5B611">
            <w:pPr>
              <w:pStyle w:val="14"/>
              <w:spacing w:line="360" w:lineRule="auto"/>
              <w:jc w:val="center"/>
              <w:rPr>
                <w:rFonts w:hint="eastAsia" w:ascii="仿宋_GB2312" w:hAnsi="宋体" w:eastAsia="仿宋_GB2312"/>
                <w:b/>
                <w:bCs/>
                <w:sz w:val="24"/>
                <w:szCs w:val="24"/>
              </w:rPr>
            </w:pPr>
          </w:p>
        </w:tc>
        <w:tc>
          <w:tcPr>
            <w:tcW w:w="2075" w:type="dxa"/>
            <w:vAlign w:val="center"/>
          </w:tcPr>
          <w:p w14:paraId="7A9C3B4F">
            <w:pPr>
              <w:pStyle w:val="14"/>
              <w:spacing w:line="360" w:lineRule="auto"/>
              <w:jc w:val="center"/>
              <w:rPr>
                <w:rFonts w:hint="eastAsia" w:ascii="仿宋_GB2312" w:hAnsi="宋体" w:eastAsia="仿宋_GB2312"/>
                <w:b/>
                <w:bCs/>
                <w:sz w:val="24"/>
                <w:szCs w:val="24"/>
              </w:rPr>
            </w:pPr>
          </w:p>
        </w:tc>
        <w:tc>
          <w:tcPr>
            <w:tcW w:w="1858" w:type="dxa"/>
            <w:vAlign w:val="center"/>
          </w:tcPr>
          <w:p w14:paraId="06C6B476">
            <w:pPr>
              <w:pStyle w:val="14"/>
              <w:spacing w:line="360" w:lineRule="auto"/>
              <w:jc w:val="center"/>
              <w:rPr>
                <w:rFonts w:hint="eastAsia" w:ascii="仿宋_GB2312" w:hAnsi="宋体" w:eastAsia="仿宋_GB2312"/>
                <w:b/>
                <w:bCs/>
                <w:sz w:val="24"/>
                <w:szCs w:val="24"/>
              </w:rPr>
            </w:pPr>
          </w:p>
        </w:tc>
      </w:tr>
      <w:tr w14:paraId="7FDE2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Align w:val="center"/>
          </w:tcPr>
          <w:p w14:paraId="486D1AB0">
            <w:pPr>
              <w:pStyle w:val="14"/>
              <w:spacing w:line="360" w:lineRule="auto"/>
              <w:jc w:val="center"/>
              <w:rPr>
                <w:rFonts w:hint="eastAsia" w:ascii="仿宋_GB2312" w:hAnsi="宋体" w:eastAsia="仿宋_GB2312"/>
                <w:b/>
                <w:bCs/>
                <w:sz w:val="24"/>
                <w:szCs w:val="24"/>
              </w:rPr>
            </w:pPr>
          </w:p>
        </w:tc>
        <w:tc>
          <w:tcPr>
            <w:tcW w:w="1843" w:type="dxa"/>
            <w:vAlign w:val="center"/>
          </w:tcPr>
          <w:p w14:paraId="79FDD2DB">
            <w:pPr>
              <w:pStyle w:val="14"/>
              <w:spacing w:line="360" w:lineRule="auto"/>
              <w:jc w:val="center"/>
              <w:rPr>
                <w:rFonts w:hint="eastAsia" w:ascii="仿宋_GB2312" w:hAnsi="宋体" w:eastAsia="仿宋_GB2312"/>
                <w:b/>
                <w:bCs/>
                <w:sz w:val="24"/>
                <w:szCs w:val="24"/>
              </w:rPr>
            </w:pPr>
          </w:p>
        </w:tc>
        <w:tc>
          <w:tcPr>
            <w:tcW w:w="1984" w:type="dxa"/>
            <w:vAlign w:val="center"/>
          </w:tcPr>
          <w:p w14:paraId="798E12CD">
            <w:pPr>
              <w:pStyle w:val="14"/>
              <w:spacing w:line="360" w:lineRule="auto"/>
              <w:jc w:val="center"/>
              <w:rPr>
                <w:rFonts w:hint="eastAsia" w:ascii="仿宋_GB2312" w:hAnsi="宋体" w:eastAsia="仿宋_GB2312"/>
                <w:b/>
                <w:bCs/>
                <w:sz w:val="24"/>
                <w:szCs w:val="24"/>
              </w:rPr>
            </w:pPr>
          </w:p>
        </w:tc>
        <w:tc>
          <w:tcPr>
            <w:tcW w:w="2075" w:type="dxa"/>
            <w:vAlign w:val="center"/>
          </w:tcPr>
          <w:p w14:paraId="18B9A24E">
            <w:pPr>
              <w:pStyle w:val="14"/>
              <w:spacing w:line="360" w:lineRule="auto"/>
              <w:jc w:val="center"/>
              <w:rPr>
                <w:rFonts w:hint="eastAsia" w:ascii="仿宋_GB2312" w:hAnsi="宋体" w:eastAsia="仿宋_GB2312"/>
                <w:b/>
                <w:bCs/>
                <w:sz w:val="24"/>
                <w:szCs w:val="24"/>
              </w:rPr>
            </w:pPr>
          </w:p>
        </w:tc>
        <w:tc>
          <w:tcPr>
            <w:tcW w:w="1858" w:type="dxa"/>
            <w:vAlign w:val="center"/>
          </w:tcPr>
          <w:p w14:paraId="54C8E83D">
            <w:pPr>
              <w:pStyle w:val="14"/>
              <w:spacing w:line="360" w:lineRule="auto"/>
              <w:jc w:val="center"/>
              <w:rPr>
                <w:rFonts w:hint="eastAsia" w:ascii="仿宋_GB2312" w:hAnsi="宋体" w:eastAsia="仿宋_GB2312"/>
                <w:b/>
                <w:bCs/>
                <w:sz w:val="24"/>
                <w:szCs w:val="24"/>
              </w:rPr>
            </w:pPr>
          </w:p>
        </w:tc>
      </w:tr>
      <w:tr w14:paraId="45441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Align w:val="center"/>
          </w:tcPr>
          <w:p w14:paraId="615D2A4D">
            <w:pPr>
              <w:pStyle w:val="14"/>
              <w:spacing w:line="360" w:lineRule="auto"/>
              <w:jc w:val="center"/>
              <w:rPr>
                <w:rFonts w:hint="eastAsia" w:ascii="仿宋_GB2312" w:hAnsi="宋体" w:eastAsia="仿宋_GB2312"/>
                <w:b/>
                <w:bCs/>
                <w:sz w:val="24"/>
                <w:szCs w:val="24"/>
              </w:rPr>
            </w:pPr>
          </w:p>
        </w:tc>
        <w:tc>
          <w:tcPr>
            <w:tcW w:w="1843" w:type="dxa"/>
            <w:vAlign w:val="center"/>
          </w:tcPr>
          <w:p w14:paraId="7C00870D">
            <w:pPr>
              <w:pStyle w:val="14"/>
              <w:spacing w:line="360" w:lineRule="auto"/>
              <w:jc w:val="center"/>
              <w:rPr>
                <w:rFonts w:hint="eastAsia" w:ascii="仿宋_GB2312" w:hAnsi="宋体" w:eastAsia="仿宋_GB2312"/>
                <w:b/>
                <w:bCs/>
                <w:sz w:val="24"/>
                <w:szCs w:val="24"/>
              </w:rPr>
            </w:pPr>
          </w:p>
        </w:tc>
        <w:tc>
          <w:tcPr>
            <w:tcW w:w="1984" w:type="dxa"/>
            <w:vAlign w:val="center"/>
          </w:tcPr>
          <w:p w14:paraId="710EE008">
            <w:pPr>
              <w:pStyle w:val="14"/>
              <w:spacing w:line="360" w:lineRule="auto"/>
              <w:jc w:val="center"/>
              <w:rPr>
                <w:rFonts w:hint="eastAsia" w:ascii="仿宋_GB2312" w:hAnsi="宋体" w:eastAsia="仿宋_GB2312"/>
                <w:b/>
                <w:bCs/>
                <w:sz w:val="24"/>
                <w:szCs w:val="24"/>
              </w:rPr>
            </w:pPr>
          </w:p>
        </w:tc>
        <w:tc>
          <w:tcPr>
            <w:tcW w:w="2075" w:type="dxa"/>
            <w:vAlign w:val="center"/>
          </w:tcPr>
          <w:p w14:paraId="1B2D4B15">
            <w:pPr>
              <w:pStyle w:val="14"/>
              <w:spacing w:line="360" w:lineRule="auto"/>
              <w:jc w:val="center"/>
              <w:rPr>
                <w:rFonts w:hint="eastAsia" w:ascii="仿宋_GB2312" w:hAnsi="宋体" w:eastAsia="仿宋_GB2312"/>
                <w:b/>
                <w:bCs/>
                <w:sz w:val="24"/>
                <w:szCs w:val="24"/>
              </w:rPr>
            </w:pPr>
          </w:p>
        </w:tc>
        <w:tc>
          <w:tcPr>
            <w:tcW w:w="1858" w:type="dxa"/>
            <w:vAlign w:val="center"/>
          </w:tcPr>
          <w:p w14:paraId="6FA075BA">
            <w:pPr>
              <w:pStyle w:val="14"/>
              <w:spacing w:line="360" w:lineRule="auto"/>
              <w:jc w:val="center"/>
              <w:rPr>
                <w:rFonts w:hint="eastAsia" w:ascii="仿宋_GB2312" w:hAnsi="宋体" w:eastAsia="仿宋_GB2312"/>
                <w:b/>
                <w:bCs/>
                <w:sz w:val="24"/>
                <w:szCs w:val="24"/>
              </w:rPr>
            </w:pPr>
          </w:p>
        </w:tc>
      </w:tr>
    </w:tbl>
    <w:p w14:paraId="0E309D87">
      <w:pPr>
        <w:pStyle w:val="14"/>
        <w:spacing w:line="360" w:lineRule="auto"/>
        <w:rPr>
          <w:rFonts w:hint="eastAsia" w:ascii="仿宋_GB2312" w:hAnsi="宋体" w:eastAsia="仿宋_GB2312"/>
          <w:b/>
          <w:bCs/>
          <w:sz w:val="24"/>
          <w:szCs w:val="24"/>
        </w:rPr>
      </w:pPr>
    </w:p>
    <w:p w14:paraId="1B8AA33E">
      <w:pPr>
        <w:pStyle w:val="14"/>
        <w:spacing w:line="360" w:lineRule="auto"/>
        <w:rPr>
          <w:rFonts w:hint="eastAsia" w:ascii="仿宋_GB2312" w:hAnsi="宋体" w:eastAsia="仿宋_GB2312"/>
          <w:b/>
          <w:bCs/>
          <w:sz w:val="24"/>
          <w:szCs w:val="24"/>
        </w:rPr>
      </w:pPr>
    </w:p>
    <w:p w14:paraId="2D9F26B8">
      <w:pPr>
        <w:pStyle w:val="14"/>
        <w:spacing w:line="360" w:lineRule="auto"/>
        <w:rPr>
          <w:rFonts w:hint="eastAsia" w:ascii="仿宋_GB2312" w:hAnsi="宋体" w:eastAsia="仿宋_GB2312"/>
          <w:bCs/>
          <w:sz w:val="24"/>
          <w:szCs w:val="24"/>
        </w:rPr>
      </w:pPr>
      <w:r>
        <w:rPr>
          <w:rFonts w:hint="eastAsia" w:ascii="仿宋_GB2312" w:hAnsi="宋体" w:eastAsia="仿宋_GB2312"/>
          <w:bCs/>
          <w:sz w:val="24"/>
          <w:szCs w:val="24"/>
        </w:rPr>
        <w:t>投标人名称（盖章）：                     法定代表人或授权代表签字：</w:t>
      </w:r>
    </w:p>
    <w:p w14:paraId="0340B0EB">
      <w:pPr>
        <w:pStyle w:val="14"/>
        <w:spacing w:line="360" w:lineRule="auto"/>
        <w:rPr>
          <w:rFonts w:hint="eastAsia" w:ascii="仿宋_GB2312" w:hAnsi="宋体" w:eastAsia="仿宋_GB2312"/>
          <w:bCs/>
          <w:sz w:val="24"/>
          <w:szCs w:val="24"/>
        </w:rPr>
      </w:pPr>
    </w:p>
    <w:p w14:paraId="1ED8A66E">
      <w:pPr>
        <w:pStyle w:val="14"/>
        <w:spacing w:line="360" w:lineRule="auto"/>
        <w:rPr>
          <w:rFonts w:hint="eastAsia" w:ascii="仿宋_GB2312" w:hAnsi="宋体" w:eastAsia="仿宋_GB2312"/>
          <w:bCs/>
          <w:sz w:val="24"/>
          <w:szCs w:val="24"/>
        </w:rPr>
      </w:pPr>
    </w:p>
    <w:p w14:paraId="00A1F40B">
      <w:pPr>
        <w:pStyle w:val="14"/>
        <w:spacing w:line="360" w:lineRule="auto"/>
        <w:rPr>
          <w:rFonts w:hint="eastAsia" w:ascii="仿宋_GB2312" w:hAnsi="宋体" w:eastAsia="仿宋_GB2312"/>
          <w:bCs/>
          <w:sz w:val="24"/>
          <w:szCs w:val="24"/>
        </w:rPr>
      </w:pPr>
    </w:p>
    <w:p w14:paraId="3EC1ACEB">
      <w:pPr>
        <w:pStyle w:val="14"/>
        <w:spacing w:line="360" w:lineRule="auto"/>
        <w:rPr>
          <w:rFonts w:hint="eastAsia" w:ascii="仿宋_GB2312" w:hAnsi="宋体" w:eastAsia="仿宋_GB2312"/>
          <w:bCs/>
          <w:sz w:val="24"/>
          <w:szCs w:val="24"/>
        </w:rPr>
      </w:pPr>
    </w:p>
    <w:p w14:paraId="60EC4DAC">
      <w:pPr>
        <w:pStyle w:val="14"/>
        <w:spacing w:line="360" w:lineRule="auto"/>
        <w:rPr>
          <w:rFonts w:hint="eastAsia" w:ascii="仿宋_GB2312" w:hAnsi="宋体" w:eastAsia="仿宋_GB2312"/>
          <w:bCs/>
          <w:sz w:val="24"/>
          <w:szCs w:val="24"/>
        </w:rPr>
      </w:pPr>
    </w:p>
    <w:p w14:paraId="25C24CC1">
      <w:pPr>
        <w:pStyle w:val="14"/>
        <w:spacing w:line="360" w:lineRule="auto"/>
        <w:rPr>
          <w:rFonts w:hint="eastAsia" w:ascii="仿宋_GB2312" w:hAnsi="宋体" w:eastAsia="仿宋_GB2312"/>
          <w:bCs/>
          <w:sz w:val="24"/>
          <w:szCs w:val="24"/>
        </w:rPr>
      </w:pPr>
    </w:p>
    <w:p w14:paraId="592FB1E5">
      <w:pPr>
        <w:pStyle w:val="14"/>
        <w:spacing w:line="360" w:lineRule="auto"/>
        <w:rPr>
          <w:rFonts w:hint="eastAsia" w:ascii="仿宋_GB2312" w:hAnsi="宋体" w:eastAsia="仿宋_GB2312"/>
          <w:bCs/>
          <w:sz w:val="24"/>
          <w:szCs w:val="24"/>
        </w:rPr>
      </w:pPr>
    </w:p>
    <w:p w14:paraId="21A545FC">
      <w:pPr>
        <w:pStyle w:val="14"/>
        <w:spacing w:line="360" w:lineRule="auto"/>
        <w:rPr>
          <w:rFonts w:hint="eastAsia" w:ascii="仿宋_GB2312" w:hAnsi="宋体" w:eastAsia="仿宋_GB2312"/>
          <w:bCs/>
          <w:sz w:val="24"/>
          <w:szCs w:val="24"/>
        </w:rPr>
      </w:pPr>
    </w:p>
    <w:p w14:paraId="5760469C">
      <w:pPr>
        <w:pStyle w:val="14"/>
        <w:spacing w:line="360" w:lineRule="auto"/>
        <w:rPr>
          <w:rFonts w:hint="eastAsia" w:ascii="仿宋_GB2312" w:hAnsi="宋体" w:eastAsia="仿宋_GB2312"/>
          <w:bCs/>
          <w:sz w:val="24"/>
          <w:szCs w:val="24"/>
        </w:rPr>
      </w:pPr>
    </w:p>
    <w:p w14:paraId="73839AE0">
      <w:pPr>
        <w:pStyle w:val="14"/>
        <w:spacing w:line="360" w:lineRule="auto"/>
        <w:rPr>
          <w:rFonts w:hint="eastAsia" w:ascii="仿宋_GB2312" w:hAnsi="宋体" w:eastAsia="仿宋_GB2312"/>
          <w:bCs/>
          <w:sz w:val="24"/>
          <w:szCs w:val="24"/>
        </w:rPr>
      </w:pPr>
    </w:p>
    <w:p w14:paraId="348752C7">
      <w:pPr>
        <w:pStyle w:val="14"/>
        <w:spacing w:line="360" w:lineRule="auto"/>
        <w:rPr>
          <w:rFonts w:hint="eastAsia" w:ascii="仿宋_GB2312" w:hAnsi="宋体" w:eastAsia="仿宋_GB2312"/>
          <w:bCs/>
          <w:sz w:val="24"/>
          <w:szCs w:val="24"/>
        </w:rPr>
      </w:pPr>
    </w:p>
    <w:p w14:paraId="7CE8D2D9">
      <w:pPr>
        <w:pStyle w:val="14"/>
        <w:spacing w:line="360" w:lineRule="auto"/>
        <w:rPr>
          <w:rFonts w:hint="eastAsia" w:ascii="仿宋_GB2312" w:hAnsi="宋体" w:eastAsia="仿宋_GB2312"/>
          <w:bCs/>
          <w:sz w:val="24"/>
          <w:szCs w:val="24"/>
        </w:rPr>
      </w:pPr>
    </w:p>
    <w:p w14:paraId="78873940">
      <w:pPr>
        <w:pStyle w:val="14"/>
        <w:spacing w:line="360" w:lineRule="auto"/>
        <w:rPr>
          <w:rFonts w:hint="eastAsia" w:ascii="仿宋_GB2312" w:hAnsi="宋体" w:eastAsia="仿宋_GB2312"/>
          <w:bCs/>
          <w:sz w:val="24"/>
          <w:szCs w:val="24"/>
        </w:rPr>
      </w:pPr>
    </w:p>
    <w:p w14:paraId="093F2EAC">
      <w:pPr>
        <w:pStyle w:val="14"/>
        <w:spacing w:line="360" w:lineRule="auto"/>
        <w:rPr>
          <w:rFonts w:hint="eastAsia" w:ascii="仿宋_GB2312" w:hAnsi="宋体" w:eastAsia="仿宋_GB2312"/>
          <w:bCs/>
          <w:sz w:val="24"/>
          <w:szCs w:val="24"/>
        </w:rPr>
      </w:pPr>
    </w:p>
    <w:p w14:paraId="2EE1C716">
      <w:pPr>
        <w:pStyle w:val="14"/>
        <w:spacing w:line="360" w:lineRule="auto"/>
        <w:rPr>
          <w:rFonts w:hint="eastAsia" w:ascii="仿宋_GB2312" w:hAnsi="宋体" w:eastAsia="仿宋_GB2312"/>
          <w:b/>
          <w:sz w:val="24"/>
          <w:szCs w:val="24"/>
        </w:rPr>
      </w:pPr>
      <w:r>
        <w:rPr>
          <w:rFonts w:hint="eastAsia" w:ascii="仿宋_GB2312" w:hAnsi="宋体" w:eastAsia="仿宋_GB2312"/>
          <w:b/>
          <w:sz w:val="24"/>
          <w:szCs w:val="24"/>
        </w:rPr>
        <w:t>附件2</w:t>
      </w:r>
    </w:p>
    <w:p w14:paraId="08569A0D">
      <w:pPr>
        <w:rPr>
          <w:rFonts w:ascii="仿宋_GB2312" w:eastAsia="仿宋_GB2312"/>
          <w:b/>
          <w:bCs/>
          <w:sz w:val="24"/>
          <w:szCs w:val="24"/>
        </w:rPr>
      </w:pPr>
      <w:r>
        <w:rPr>
          <w:rFonts w:hint="eastAsia" w:ascii="仿宋_GB2312" w:eastAsia="仿宋_GB2312"/>
          <w:b/>
          <w:bCs/>
          <w:sz w:val="24"/>
          <w:szCs w:val="24"/>
        </w:rPr>
        <w:t>项目名称：</w:t>
      </w:r>
      <w:r>
        <w:rPr>
          <w:rFonts w:hint="eastAsia" w:ascii="仿宋_GB2312" w:eastAsia="仿宋_GB2312"/>
          <w:b/>
          <w:bCs/>
          <w:sz w:val="24"/>
          <w:szCs w:val="24"/>
          <w:lang w:val="en-US" w:eastAsia="zh-CN"/>
        </w:rPr>
        <w:t>车桥公司</w:t>
      </w:r>
      <w:r>
        <w:rPr>
          <w:rFonts w:hint="eastAsia" w:ascii="仿宋_GB2312" w:eastAsia="仿宋_GB2312"/>
          <w:b/>
          <w:bCs/>
          <w:sz w:val="24"/>
          <w:szCs w:val="24"/>
        </w:rPr>
        <w:t>2026年度危险废物处置项目</w:t>
      </w:r>
    </w:p>
    <w:p w14:paraId="7821E8D1">
      <w:pPr>
        <w:rPr>
          <w:rFonts w:ascii="仿宋_GB2312" w:eastAsia="仿宋_GB2312"/>
          <w:b/>
          <w:bCs/>
          <w:sz w:val="24"/>
          <w:szCs w:val="24"/>
        </w:rPr>
      </w:pPr>
      <w:r>
        <w:rPr>
          <w:rFonts w:hint="eastAsia" w:ascii="仿宋_GB2312" w:eastAsia="仿宋_GB2312"/>
          <w:b/>
          <w:bCs/>
          <w:sz w:val="24"/>
          <w:szCs w:val="24"/>
        </w:rPr>
        <w:t>日期：  年   月   日</w:t>
      </w:r>
    </w:p>
    <w:p w14:paraId="70344881">
      <w:pPr>
        <w:jc w:val="center"/>
        <w:rPr>
          <w:rFonts w:ascii="仿宋_GB2312" w:eastAsia="仿宋_GB2312"/>
          <w:b/>
          <w:bCs/>
          <w:sz w:val="24"/>
          <w:szCs w:val="24"/>
        </w:rPr>
      </w:pPr>
      <w:r>
        <w:rPr>
          <w:rFonts w:hint="eastAsia" w:ascii="仿宋_GB2312" w:eastAsia="仿宋_GB2312"/>
          <w:b/>
          <w:bCs/>
          <w:sz w:val="24"/>
          <w:szCs w:val="24"/>
        </w:rPr>
        <w:t>企业概况一览表</w:t>
      </w: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67"/>
        <w:gridCol w:w="1489"/>
        <w:gridCol w:w="1701"/>
        <w:gridCol w:w="1134"/>
        <w:gridCol w:w="1842"/>
        <w:gridCol w:w="1127"/>
      </w:tblGrid>
      <w:tr w14:paraId="6D5C6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1767" w:type="dxa"/>
            <w:vAlign w:val="center"/>
          </w:tcPr>
          <w:p w14:paraId="5B0AE311">
            <w:pPr>
              <w:snapToGrid w:val="0"/>
              <w:jc w:val="center"/>
              <w:rPr>
                <w:rFonts w:hint="eastAsia" w:ascii="仿宋_GB2312" w:hAnsi="宋体" w:eastAsia="仿宋_GB2312"/>
                <w:sz w:val="24"/>
                <w:szCs w:val="24"/>
              </w:rPr>
            </w:pPr>
            <w:r>
              <w:rPr>
                <w:rFonts w:hint="eastAsia" w:ascii="仿宋_GB2312" w:hAnsi="宋体" w:eastAsia="仿宋_GB2312"/>
                <w:sz w:val="24"/>
                <w:szCs w:val="24"/>
              </w:rPr>
              <w:t>企业名称</w:t>
            </w:r>
          </w:p>
        </w:tc>
        <w:tc>
          <w:tcPr>
            <w:tcW w:w="1489" w:type="dxa"/>
            <w:vAlign w:val="center"/>
          </w:tcPr>
          <w:p w14:paraId="487B4E89">
            <w:pPr>
              <w:snapToGrid w:val="0"/>
              <w:jc w:val="center"/>
              <w:rPr>
                <w:rFonts w:hint="eastAsia" w:ascii="仿宋_GB2312" w:hAnsi="宋体" w:eastAsia="仿宋_GB2312"/>
                <w:sz w:val="24"/>
                <w:szCs w:val="24"/>
              </w:rPr>
            </w:pPr>
          </w:p>
        </w:tc>
        <w:tc>
          <w:tcPr>
            <w:tcW w:w="1701" w:type="dxa"/>
            <w:vAlign w:val="center"/>
          </w:tcPr>
          <w:p w14:paraId="7CF107AF">
            <w:pPr>
              <w:snapToGrid w:val="0"/>
              <w:jc w:val="center"/>
              <w:rPr>
                <w:rFonts w:hint="eastAsia" w:ascii="仿宋_GB2312" w:hAnsi="宋体" w:eastAsia="仿宋_GB2312"/>
                <w:sz w:val="24"/>
                <w:szCs w:val="24"/>
              </w:rPr>
            </w:pPr>
            <w:r>
              <w:rPr>
                <w:rFonts w:hint="eastAsia" w:ascii="仿宋_GB2312" w:hAnsi="宋体" w:eastAsia="仿宋_GB2312"/>
                <w:sz w:val="24"/>
                <w:szCs w:val="24"/>
              </w:rPr>
              <w:t>成立时间</w:t>
            </w:r>
          </w:p>
        </w:tc>
        <w:tc>
          <w:tcPr>
            <w:tcW w:w="1134" w:type="dxa"/>
            <w:vAlign w:val="center"/>
          </w:tcPr>
          <w:p w14:paraId="20D75705">
            <w:pPr>
              <w:snapToGrid w:val="0"/>
              <w:jc w:val="center"/>
              <w:rPr>
                <w:rFonts w:hint="eastAsia" w:ascii="仿宋_GB2312" w:hAnsi="宋体" w:eastAsia="仿宋_GB2312"/>
                <w:sz w:val="24"/>
                <w:szCs w:val="24"/>
              </w:rPr>
            </w:pPr>
          </w:p>
        </w:tc>
        <w:tc>
          <w:tcPr>
            <w:tcW w:w="1842" w:type="dxa"/>
            <w:vAlign w:val="center"/>
          </w:tcPr>
          <w:p w14:paraId="66F2C93C">
            <w:pPr>
              <w:snapToGrid w:val="0"/>
              <w:jc w:val="center"/>
              <w:rPr>
                <w:rFonts w:hint="eastAsia" w:ascii="仿宋_GB2312" w:hAnsi="宋体" w:eastAsia="仿宋_GB2312"/>
                <w:sz w:val="24"/>
                <w:szCs w:val="24"/>
              </w:rPr>
            </w:pPr>
            <w:r>
              <w:rPr>
                <w:rFonts w:hint="eastAsia" w:ascii="仿宋_GB2312" w:hAnsi="宋体" w:eastAsia="仿宋_GB2312"/>
                <w:sz w:val="24"/>
                <w:szCs w:val="24"/>
              </w:rPr>
              <w:t>注册资本</w:t>
            </w:r>
          </w:p>
          <w:p w14:paraId="6D1ABA60">
            <w:pPr>
              <w:snapToGrid w:val="0"/>
              <w:jc w:val="center"/>
              <w:rPr>
                <w:rFonts w:hint="eastAsia" w:ascii="仿宋_GB2312" w:hAnsi="宋体" w:eastAsia="仿宋_GB2312"/>
                <w:sz w:val="24"/>
                <w:szCs w:val="24"/>
              </w:rPr>
            </w:pPr>
            <w:r>
              <w:rPr>
                <w:rFonts w:hint="eastAsia" w:ascii="仿宋_GB2312" w:hAnsi="宋体" w:eastAsia="仿宋_GB2312"/>
                <w:sz w:val="24"/>
                <w:szCs w:val="24"/>
              </w:rPr>
              <w:t>（万元）</w:t>
            </w:r>
          </w:p>
        </w:tc>
        <w:tc>
          <w:tcPr>
            <w:tcW w:w="1127" w:type="dxa"/>
            <w:vAlign w:val="center"/>
          </w:tcPr>
          <w:p w14:paraId="38B7C318">
            <w:pPr>
              <w:snapToGrid w:val="0"/>
              <w:jc w:val="center"/>
              <w:rPr>
                <w:rFonts w:hint="eastAsia" w:ascii="仿宋_GB2312" w:hAnsi="宋体" w:eastAsia="仿宋_GB2312"/>
                <w:sz w:val="24"/>
                <w:szCs w:val="24"/>
              </w:rPr>
            </w:pPr>
          </w:p>
        </w:tc>
      </w:tr>
      <w:tr w14:paraId="532DD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7" w:type="dxa"/>
            <w:vAlign w:val="center"/>
          </w:tcPr>
          <w:p w14:paraId="53907D4F">
            <w:pPr>
              <w:snapToGrid w:val="0"/>
              <w:jc w:val="center"/>
              <w:rPr>
                <w:rFonts w:hint="eastAsia" w:ascii="仿宋_GB2312" w:hAnsi="宋体" w:eastAsia="仿宋_GB2312"/>
                <w:sz w:val="24"/>
                <w:szCs w:val="24"/>
              </w:rPr>
            </w:pPr>
            <w:r>
              <w:rPr>
                <w:rFonts w:hint="eastAsia" w:ascii="仿宋_GB2312" w:hAnsi="宋体" w:eastAsia="仿宋_GB2312"/>
                <w:sz w:val="24"/>
                <w:szCs w:val="24"/>
              </w:rPr>
              <w:t>厂址</w:t>
            </w:r>
          </w:p>
        </w:tc>
        <w:tc>
          <w:tcPr>
            <w:tcW w:w="1489" w:type="dxa"/>
            <w:vAlign w:val="center"/>
          </w:tcPr>
          <w:p w14:paraId="6E84CEC2">
            <w:pPr>
              <w:snapToGrid w:val="0"/>
              <w:jc w:val="center"/>
              <w:rPr>
                <w:rFonts w:hint="eastAsia" w:ascii="仿宋_GB2312" w:hAnsi="宋体" w:eastAsia="仿宋_GB2312"/>
                <w:sz w:val="24"/>
                <w:szCs w:val="24"/>
              </w:rPr>
            </w:pPr>
          </w:p>
        </w:tc>
        <w:tc>
          <w:tcPr>
            <w:tcW w:w="1701" w:type="dxa"/>
            <w:vAlign w:val="center"/>
          </w:tcPr>
          <w:p w14:paraId="0D7FD485">
            <w:pPr>
              <w:snapToGrid w:val="0"/>
              <w:jc w:val="center"/>
              <w:rPr>
                <w:rFonts w:hint="eastAsia" w:ascii="仿宋_GB2312" w:hAnsi="宋体" w:eastAsia="仿宋_GB2312"/>
                <w:sz w:val="24"/>
                <w:szCs w:val="24"/>
              </w:rPr>
            </w:pPr>
            <w:r>
              <w:rPr>
                <w:rFonts w:hint="eastAsia" w:ascii="仿宋_GB2312" w:hAnsi="宋体" w:eastAsia="仿宋_GB2312"/>
                <w:sz w:val="24"/>
                <w:szCs w:val="24"/>
              </w:rPr>
              <w:t>处置场地面积（</w:t>
            </w:r>
            <w:r>
              <w:rPr>
                <w:rFonts w:hint="eastAsia" w:ascii="微软雅黑" w:hAnsi="微软雅黑" w:eastAsia="微软雅黑" w:cs="微软雅黑"/>
                <w:sz w:val="24"/>
                <w:szCs w:val="24"/>
              </w:rPr>
              <w:t>㎡</w:t>
            </w:r>
            <w:r>
              <w:rPr>
                <w:rFonts w:hint="eastAsia" w:ascii="仿宋_GB2312" w:hAnsi="仿宋_GB2312" w:eastAsia="仿宋_GB2312" w:cs="仿宋_GB2312"/>
                <w:sz w:val="24"/>
                <w:szCs w:val="24"/>
              </w:rPr>
              <w:t>）</w:t>
            </w:r>
          </w:p>
        </w:tc>
        <w:tc>
          <w:tcPr>
            <w:tcW w:w="1134" w:type="dxa"/>
            <w:vAlign w:val="center"/>
          </w:tcPr>
          <w:p w14:paraId="4ADD1B2B">
            <w:pPr>
              <w:snapToGrid w:val="0"/>
              <w:jc w:val="center"/>
              <w:rPr>
                <w:rFonts w:hint="eastAsia" w:ascii="仿宋_GB2312" w:hAnsi="宋体" w:eastAsia="仿宋_GB2312"/>
                <w:sz w:val="24"/>
                <w:szCs w:val="24"/>
              </w:rPr>
            </w:pPr>
          </w:p>
        </w:tc>
        <w:tc>
          <w:tcPr>
            <w:tcW w:w="1842" w:type="dxa"/>
            <w:vAlign w:val="center"/>
          </w:tcPr>
          <w:p w14:paraId="480AB7F2">
            <w:pPr>
              <w:snapToGrid w:val="0"/>
              <w:jc w:val="center"/>
              <w:rPr>
                <w:rFonts w:hint="eastAsia" w:ascii="仿宋_GB2312" w:hAnsi="宋体" w:eastAsia="仿宋_GB2312"/>
                <w:sz w:val="24"/>
                <w:szCs w:val="24"/>
              </w:rPr>
            </w:pPr>
            <w:r>
              <w:rPr>
                <w:rFonts w:hint="eastAsia" w:ascii="仿宋_GB2312" w:hAnsi="宋体" w:eastAsia="仿宋_GB2312"/>
                <w:sz w:val="24"/>
                <w:szCs w:val="24"/>
              </w:rPr>
              <w:t>在册员工人数（人）</w:t>
            </w:r>
          </w:p>
        </w:tc>
        <w:tc>
          <w:tcPr>
            <w:tcW w:w="1127" w:type="dxa"/>
            <w:vAlign w:val="center"/>
          </w:tcPr>
          <w:p w14:paraId="430F4A9F">
            <w:pPr>
              <w:snapToGrid w:val="0"/>
              <w:jc w:val="center"/>
              <w:rPr>
                <w:rFonts w:hint="eastAsia" w:ascii="仿宋_GB2312" w:hAnsi="宋体" w:eastAsia="仿宋_GB2312"/>
                <w:sz w:val="24"/>
                <w:szCs w:val="24"/>
              </w:rPr>
            </w:pPr>
          </w:p>
        </w:tc>
      </w:tr>
      <w:tr w14:paraId="54222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8" w:hRule="atLeast"/>
        </w:trPr>
        <w:tc>
          <w:tcPr>
            <w:tcW w:w="1767" w:type="dxa"/>
            <w:vAlign w:val="center"/>
          </w:tcPr>
          <w:p w14:paraId="706A5140">
            <w:pPr>
              <w:jc w:val="center"/>
              <w:rPr>
                <w:rFonts w:hint="eastAsia" w:ascii="仿宋_GB2312" w:hAnsi="宋体" w:eastAsia="仿宋_GB2312"/>
                <w:bCs/>
                <w:sz w:val="24"/>
                <w:szCs w:val="24"/>
              </w:rPr>
            </w:pPr>
            <w:r>
              <w:rPr>
                <w:rFonts w:hint="eastAsia" w:ascii="仿宋_GB2312" w:hAnsi="宋体" w:eastAsia="仿宋_GB2312"/>
                <w:sz w:val="24"/>
                <w:szCs w:val="24"/>
              </w:rPr>
              <w:t>企业所通过的体系认证情况</w:t>
            </w:r>
          </w:p>
        </w:tc>
        <w:tc>
          <w:tcPr>
            <w:tcW w:w="7293" w:type="dxa"/>
            <w:gridSpan w:val="5"/>
            <w:vAlign w:val="center"/>
          </w:tcPr>
          <w:p w14:paraId="6FE9A3B3">
            <w:pPr>
              <w:jc w:val="center"/>
              <w:rPr>
                <w:rFonts w:hint="eastAsia" w:ascii="仿宋_GB2312" w:hAnsi="宋体" w:eastAsia="仿宋_GB2312"/>
                <w:b/>
                <w:bCs/>
                <w:sz w:val="24"/>
                <w:szCs w:val="24"/>
              </w:rPr>
            </w:pPr>
          </w:p>
        </w:tc>
      </w:tr>
      <w:tr w14:paraId="23B3E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1" w:hRule="atLeast"/>
        </w:trPr>
        <w:tc>
          <w:tcPr>
            <w:tcW w:w="1767" w:type="dxa"/>
            <w:vAlign w:val="center"/>
          </w:tcPr>
          <w:p w14:paraId="51FAC34B">
            <w:pPr>
              <w:jc w:val="center"/>
              <w:rPr>
                <w:rFonts w:hint="eastAsia" w:ascii="仿宋_GB2312" w:hAnsi="宋体" w:eastAsia="仿宋_GB2312"/>
                <w:bCs/>
                <w:sz w:val="24"/>
                <w:szCs w:val="24"/>
              </w:rPr>
            </w:pPr>
            <w:r>
              <w:rPr>
                <w:rFonts w:hint="eastAsia" w:ascii="仿宋_GB2312" w:hAnsi="宋体" w:eastAsia="仿宋_GB2312"/>
                <w:bCs/>
                <w:sz w:val="24"/>
                <w:szCs w:val="24"/>
              </w:rPr>
              <w:t>危险废物回收、利用、处置范围</w:t>
            </w:r>
          </w:p>
        </w:tc>
        <w:tc>
          <w:tcPr>
            <w:tcW w:w="7293" w:type="dxa"/>
            <w:gridSpan w:val="5"/>
            <w:vAlign w:val="center"/>
          </w:tcPr>
          <w:p w14:paraId="2ADACDED">
            <w:pPr>
              <w:jc w:val="center"/>
              <w:rPr>
                <w:rFonts w:hint="eastAsia" w:ascii="仿宋_GB2312" w:hAnsi="宋体" w:eastAsia="仿宋_GB2312"/>
                <w:b/>
                <w:bCs/>
                <w:sz w:val="24"/>
                <w:szCs w:val="24"/>
              </w:rPr>
            </w:pPr>
          </w:p>
        </w:tc>
      </w:tr>
      <w:tr w14:paraId="77B20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rPr>
        <w:tc>
          <w:tcPr>
            <w:tcW w:w="1767" w:type="dxa"/>
            <w:vAlign w:val="center"/>
          </w:tcPr>
          <w:p w14:paraId="6650CE13">
            <w:pPr>
              <w:jc w:val="center"/>
              <w:rPr>
                <w:rFonts w:hint="eastAsia" w:ascii="仿宋_GB2312" w:hAnsi="宋体" w:eastAsia="仿宋_GB2312"/>
                <w:b/>
                <w:bCs/>
                <w:sz w:val="24"/>
                <w:szCs w:val="24"/>
              </w:rPr>
            </w:pPr>
            <w:r>
              <w:rPr>
                <w:rFonts w:hint="eastAsia" w:ascii="仿宋_GB2312" w:hAnsi="宋体" w:eastAsia="仿宋_GB2312"/>
                <w:bCs/>
                <w:sz w:val="24"/>
                <w:szCs w:val="24"/>
              </w:rPr>
              <w:t>主要回收、利用、处置设备</w:t>
            </w:r>
          </w:p>
        </w:tc>
        <w:tc>
          <w:tcPr>
            <w:tcW w:w="7293" w:type="dxa"/>
            <w:gridSpan w:val="5"/>
            <w:vAlign w:val="center"/>
          </w:tcPr>
          <w:p w14:paraId="46AA5FBC">
            <w:pPr>
              <w:jc w:val="center"/>
              <w:rPr>
                <w:rFonts w:hint="eastAsia" w:ascii="仿宋_GB2312" w:hAnsi="宋体" w:eastAsia="仿宋_GB2312"/>
                <w:b/>
                <w:bCs/>
                <w:sz w:val="24"/>
                <w:szCs w:val="24"/>
              </w:rPr>
            </w:pPr>
          </w:p>
        </w:tc>
      </w:tr>
      <w:tr w14:paraId="68D1B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1767" w:type="dxa"/>
            <w:vAlign w:val="center"/>
          </w:tcPr>
          <w:p w14:paraId="63F1773A">
            <w:pPr>
              <w:jc w:val="center"/>
              <w:rPr>
                <w:rFonts w:hint="eastAsia" w:ascii="仿宋_GB2312" w:hAnsi="宋体" w:eastAsia="仿宋_GB2312"/>
                <w:bCs/>
                <w:sz w:val="24"/>
                <w:szCs w:val="24"/>
              </w:rPr>
            </w:pPr>
            <w:r>
              <w:rPr>
                <w:rFonts w:hint="eastAsia" w:ascii="仿宋_GB2312" w:hAnsi="宋体" w:eastAsia="仿宋_GB2312"/>
                <w:bCs/>
                <w:sz w:val="24"/>
                <w:szCs w:val="24"/>
              </w:rPr>
              <w:t>危险废物回收、利用、处置能力（吨/年）</w:t>
            </w:r>
          </w:p>
        </w:tc>
        <w:tc>
          <w:tcPr>
            <w:tcW w:w="7293" w:type="dxa"/>
            <w:gridSpan w:val="5"/>
            <w:vAlign w:val="center"/>
          </w:tcPr>
          <w:p w14:paraId="498A099A">
            <w:pPr>
              <w:jc w:val="center"/>
              <w:rPr>
                <w:rFonts w:hint="eastAsia" w:ascii="仿宋_GB2312" w:hAnsi="宋体" w:eastAsia="仿宋_GB2312"/>
                <w:b/>
                <w:bCs/>
                <w:sz w:val="24"/>
                <w:szCs w:val="24"/>
              </w:rPr>
            </w:pPr>
          </w:p>
        </w:tc>
      </w:tr>
      <w:tr w14:paraId="76683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0" w:hRule="atLeast"/>
        </w:trPr>
        <w:tc>
          <w:tcPr>
            <w:tcW w:w="1767" w:type="dxa"/>
            <w:vAlign w:val="center"/>
          </w:tcPr>
          <w:p w14:paraId="7D0CA7D5">
            <w:pPr>
              <w:jc w:val="center"/>
              <w:rPr>
                <w:rFonts w:hint="eastAsia" w:ascii="仿宋_GB2312" w:hAnsi="宋体" w:eastAsia="仿宋_GB2312"/>
                <w:b/>
                <w:bCs/>
                <w:sz w:val="24"/>
                <w:szCs w:val="24"/>
              </w:rPr>
            </w:pPr>
            <w:r>
              <w:rPr>
                <w:rFonts w:hint="eastAsia" w:ascii="仿宋_GB2312" w:hAnsi="宋体" w:eastAsia="仿宋_GB2312"/>
                <w:bCs/>
                <w:sz w:val="24"/>
                <w:szCs w:val="24"/>
              </w:rPr>
              <w:t>危险废物回收、利用、处置工艺</w:t>
            </w:r>
          </w:p>
        </w:tc>
        <w:tc>
          <w:tcPr>
            <w:tcW w:w="7293" w:type="dxa"/>
            <w:gridSpan w:val="5"/>
            <w:vAlign w:val="center"/>
          </w:tcPr>
          <w:p w14:paraId="3040D52E">
            <w:pPr>
              <w:jc w:val="center"/>
              <w:rPr>
                <w:rFonts w:hint="eastAsia" w:ascii="仿宋_GB2312" w:hAnsi="宋体" w:eastAsia="仿宋_GB2312"/>
                <w:b/>
                <w:bCs/>
                <w:sz w:val="24"/>
                <w:szCs w:val="24"/>
              </w:rPr>
            </w:pPr>
          </w:p>
        </w:tc>
      </w:tr>
      <w:tr w14:paraId="05DA1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trPr>
        <w:tc>
          <w:tcPr>
            <w:tcW w:w="1767" w:type="dxa"/>
            <w:vAlign w:val="center"/>
          </w:tcPr>
          <w:p w14:paraId="6411955A">
            <w:pPr>
              <w:jc w:val="center"/>
              <w:rPr>
                <w:rFonts w:hint="eastAsia" w:ascii="仿宋_GB2312" w:hAnsi="宋体" w:eastAsia="仿宋_GB2312"/>
                <w:bCs/>
                <w:sz w:val="24"/>
                <w:szCs w:val="24"/>
              </w:rPr>
            </w:pPr>
            <w:r>
              <w:rPr>
                <w:rFonts w:hint="eastAsia" w:ascii="仿宋_GB2312" w:hAnsi="宋体" w:eastAsia="仿宋_GB2312"/>
                <w:bCs/>
                <w:sz w:val="24"/>
                <w:szCs w:val="24"/>
              </w:rPr>
              <w:t>专利</w:t>
            </w:r>
          </w:p>
        </w:tc>
        <w:tc>
          <w:tcPr>
            <w:tcW w:w="7293" w:type="dxa"/>
            <w:gridSpan w:val="5"/>
            <w:vAlign w:val="center"/>
          </w:tcPr>
          <w:p w14:paraId="4F44671E">
            <w:pPr>
              <w:jc w:val="center"/>
              <w:rPr>
                <w:rFonts w:hint="eastAsia" w:ascii="仿宋_GB2312" w:hAnsi="宋体" w:eastAsia="仿宋_GB2312"/>
                <w:b/>
                <w:bCs/>
                <w:sz w:val="24"/>
                <w:szCs w:val="24"/>
              </w:rPr>
            </w:pPr>
          </w:p>
        </w:tc>
      </w:tr>
      <w:tr w14:paraId="22610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8" w:hRule="atLeast"/>
        </w:trPr>
        <w:tc>
          <w:tcPr>
            <w:tcW w:w="1767" w:type="dxa"/>
            <w:vAlign w:val="center"/>
          </w:tcPr>
          <w:p w14:paraId="3DE58A29">
            <w:pPr>
              <w:jc w:val="center"/>
              <w:rPr>
                <w:rFonts w:hint="eastAsia" w:ascii="仿宋_GB2312" w:hAnsi="宋体" w:eastAsia="仿宋_GB2312"/>
                <w:bCs/>
                <w:sz w:val="24"/>
                <w:szCs w:val="24"/>
              </w:rPr>
            </w:pPr>
            <w:r>
              <w:rPr>
                <w:rFonts w:hint="eastAsia" w:ascii="仿宋_GB2312" w:hAnsi="宋体" w:eastAsia="仿宋_GB2312"/>
                <w:bCs/>
                <w:sz w:val="24"/>
                <w:szCs w:val="24"/>
              </w:rPr>
              <w:t>本企业其它优势</w:t>
            </w:r>
          </w:p>
        </w:tc>
        <w:tc>
          <w:tcPr>
            <w:tcW w:w="7293" w:type="dxa"/>
            <w:gridSpan w:val="5"/>
            <w:vAlign w:val="center"/>
          </w:tcPr>
          <w:p w14:paraId="65FB2D5E">
            <w:pPr>
              <w:jc w:val="center"/>
              <w:rPr>
                <w:rFonts w:hint="eastAsia" w:ascii="仿宋_GB2312" w:hAnsi="宋体" w:eastAsia="仿宋_GB2312"/>
                <w:b/>
                <w:bCs/>
                <w:sz w:val="24"/>
                <w:szCs w:val="24"/>
              </w:rPr>
            </w:pPr>
          </w:p>
        </w:tc>
      </w:tr>
    </w:tbl>
    <w:p w14:paraId="69C8F7DE">
      <w:pPr>
        <w:rPr>
          <w:rFonts w:eastAsia="黑体"/>
          <w:b/>
          <w:bCs/>
          <w:sz w:val="24"/>
          <w:szCs w:val="24"/>
        </w:rPr>
      </w:pPr>
    </w:p>
    <w:p w14:paraId="5672A00B">
      <w:pPr>
        <w:rPr>
          <w:rFonts w:eastAsia="黑体"/>
          <w:b/>
          <w:bCs/>
          <w:sz w:val="24"/>
          <w:szCs w:val="24"/>
        </w:rPr>
      </w:pPr>
    </w:p>
    <w:p w14:paraId="4CB111D9">
      <w:pPr>
        <w:pStyle w:val="14"/>
        <w:spacing w:line="360" w:lineRule="auto"/>
        <w:ind w:firstLine="240" w:firstLineChars="100"/>
        <w:rPr>
          <w:rFonts w:hint="eastAsia" w:ascii="仿宋_GB2312" w:hAnsi="宋体" w:eastAsia="仿宋_GB2312"/>
          <w:sz w:val="24"/>
          <w:szCs w:val="24"/>
        </w:rPr>
        <w:sectPr>
          <w:pgSz w:w="11906" w:h="16838"/>
          <w:pgMar w:top="1418" w:right="1418" w:bottom="1134" w:left="1418" w:header="851" w:footer="992" w:gutter="0"/>
          <w:pgNumType w:chapStyle="1"/>
          <w:cols w:space="720" w:num="1"/>
          <w:docGrid w:type="lines" w:linePitch="312" w:charSpace="0"/>
        </w:sectPr>
      </w:pPr>
      <w:r>
        <w:rPr>
          <w:rFonts w:hint="eastAsia" w:ascii="仿宋_GB2312" w:hAnsi="宋体" w:eastAsia="仿宋_GB2312"/>
          <w:sz w:val="24"/>
          <w:szCs w:val="24"/>
        </w:rPr>
        <w:t>投标人名称（盖章）：              法定代表人或授权代表签字：</w:t>
      </w:r>
    </w:p>
    <w:p w14:paraId="20ABA36C">
      <w:pPr>
        <w:rPr>
          <w:rFonts w:ascii="仿宋_GB2312" w:eastAsia="仿宋_GB2312"/>
          <w:b/>
          <w:bCs/>
          <w:sz w:val="24"/>
          <w:szCs w:val="24"/>
        </w:rPr>
      </w:pPr>
      <w:r>
        <w:rPr>
          <w:rFonts w:hint="eastAsia" w:ascii="仿宋_GB2312" w:eastAsia="仿宋_GB2312"/>
          <w:b/>
          <w:bCs/>
          <w:sz w:val="24"/>
          <w:szCs w:val="24"/>
        </w:rPr>
        <w:t>附件3</w:t>
      </w:r>
    </w:p>
    <w:p w14:paraId="7CC8FFB3">
      <w:pPr>
        <w:rPr>
          <w:rFonts w:ascii="仿宋_GB2312" w:eastAsia="仿宋_GB2312"/>
          <w:b/>
          <w:bCs/>
          <w:sz w:val="24"/>
          <w:szCs w:val="24"/>
        </w:rPr>
      </w:pPr>
      <w:r>
        <w:rPr>
          <w:rFonts w:hint="eastAsia" w:ascii="仿宋_GB2312" w:eastAsia="仿宋_GB2312"/>
          <w:b/>
          <w:bCs/>
          <w:sz w:val="24"/>
          <w:szCs w:val="24"/>
        </w:rPr>
        <w:t>项目名称：</w:t>
      </w:r>
      <w:r>
        <w:rPr>
          <w:rFonts w:hint="eastAsia" w:ascii="仿宋_GB2312" w:eastAsia="仿宋_GB2312"/>
          <w:b/>
          <w:bCs/>
          <w:sz w:val="24"/>
          <w:szCs w:val="24"/>
          <w:lang w:val="en-US" w:eastAsia="zh-CN"/>
        </w:rPr>
        <w:t>车桥公司</w:t>
      </w:r>
      <w:r>
        <w:rPr>
          <w:rFonts w:hint="eastAsia" w:ascii="仿宋_GB2312" w:eastAsia="仿宋_GB2312"/>
          <w:b/>
          <w:bCs/>
          <w:sz w:val="24"/>
          <w:szCs w:val="24"/>
        </w:rPr>
        <w:t>2026年度危险废物处置项目</w:t>
      </w:r>
    </w:p>
    <w:p w14:paraId="166DABA0">
      <w:pPr>
        <w:rPr>
          <w:rFonts w:ascii="仿宋_GB2312" w:eastAsia="仿宋_GB2312"/>
          <w:sz w:val="24"/>
          <w:szCs w:val="24"/>
          <w:u w:val="single"/>
        </w:rPr>
      </w:pPr>
    </w:p>
    <w:p w14:paraId="2D5C82F1">
      <w:pPr>
        <w:rPr>
          <w:rFonts w:ascii="仿宋_GB2312" w:eastAsia="仿宋_GB2312"/>
          <w:b/>
          <w:bCs/>
          <w:sz w:val="24"/>
          <w:szCs w:val="24"/>
        </w:rPr>
      </w:pPr>
      <w:r>
        <w:rPr>
          <w:rFonts w:hint="eastAsia" w:ascii="仿宋_GB2312" w:eastAsia="仿宋_GB2312"/>
          <w:b/>
          <w:bCs/>
          <w:sz w:val="24"/>
          <w:szCs w:val="24"/>
        </w:rPr>
        <w:t>日期：  年   月   日</w:t>
      </w:r>
    </w:p>
    <w:p w14:paraId="124C9C76">
      <w:pPr>
        <w:rPr>
          <w:rFonts w:hint="eastAsia" w:ascii="仿宋_GB2312" w:hAnsi="宋体" w:eastAsia="仿宋_GB2312"/>
          <w:sz w:val="24"/>
          <w:szCs w:val="24"/>
        </w:rPr>
      </w:pPr>
    </w:p>
    <w:p w14:paraId="7548F92A">
      <w:pPr>
        <w:jc w:val="center"/>
        <w:rPr>
          <w:rFonts w:ascii="仿宋_GB2312" w:eastAsia="仿宋_GB2312"/>
          <w:b/>
          <w:bCs/>
          <w:sz w:val="24"/>
          <w:szCs w:val="24"/>
        </w:rPr>
      </w:pPr>
      <w:r>
        <w:rPr>
          <w:rFonts w:hint="eastAsia" w:ascii="仿宋_GB2312" w:eastAsia="仿宋_GB2312"/>
          <w:b/>
          <w:bCs/>
          <w:sz w:val="24"/>
          <w:szCs w:val="24"/>
        </w:rPr>
        <w:t>相关条款偏离表（技术偏离）</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1080"/>
        <w:gridCol w:w="3060"/>
        <w:gridCol w:w="3554"/>
      </w:tblGrid>
      <w:tr w14:paraId="36891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restart"/>
            <w:vAlign w:val="center"/>
          </w:tcPr>
          <w:p w14:paraId="65096577">
            <w:pPr>
              <w:jc w:val="center"/>
              <w:rPr>
                <w:rFonts w:hint="eastAsia" w:ascii="仿宋_GB2312" w:hAnsi="宋体" w:eastAsia="仿宋_GB2312"/>
                <w:sz w:val="24"/>
                <w:szCs w:val="24"/>
              </w:rPr>
            </w:pPr>
            <w:r>
              <w:rPr>
                <w:rFonts w:hint="eastAsia" w:ascii="仿宋_GB2312" w:hAnsi="宋体" w:eastAsia="仿宋_GB2312"/>
                <w:sz w:val="24"/>
                <w:szCs w:val="24"/>
              </w:rPr>
              <w:t>序号</w:t>
            </w:r>
          </w:p>
        </w:tc>
        <w:tc>
          <w:tcPr>
            <w:tcW w:w="4140" w:type="dxa"/>
            <w:gridSpan w:val="2"/>
            <w:vAlign w:val="center"/>
          </w:tcPr>
          <w:p w14:paraId="148A4145">
            <w:pPr>
              <w:jc w:val="center"/>
              <w:rPr>
                <w:rFonts w:hint="eastAsia" w:ascii="仿宋_GB2312" w:hAnsi="宋体" w:eastAsia="仿宋_GB2312"/>
                <w:sz w:val="24"/>
                <w:szCs w:val="24"/>
              </w:rPr>
            </w:pPr>
            <w:r>
              <w:rPr>
                <w:rFonts w:hint="eastAsia" w:ascii="仿宋_GB2312" w:hAnsi="宋体" w:eastAsia="仿宋_GB2312"/>
                <w:sz w:val="24"/>
                <w:szCs w:val="24"/>
              </w:rPr>
              <w:t>招标文件条款</w:t>
            </w:r>
          </w:p>
        </w:tc>
        <w:tc>
          <w:tcPr>
            <w:tcW w:w="3554" w:type="dxa"/>
            <w:vMerge w:val="restart"/>
            <w:vAlign w:val="center"/>
          </w:tcPr>
          <w:p w14:paraId="02714504">
            <w:pPr>
              <w:jc w:val="center"/>
              <w:rPr>
                <w:rFonts w:hint="eastAsia" w:ascii="仿宋_GB2312" w:hAnsi="宋体" w:eastAsia="仿宋_GB2312"/>
                <w:sz w:val="24"/>
                <w:szCs w:val="24"/>
              </w:rPr>
            </w:pPr>
            <w:r>
              <w:rPr>
                <w:rFonts w:hint="eastAsia" w:ascii="仿宋_GB2312" w:hAnsi="宋体" w:eastAsia="仿宋_GB2312"/>
                <w:sz w:val="24"/>
                <w:szCs w:val="24"/>
              </w:rPr>
              <w:t>偏离内容</w:t>
            </w:r>
          </w:p>
        </w:tc>
      </w:tr>
      <w:tr w14:paraId="79590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continue"/>
            <w:vAlign w:val="center"/>
          </w:tcPr>
          <w:p w14:paraId="4F1ACD67">
            <w:pPr>
              <w:rPr>
                <w:rFonts w:hint="eastAsia" w:ascii="仿宋_GB2312" w:hAnsi="宋体" w:eastAsia="仿宋_GB2312"/>
                <w:sz w:val="24"/>
                <w:szCs w:val="24"/>
              </w:rPr>
            </w:pPr>
          </w:p>
        </w:tc>
        <w:tc>
          <w:tcPr>
            <w:tcW w:w="1080" w:type="dxa"/>
            <w:vAlign w:val="center"/>
          </w:tcPr>
          <w:p w14:paraId="29CABE26">
            <w:pPr>
              <w:jc w:val="center"/>
              <w:rPr>
                <w:rFonts w:hint="eastAsia" w:ascii="仿宋_GB2312" w:hAnsi="宋体" w:eastAsia="仿宋_GB2312"/>
                <w:sz w:val="24"/>
                <w:szCs w:val="24"/>
              </w:rPr>
            </w:pPr>
            <w:r>
              <w:rPr>
                <w:rFonts w:hint="eastAsia" w:ascii="仿宋_GB2312" w:hAnsi="宋体" w:eastAsia="仿宋_GB2312"/>
                <w:sz w:val="24"/>
                <w:szCs w:val="24"/>
              </w:rPr>
              <w:t>条款号</w:t>
            </w:r>
          </w:p>
        </w:tc>
        <w:tc>
          <w:tcPr>
            <w:tcW w:w="3060" w:type="dxa"/>
            <w:vAlign w:val="center"/>
          </w:tcPr>
          <w:p w14:paraId="6DBB2223">
            <w:pPr>
              <w:jc w:val="center"/>
              <w:rPr>
                <w:rFonts w:hint="eastAsia" w:ascii="仿宋_GB2312" w:hAnsi="宋体" w:eastAsia="仿宋_GB2312"/>
                <w:sz w:val="24"/>
                <w:szCs w:val="24"/>
              </w:rPr>
            </w:pPr>
            <w:r>
              <w:rPr>
                <w:rFonts w:hint="eastAsia" w:ascii="仿宋_GB2312" w:hAnsi="宋体" w:eastAsia="仿宋_GB2312"/>
                <w:sz w:val="24"/>
                <w:szCs w:val="24"/>
              </w:rPr>
              <w:t>条款要求</w:t>
            </w:r>
          </w:p>
        </w:tc>
        <w:tc>
          <w:tcPr>
            <w:tcW w:w="3554" w:type="dxa"/>
            <w:vMerge w:val="continue"/>
            <w:vAlign w:val="center"/>
          </w:tcPr>
          <w:p w14:paraId="6E44475C">
            <w:pPr>
              <w:jc w:val="center"/>
              <w:rPr>
                <w:rFonts w:hint="eastAsia" w:ascii="仿宋_GB2312" w:hAnsi="宋体" w:eastAsia="仿宋_GB2312"/>
                <w:sz w:val="24"/>
                <w:szCs w:val="24"/>
              </w:rPr>
            </w:pPr>
          </w:p>
        </w:tc>
      </w:tr>
      <w:tr w14:paraId="23EEF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08EBF7E3">
            <w:pPr>
              <w:jc w:val="center"/>
              <w:rPr>
                <w:rFonts w:hint="eastAsia" w:ascii="仿宋_GB2312" w:hAnsi="宋体" w:eastAsia="仿宋_GB2312"/>
                <w:sz w:val="24"/>
                <w:szCs w:val="24"/>
              </w:rPr>
            </w:pPr>
            <w:r>
              <w:rPr>
                <w:rFonts w:hint="eastAsia" w:ascii="仿宋_GB2312" w:hAnsi="宋体" w:eastAsia="仿宋_GB2312"/>
                <w:sz w:val="24"/>
                <w:szCs w:val="24"/>
              </w:rPr>
              <w:t>1</w:t>
            </w:r>
          </w:p>
        </w:tc>
        <w:tc>
          <w:tcPr>
            <w:tcW w:w="1080" w:type="dxa"/>
            <w:vAlign w:val="center"/>
          </w:tcPr>
          <w:p w14:paraId="0F8384BB">
            <w:pPr>
              <w:rPr>
                <w:rFonts w:hint="eastAsia" w:ascii="仿宋_GB2312" w:hAnsi="宋体" w:eastAsia="仿宋_GB2312"/>
                <w:sz w:val="24"/>
                <w:szCs w:val="24"/>
              </w:rPr>
            </w:pPr>
          </w:p>
        </w:tc>
        <w:tc>
          <w:tcPr>
            <w:tcW w:w="3060" w:type="dxa"/>
            <w:vAlign w:val="center"/>
          </w:tcPr>
          <w:p w14:paraId="2ACA641C">
            <w:pPr>
              <w:rPr>
                <w:rFonts w:hint="eastAsia" w:ascii="仿宋_GB2312" w:hAnsi="宋体" w:eastAsia="仿宋_GB2312"/>
                <w:sz w:val="24"/>
                <w:szCs w:val="24"/>
              </w:rPr>
            </w:pPr>
          </w:p>
        </w:tc>
        <w:tc>
          <w:tcPr>
            <w:tcW w:w="3554" w:type="dxa"/>
            <w:vAlign w:val="center"/>
          </w:tcPr>
          <w:p w14:paraId="43FABBE0">
            <w:pPr>
              <w:rPr>
                <w:rFonts w:hint="eastAsia" w:ascii="仿宋_GB2312" w:hAnsi="宋体" w:eastAsia="仿宋_GB2312"/>
                <w:sz w:val="24"/>
                <w:szCs w:val="24"/>
              </w:rPr>
            </w:pPr>
          </w:p>
        </w:tc>
      </w:tr>
      <w:tr w14:paraId="065EC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1532DE29">
            <w:pPr>
              <w:jc w:val="center"/>
              <w:rPr>
                <w:rFonts w:hint="eastAsia" w:ascii="仿宋_GB2312" w:hAnsi="宋体" w:eastAsia="仿宋_GB2312"/>
                <w:sz w:val="24"/>
                <w:szCs w:val="24"/>
              </w:rPr>
            </w:pPr>
            <w:r>
              <w:rPr>
                <w:rFonts w:hint="eastAsia" w:ascii="仿宋_GB2312" w:hAnsi="宋体" w:eastAsia="仿宋_GB2312"/>
                <w:sz w:val="24"/>
                <w:szCs w:val="24"/>
              </w:rPr>
              <w:t>2</w:t>
            </w:r>
          </w:p>
        </w:tc>
        <w:tc>
          <w:tcPr>
            <w:tcW w:w="1080" w:type="dxa"/>
            <w:vAlign w:val="center"/>
          </w:tcPr>
          <w:p w14:paraId="608DF353">
            <w:pPr>
              <w:rPr>
                <w:rFonts w:hint="eastAsia" w:ascii="仿宋_GB2312" w:hAnsi="宋体" w:eastAsia="仿宋_GB2312"/>
                <w:sz w:val="24"/>
                <w:szCs w:val="24"/>
              </w:rPr>
            </w:pPr>
          </w:p>
        </w:tc>
        <w:tc>
          <w:tcPr>
            <w:tcW w:w="3060" w:type="dxa"/>
            <w:vAlign w:val="center"/>
          </w:tcPr>
          <w:p w14:paraId="66E14E71">
            <w:pPr>
              <w:rPr>
                <w:rFonts w:hint="eastAsia" w:ascii="仿宋_GB2312" w:hAnsi="宋体" w:eastAsia="仿宋_GB2312"/>
                <w:sz w:val="24"/>
                <w:szCs w:val="24"/>
              </w:rPr>
            </w:pPr>
          </w:p>
        </w:tc>
        <w:tc>
          <w:tcPr>
            <w:tcW w:w="3554" w:type="dxa"/>
            <w:vAlign w:val="center"/>
          </w:tcPr>
          <w:p w14:paraId="4DA7F4CC">
            <w:pPr>
              <w:rPr>
                <w:rFonts w:hint="eastAsia" w:ascii="仿宋_GB2312" w:hAnsi="宋体" w:eastAsia="仿宋_GB2312"/>
                <w:sz w:val="24"/>
                <w:szCs w:val="24"/>
              </w:rPr>
            </w:pPr>
          </w:p>
        </w:tc>
      </w:tr>
      <w:tr w14:paraId="47933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7C51F758">
            <w:pPr>
              <w:jc w:val="center"/>
              <w:rPr>
                <w:rFonts w:hint="eastAsia" w:ascii="仿宋_GB2312" w:hAnsi="宋体" w:eastAsia="仿宋_GB2312"/>
                <w:sz w:val="24"/>
                <w:szCs w:val="24"/>
              </w:rPr>
            </w:pPr>
            <w:r>
              <w:rPr>
                <w:rFonts w:hint="eastAsia" w:ascii="仿宋_GB2312" w:hAnsi="宋体" w:eastAsia="仿宋_GB2312"/>
                <w:sz w:val="24"/>
                <w:szCs w:val="24"/>
              </w:rPr>
              <w:t>3</w:t>
            </w:r>
          </w:p>
        </w:tc>
        <w:tc>
          <w:tcPr>
            <w:tcW w:w="1080" w:type="dxa"/>
            <w:vAlign w:val="center"/>
          </w:tcPr>
          <w:p w14:paraId="7DB56FF4">
            <w:pPr>
              <w:rPr>
                <w:rFonts w:hint="eastAsia" w:ascii="仿宋_GB2312" w:hAnsi="宋体" w:eastAsia="仿宋_GB2312"/>
                <w:sz w:val="24"/>
                <w:szCs w:val="24"/>
              </w:rPr>
            </w:pPr>
          </w:p>
        </w:tc>
        <w:tc>
          <w:tcPr>
            <w:tcW w:w="3060" w:type="dxa"/>
            <w:vAlign w:val="center"/>
          </w:tcPr>
          <w:p w14:paraId="724C2F0B">
            <w:pPr>
              <w:rPr>
                <w:rFonts w:hint="eastAsia" w:ascii="仿宋_GB2312" w:hAnsi="宋体" w:eastAsia="仿宋_GB2312"/>
                <w:sz w:val="24"/>
                <w:szCs w:val="24"/>
              </w:rPr>
            </w:pPr>
          </w:p>
        </w:tc>
        <w:tc>
          <w:tcPr>
            <w:tcW w:w="3554" w:type="dxa"/>
            <w:vAlign w:val="center"/>
          </w:tcPr>
          <w:p w14:paraId="75D184AE">
            <w:pPr>
              <w:rPr>
                <w:rFonts w:hint="eastAsia" w:ascii="仿宋_GB2312" w:hAnsi="宋体" w:eastAsia="仿宋_GB2312"/>
                <w:sz w:val="24"/>
                <w:szCs w:val="24"/>
              </w:rPr>
            </w:pPr>
          </w:p>
        </w:tc>
      </w:tr>
      <w:tr w14:paraId="5961C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0BB779A6">
            <w:pPr>
              <w:jc w:val="center"/>
              <w:rPr>
                <w:rFonts w:hint="eastAsia" w:ascii="仿宋_GB2312" w:hAnsi="宋体" w:eastAsia="仿宋_GB2312"/>
                <w:sz w:val="24"/>
                <w:szCs w:val="24"/>
              </w:rPr>
            </w:pPr>
            <w:r>
              <w:rPr>
                <w:rFonts w:hint="eastAsia" w:ascii="仿宋_GB2312" w:hAnsi="宋体" w:eastAsia="仿宋_GB2312"/>
                <w:sz w:val="24"/>
                <w:szCs w:val="24"/>
              </w:rPr>
              <w:t>4</w:t>
            </w:r>
          </w:p>
        </w:tc>
        <w:tc>
          <w:tcPr>
            <w:tcW w:w="1080" w:type="dxa"/>
            <w:vAlign w:val="center"/>
          </w:tcPr>
          <w:p w14:paraId="3510C5B8">
            <w:pPr>
              <w:rPr>
                <w:rFonts w:hint="eastAsia" w:ascii="仿宋_GB2312" w:hAnsi="宋体" w:eastAsia="仿宋_GB2312"/>
                <w:sz w:val="24"/>
                <w:szCs w:val="24"/>
              </w:rPr>
            </w:pPr>
          </w:p>
        </w:tc>
        <w:tc>
          <w:tcPr>
            <w:tcW w:w="3060" w:type="dxa"/>
            <w:vAlign w:val="center"/>
          </w:tcPr>
          <w:p w14:paraId="0B614E51">
            <w:pPr>
              <w:rPr>
                <w:rFonts w:hint="eastAsia" w:ascii="仿宋_GB2312" w:hAnsi="宋体" w:eastAsia="仿宋_GB2312"/>
                <w:sz w:val="24"/>
                <w:szCs w:val="24"/>
              </w:rPr>
            </w:pPr>
          </w:p>
        </w:tc>
        <w:tc>
          <w:tcPr>
            <w:tcW w:w="3554" w:type="dxa"/>
            <w:vAlign w:val="center"/>
          </w:tcPr>
          <w:p w14:paraId="4C16BEFC">
            <w:pPr>
              <w:rPr>
                <w:rFonts w:hint="eastAsia" w:ascii="仿宋_GB2312" w:hAnsi="宋体" w:eastAsia="仿宋_GB2312"/>
                <w:sz w:val="24"/>
                <w:szCs w:val="24"/>
              </w:rPr>
            </w:pPr>
          </w:p>
        </w:tc>
      </w:tr>
      <w:tr w14:paraId="6CA36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6FEF7FF2">
            <w:pPr>
              <w:jc w:val="center"/>
              <w:rPr>
                <w:rFonts w:hint="eastAsia" w:ascii="仿宋_GB2312" w:hAnsi="宋体" w:eastAsia="仿宋_GB2312"/>
                <w:sz w:val="24"/>
                <w:szCs w:val="24"/>
              </w:rPr>
            </w:pPr>
            <w:r>
              <w:rPr>
                <w:rFonts w:hint="eastAsia" w:ascii="仿宋_GB2312" w:hAnsi="宋体" w:eastAsia="仿宋_GB2312"/>
                <w:sz w:val="24"/>
                <w:szCs w:val="24"/>
              </w:rPr>
              <w:t>5</w:t>
            </w:r>
          </w:p>
        </w:tc>
        <w:tc>
          <w:tcPr>
            <w:tcW w:w="1080" w:type="dxa"/>
            <w:vAlign w:val="center"/>
          </w:tcPr>
          <w:p w14:paraId="1C6A7382">
            <w:pPr>
              <w:rPr>
                <w:rFonts w:hint="eastAsia" w:ascii="仿宋_GB2312" w:hAnsi="宋体" w:eastAsia="仿宋_GB2312"/>
                <w:sz w:val="24"/>
                <w:szCs w:val="24"/>
              </w:rPr>
            </w:pPr>
          </w:p>
        </w:tc>
        <w:tc>
          <w:tcPr>
            <w:tcW w:w="3060" w:type="dxa"/>
            <w:vAlign w:val="center"/>
          </w:tcPr>
          <w:p w14:paraId="3E49274C">
            <w:pPr>
              <w:rPr>
                <w:rFonts w:hint="eastAsia" w:ascii="仿宋_GB2312" w:hAnsi="宋体" w:eastAsia="仿宋_GB2312"/>
                <w:sz w:val="24"/>
                <w:szCs w:val="24"/>
              </w:rPr>
            </w:pPr>
          </w:p>
        </w:tc>
        <w:tc>
          <w:tcPr>
            <w:tcW w:w="3554" w:type="dxa"/>
            <w:vAlign w:val="center"/>
          </w:tcPr>
          <w:p w14:paraId="3C854D51">
            <w:pPr>
              <w:rPr>
                <w:rFonts w:hint="eastAsia" w:ascii="仿宋_GB2312" w:hAnsi="宋体" w:eastAsia="仿宋_GB2312"/>
                <w:sz w:val="24"/>
                <w:szCs w:val="24"/>
              </w:rPr>
            </w:pPr>
          </w:p>
        </w:tc>
      </w:tr>
      <w:tr w14:paraId="60DD1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4CB51B78">
            <w:pPr>
              <w:jc w:val="center"/>
              <w:rPr>
                <w:rFonts w:hint="eastAsia" w:ascii="仿宋_GB2312" w:hAnsi="宋体" w:eastAsia="仿宋_GB2312"/>
                <w:sz w:val="24"/>
                <w:szCs w:val="24"/>
              </w:rPr>
            </w:pPr>
            <w:r>
              <w:rPr>
                <w:rFonts w:hint="eastAsia" w:ascii="仿宋_GB2312" w:hAnsi="宋体" w:eastAsia="仿宋_GB2312"/>
                <w:sz w:val="24"/>
                <w:szCs w:val="24"/>
              </w:rPr>
              <w:t>6</w:t>
            </w:r>
          </w:p>
        </w:tc>
        <w:tc>
          <w:tcPr>
            <w:tcW w:w="1080" w:type="dxa"/>
            <w:vAlign w:val="center"/>
          </w:tcPr>
          <w:p w14:paraId="0EE18D0D">
            <w:pPr>
              <w:rPr>
                <w:rFonts w:hint="eastAsia" w:ascii="仿宋_GB2312" w:hAnsi="宋体" w:eastAsia="仿宋_GB2312"/>
                <w:sz w:val="24"/>
                <w:szCs w:val="24"/>
              </w:rPr>
            </w:pPr>
          </w:p>
        </w:tc>
        <w:tc>
          <w:tcPr>
            <w:tcW w:w="3060" w:type="dxa"/>
            <w:vAlign w:val="center"/>
          </w:tcPr>
          <w:p w14:paraId="771B684A">
            <w:pPr>
              <w:rPr>
                <w:rFonts w:hint="eastAsia" w:ascii="仿宋_GB2312" w:hAnsi="宋体" w:eastAsia="仿宋_GB2312"/>
                <w:sz w:val="24"/>
                <w:szCs w:val="24"/>
              </w:rPr>
            </w:pPr>
          </w:p>
        </w:tc>
        <w:tc>
          <w:tcPr>
            <w:tcW w:w="3554" w:type="dxa"/>
            <w:vAlign w:val="center"/>
          </w:tcPr>
          <w:p w14:paraId="05C9B6B1">
            <w:pPr>
              <w:rPr>
                <w:rFonts w:hint="eastAsia" w:ascii="仿宋_GB2312" w:hAnsi="宋体" w:eastAsia="仿宋_GB2312"/>
                <w:sz w:val="24"/>
                <w:szCs w:val="24"/>
              </w:rPr>
            </w:pPr>
          </w:p>
        </w:tc>
      </w:tr>
      <w:tr w14:paraId="6CBD8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414C0DCF">
            <w:pPr>
              <w:jc w:val="center"/>
              <w:rPr>
                <w:rFonts w:hint="eastAsia" w:ascii="仿宋_GB2312" w:hAnsi="宋体" w:eastAsia="仿宋_GB2312"/>
                <w:sz w:val="24"/>
                <w:szCs w:val="24"/>
              </w:rPr>
            </w:pPr>
            <w:r>
              <w:rPr>
                <w:rFonts w:hint="eastAsia" w:ascii="仿宋_GB2312" w:hAnsi="宋体" w:eastAsia="仿宋_GB2312"/>
                <w:sz w:val="24"/>
                <w:szCs w:val="24"/>
              </w:rPr>
              <w:t>7</w:t>
            </w:r>
          </w:p>
        </w:tc>
        <w:tc>
          <w:tcPr>
            <w:tcW w:w="1080" w:type="dxa"/>
            <w:vAlign w:val="center"/>
          </w:tcPr>
          <w:p w14:paraId="6EC605FD">
            <w:pPr>
              <w:rPr>
                <w:rFonts w:hint="eastAsia" w:ascii="仿宋_GB2312" w:hAnsi="宋体" w:eastAsia="仿宋_GB2312"/>
                <w:sz w:val="24"/>
                <w:szCs w:val="24"/>
              </w:rPr>
            </w:pPr>
          </w:p>
        </w:tc>
        <w:tc>
          <w:tcPr>
            <w:tcW w:w="3060" w:type="dxa"/>
            <w:vAlign w:val="center"/>
          </w:tcPr>
          <w:p w14:paraId="084007F7">
            <w:pPr>
              <w:rPr>
                <w:rFonts w:hint="eastAsia" w:ascii="仿宋_GB2312" w:hAnsi="宋体" w:eastAsia="仿宋_GB2312"/>
                <w:sz w:val="24"/>
                <w:szCs w:val="24"/>
              </w:rPr>
            </w:pPr>
          </w:p>
        </w:tc>
        <w:tc>
          <w:tcPr>
            <w:tcW w:w="3554" w:type="dxa"/>
            <w:vAlign w:val="center"/>
          </w:tcPr>
          <w:p w14:paraId="60EE21C9">
            <w:pPr>
              <w:rPr>
                <w:rFonts w:hint="eastAsia" w:ascii="仿宋_GB2312" w:hAnsi="宋体" w:eastAsia="仿宋_GB2312"/>
                <w:sz w:val="24"/>
                <w:szCs w:val="24"/>
              </w:rPr>
            </w:pPr>
          </w:p>
        </w:tc>
      </w:tr>
      <w:tr w14:paraId="7A85C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13EAE6F3">
            <w:pPr>
              <w:jc w:val="center"/>
              <w:rPr>
                <w:rFonts w:hint="eastAsia" w:ascii="仿宋_GB2312" w:hAnsi="宋体" w:eastAsia="仿宋_GB2312"/>
                <w:sz w:val="24"/>
                <w:szCs w:val="24"/>
              </w:rPr>
            </w:pPr>
            <w:r>
              <w:rPr>
                <w:rFonts w:hint="eastAsia" w:ascii="仿宋_GB2312" w:hAnsi="宋体" w:eastAsia="仿宋_GB2312"/>
                <w:sz w:val="24"/>
                <w:szCs w:val="24"/>
              </w:rPr>
              <w:t>8</w:t>
            </w:r>
          </w:p>
        </w:tc>
        <w:tc>
          <w:tcPr>
            <w:tcW w:w="1080" w:type="dxa"/>
            <w:vAlign w:val="center"/>
          </w:tcPr>
          <w:p w14:paraId="0E94B645">
            <w:pPr>
              <w:rPr>
                <w:rFonts w:hint="eastAsia" w:ascii="仿宋_GB2312" w:hAnsi="宋体" w:eastAsia="仿宋_GB2312"/>
                <w:sz w:val="24"/>
                <w:szCs w:val="24"/>
              </w:rPr>
            </w:pPr>
          </w:p>
        </w:tc>
        <w:tc>
          <w:tcPr>
            <w:tcW w:w="3060" w:type="dxa"/>
            <w:vAlign w:val="center"/>
          </w:tcPr>
          <w:p w14:paraId="23A5FF19">
            <w:pPr>
              <w:rPr>
                <w:rFonts w:hint="eastAsia" w:ascii="仿宋_GB2312" w:hAnsi="宋体" w:eastAsia="仿宋_GB2312"/>
                <w:sz w:val="24"/>
                <w:szCs w:val="24"/>
              </w:rPr>
            </w:pPr>
          </w:p>
        </w:tc>
        <w:tc>
          <w:tcPr>
            <w:tcW w:w="3554" w:type="dxa"/>
            <w:vAlign w:val="center"/>
          </w:tcPr>
          <w:p w14:paraId="63B5D51D">
            <w:pPr>
              <w:rPr>
                <w:rFonts w:hint="eastAsia" w:ascii="仿宋_GB2312" w:hAnsi="宋体" w:eastAsia="仿宋_GB2312"/>
                <w:sz w:val="24"/>
                <w:szCs w:val="24"/>
              </w:rPr>
            </w:pPr>
          </w:p>
        </w:tc>
      </w:tr>
      <w:tr w14:paraId="08133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6B4FCDF5">
            <w:pPr>
              <w:jc w:val="center"/>
              <w:rPr>
                <w:rFonts w:hint="eastAsia" w:ascii="仿宋_GB2312" w:hAnsi="宋体" w:eastAsia="仿宋_GB2312"/>
                <w:sz w:val="24"/>
                <w:szCs w:val="24"/>
              </w:rPr>
            </w:pPr>
            <w:r>
              <w:rPr>
                <w:rFonts w:hint="eastAsia" w:ascii="仿宋_GB2312" w:hAnsi="宋体" w:eastAsia="仿宋_GB2312"/>
                <w:sz w:val="24"/>
                <w:szCs w:val="24"/>
              </w:rPr>
              <w:t>9</w:t>
            </w:r>
          </w:p>
        </w:tc>
        <w:tc>
          <w:tcPr>
            <w:tcW w:w="1080" w:type="dxa"/>
            <w:vAlign w:val="center"/>
          </w:tcPr>
          <w:p w14:paraId="7C862281">
            <w:pPr>
              <w:rPr>
                <w:rFonts w:hint="eastAsia" w:ascii="仿宋_GB2312" w:hAnsi="宋体" w:eastAsia="仿宋_GB2312"/>
                <w:sz w:val="24"/>
                <w:szCs w:val="24"/>
              </w:rPr>
            </w:pPr>
          </w:p>
        </w:tc>
        <w:tc>
          <w:tcPr>
            <w:tcW w:w="3060" w:type="dxa"/>
            <w:vAlign w:val="center"/>
          </w:tcPr>
          <w:p w14:paraId="5859C869">
            <w:pPr>
              <w:rPr>
                <w:rFonts w:hint="eastAsia" w:ascii="仿宋_GB2312" w:hAnsi="宋体" w:eastAsia="仿宋_GB2312"/>
                <w:sz w:val="24"/>
                <w:szCs w:val="24"/>
              </w:rPr>
            </w:pPr>
          </w:p>
        </w:tc>
        <w:tc>
          <w:tcPr>
            <w:tcW w:w="3554" w:type="dxa"/>
            <w:vAlign w:val="center"/>
          </w:tcPr>
          <w:p w14:paraId="311630B6">
            <w:pPr>
              <w:rPr>
                <w:rFonts w:hint="eastAsia" w:ascii="仿宋_GB2312" w:hAnsi="宋体" w:eastAsia="仿宋_GB2312"/>
                <w:sz w:val="24"/>
                <w:szCs w:val="24"/>
              </w:rPr>
            </w:pPr>
          </w:p>
        </w:tc>
      </w:tr>
      <w:tr w14:paraId="7B88F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761A2119">
            <w:pPr>
              <w:jc w:val="center"/>
              <w:rPr>
                <w:rFonts w:hint="eastAsia" w:ascii="仿宋_GB2312" w:hAnsi="宋体" w:eastAsia="仿宋_GB2312"/>
                <w:sz w:val="24"/>
                <w:szCs w:val="24"/>
              </w:rPr>
            </w:pPr>
            <w:r>
              <w:rPr>
                <w:rFonts w:hint="eastAsia" w:ascii="仿宋_GB2312" w:hAnsi="宋体" w:eastAsia="仿宋_GB2312"/>
                <w:sz w:val="24"/>
                <w:szCs w:val="24"/>
              </w:rPr>
              <w:t>10</w:t>
            </w:r>
          </w:p>
        </w:tc>
        <w:tc>
          <w:tcPr>
            <w:tcW w:w="1080" w:type="dxa"/>
            <w:vAlign w:val="center"/>
          </w:tcPr>
          <w:p w14:paraId="28B899C1">
            <w:pPr>
              <w:rPr>
                <w:rFonts w:hint="eastAsia" w:ascii="仿宋_GB2312" w:hAnsi="宋体" w:eastAsia="仿宋_GB2312"/>
                <w:sz w:val="24"/>
                <w:szCs w:val="24"/>
              </w:rPr>
            </w:pPr>
          </w:p>
        </w:tc>
        <w:tc>
          <w:tcPr>
            <w:tcW w:w="3060" w:type="dxa"/>
            <w:vAlign w:val="center"/>
          </w:tcPr>
          <w:p w14:paraId="464687D8">
            <w:pPr>
              <w:rPr>
                <w:rFonts w:hint="eastAsia" w:ascii="仿宋_GB2312" w:hAnsi="宋体" w:eastAsia="仿宋_GB2312"/>
                <w:sz w:val="24"/>
                <w:szCs w:val="24"/>
              </w:rPr>
            </w:pPr>
          </w:p>
        </w:tc>
        <w:tc>
          <w:tcPr>
            <w:tcW w:w="3554" w:type="dxa"/>
            <w:vAlign w:val="center"/>
          </w:tcPr>
          <w:p w14:paraId="2FC53364">
            <w:pPr>
              <w:rPr>
                <w:rFonts w:hint="eastAsia" w:ascii="仿宋_GB2312" w:hAnsi="宋体" w:eastAsia="仿宋_GB2312"/>
                <w:sz w:val="24"/>
                <w:szCs w:val="24"/>
              </w:rPr>
            </w:pPr>
          </w:p>
        </w:tc>
      </w:tr>
    </w:tbl>
    <w:p w14:paraId="3F199480">
      <w:pPr>
        <w:rPr>
          <w:rFonts w:hint="eastAsia" w:ascii="仿宋_GB2312" w:hAnsi="宋体" w:eastAsia="仿宋_GB2312"/>
          <w:sz w:val="24"/>
          <w:szCs w:val="24"/>
        </w:rPr>
      </w:pPr>
    </w:p>
    <w:p w14:paraId="24EBF8BF">
      <w:pPr>
        <w:rPr>
          <w:rFonts w:hint="eastAsia" w:ascii="仿宋_GB2312" w:hAnsi="宋体" w:eastAsia="仿宋_GB2312"/>
          <w:sz w:val="24"/>
          <w:szCs w:val="24"/>
        </w:rPr>
      </w:pPr>
      <w:r>
        <w:rPr>
          <w:rFonts w:hint="eastAsia" w:ascii="仿宋_GB2312" w:hAnsi="宋体" w:eastAsia="仿宋_GB2312"/>
          <w:sz w:val="24"/>
          <w:szCs w:val="24"/>
        </w:rPr>
        <w:t>投标人名称（盖章）：              法定代表人或授权代表签字：</w:t>
      </w:r>
    </w:p>
    <w:p w14:paraId="39288620">
      <w:pPr>
        <w:rPr>
          <w:rFonts w:hint="eastAsia" w:ascii="仿宋_GB2312" w:hAnsi="宋体" w:eastAsia="仿宋_GB2312"/>
          <w:sz w:val="24"/>
          <w:szCs w:val="24"/>
        </w:rPr>
      </w:pPr>
    </w:p>
    <w:p w14:paraId="0318591D">
      <w:pPr>
        <w:rPr>
          <w:rFonts w:hint="eastAsia" w:ascii="仿宋_GB2312" w:hAnsi="宋体" w:eastAsia="仿宋_GB2312"/>
          <w:sz w:val="24"/>
          <w:szCs w:val="24"/>
        </w:rPr>
      </w:pPr>
    </w:p>
    <w:p w14:paraId="7CA29420">
      <w:pPr>
        <w:pStyle w:val="14"/>
        <w:spacing w:line="360" w:lineRule="auto"/>
        <w:rPr>
          <w:rFonts w:hint="eastAsia" w:ascii="仿宋_GB2312" w:hAnsi="宋体" w:eastAsia="仿宋_GB2312"/>
          <w:sz w:val="24"/>
          <w:szCs w:val="24"/>
        </w:rPr>
      </w:pPr>
      <w:r>
        <w:rPr>
          <w:rFonts w:hint="eastAsia" w:ascii="仿宋_GB2312" w:hAnsi="宋体" w:eastAsia="仿宋_GB2312"/>
          <w:b/>
          <w:sz w:val="24"/>
          <w:szCs w:val="24"/>
        </w:rPr>
        <w:t>注：</w:t>
      </w:r>
      <w:r>
        <w:rPr>
          <w:rFonts w:hint="eastAsia" w:ascii="仿宋_GB2312" w:hAnsi="宋体" w:eastAsia="仿宋_GB2312"/>
          <w:sz w:val="24"/>
          <w:szCs w:val="24"/>
        </w:rPr>
        <w:t>可做正偏离，但不允许有低于本招标文件相关要求的情况出现，否则视为</w:t>
      </w:r>
      <w:r>
        <w:rPr>
          <w:rFonts w:hint="eastAsia" w:ascii="仿宋_GB2312" w:eastAsia="仿宋_GB2312"/>
          <w:sz w:val="24"/>
          <w:szCs w:val="24"/>
        </w:rPr>
        <w:t>主动放弃本项目投标；</w:t>
      </w:r>
      <w:r>
        <w:rPr>
          <w:rFonts w:hint="eastAsia" w:ascii="仿宋_GB2312" w:hAnsi="宋体" w:eastAsia="仿宋_GB2312"/>
          <w:sz w:val="24"/>
          <w:szCs w:val="24"/>
        </w:rPr>
        <w:t>为避免歧义，无偏离也应要提报该表，并注明“无”字。如无该表则即使在其它部分已反映，将也被视为“无偏离”。</w:t>
      </w:r>
    </w:p>
    <w:p w14:paraId="76B6A62A">
      <w:pPr>
        <w:pStyle w:val="14"/>
        <w:spacing w:line="360" w:lineRule="auto"/>
        <w:rPr>
          <w:rFonts w:hint="eastAsia" w:ascii="仿宋_GB2312" w:hAnsi="宋体" w:eastAsia="仿宋_GB2312"/>
          <w:sz w:val="24"/>
          <w:szCs w:val="24"/>
        </w:rPr>
      </w:pPr>
    </w:p>
    <w:p w14:paraId="65FD8BA2">
      <w:pPr>
        <w:pStyle w:val="14"/>
        <w:spacing w:line="360" w:lineRule="auto"/>
        <w:rPr>
          <w:rFonts w:hint="eastAsia" w:ascii="仿宋_GB2312" w:hAnsi="宋体" w:eastAsia="仿宋_GB2312"/>
          <w:sz w:val="24"/>
          <w:szCs w:val="24"/>
        </w:rPr>
      </w:pPr>
    </w:p>
    <w:p w14:paraId="23E2FF49">
      <w:pPr>
        <w:pStyle w:val="14"/>
        <w:spacing w:line="360" w:lineRule="auto"/>
        <w:rPr>
          <w:rFonts w:ascii="仿宋_GB2312" w:hAnsi="Times New Roman" w:eastAsia="仿宋_GB2312"/>
          <w:b/>
          <w:bCs/>
          <w:sz w:val="24"/>
          <w:szCs w:val="24"/>
        </w:rPr>
      </w:pPr>
      <w:r>
        <w:rPr>
          <w:rFonts w:hint="eastAsia" w:ascii="仿宋_GB2312" w:hAnsi="Times New Roman" w:eastAsia="仿宋_GB2312"/>
          <w:b/>
          <w:bCs/>
          <w:sz w:val="24"/>
          <w:szCs w:val="24"/>
        </w:rPr>
        <w:t>附件4</w:t>
      </w:r>
    </w:p>
    <w:p w14:paraId="7C82E4F4">
      <w:pPr>
        <w:rPr>
          <w:rFonts w:ascii="仿宋_GB2312" w:eastAsia="仿宋_GB2312"/>
          <w:b/>
          <w:bCs/>
          <w:sz w:val="24"/>
          <w:szCs w:val="24"/>
        </w:rPr>
      </w:pPr>
      <w:r>
        <w:rPr>
          <w:rFonts w:hint="eastAsia" w:ascii="仿宋_GB2312" w:eastAsia="仿宋_GB2312"/>
          <w:b/>
          <w:bCs/>
          <w:sz w:val="24"/>
          <w:szCs w:val="24"/>
        </w:rPr>
        <w:t>项目名称：</w:t>
      </w:r>
      <w:r>
        <w:rPr>
          <w:rFonts w:hint="eastAsia" w:ascii="仿宋_GB2312" w:eastAsia="仿宋_GB2312"/>
          <w:b/>
          <w:bCs/>
          <w:sz w:val="24"/>
          <w:szCs w:val="24"/>
          <w:lang w:val="en-US" w:eastAsia="zh-CN"/>
        </w:rPr>
        <w:t>车桥公司</w:t>
      </w:r>
      <w:r>
        <w:rPr>
          <w:rFonts w:hint="eastAsia" w:ascii="仿宋_GB2312" w:eastAsia="仿宋_GB2312"/>
          <w:b/>
          <w:bCs/>
          <w:sz w:val="24"/>
          <w:szCs w:val="24"/>
        </w:rPr>
        <w:t>2026年度危险废物处置项目</w:t>
      </w:r>
    </w:p>
    <w:p w14:paraId="4FAB43EA">
      <w:pPr>
        <w:rPr>
          <w:rFonts w:ascii="仿宋_GB2312" w:eastAsia="仿宋_GB2312"/>
          <w:sz w:val="24"/>
          <w:szCs w:val="24"/>
          <w:u w:val="single"/>
        </w:rPr>
      </w:pPr>
    </w:p>
    <w:p w14:paraId="1655B089">
      <w:pPr>
        <w:rPr>
          <w:rFonts w:ascii="仿宋_GB2312" w:eastAsia="仿宋_GB2312"/>
          <w:b/>
          <w:bCs/>
          <w:sz w:val="24"/>
          <w:szCs w:val="24"/>
        </w:rPr>
      </w:pPr>
      <w:r>
        <w:rPr>
          <w:rFonts w:hint="eastAsia" w:ascii="仿宋_GB2312" w:eastAsia="仿宋_GB2312"/>
          <w:b/>
          <w:bCs/>
          <w:sz w:val="24"/>
          <w:szCs w:val="24"/>
        </w:rPr>
        <w:t>日期：  年   月   日</w:t>
      </w:r>
    </w:p>
    <w:p w14:paraId="55277FDE">
      <w:pPr>
        <w:rPr>
          <w:rFonts w:ascii="仿宋_GB2312" w:eastAsia="仿宋_GB2312"/>
          <w:b/>
          <w:bCs/>
          <w:sz w:val="24"/>
          <w:szCs w:val="24"/>
        </w:rPr>
      </w:pPr>
    </w:p>
    <w:p w14:paraId="33EF4A69">
      <w:pPr>
        <w:rPr>
          <w:rFonts w:ascii="仿宋_GB2312" w:eastAsia="仿宋_GB2312"/>
          <w:b/>
          <w:bCs/>
          <w:sz w:val="24"/>
          <w:szCs w:val="24"/>
        </w:rPr>
      </w:pPr>
    </w:p>
    <w:p w14:paraId="5BC34F9E">
      <w:pPr>
        <w:rPr>
          <w:rFonts w:ascii="仿宋_GB2312" w:eastAsia="仿宋_GB2312"/>
          <w:b/>
          <w:bCs/>
          <w:sz w:val="24"/>
          <w:szCs w:val="24"/>
        </w:rPr>
      </w:pPr>
      <w:r>
        <w:rPr>
          <w:rFonts w:hint="eastAsia" w:ascii="仿宋_GB2312" w:eastAsia="仿宋_GB2312"/>
          <w:b/>
          <w:bCs/>
          <w:sz w:val="24"/>
          <w:szCs w:val="24"/>
        </w:rPr>
        <w:t>1.企业具备的处置工艺及年处置能力介绍：</w:t>
      </w:r>
    </w:p>
    <w:p w14:paraId="6ED23F08">
      <w:pPr>
        <w:pStyle w:val="14"/>
        <w:spacing w:line="360" w:lineRule="auto"/>
        <w:rPr>
          <w:rFonts w:hint="eastAsia" w:ascii="仿宋_GB2312" w:hAnsi="宋体" w:eastAsia="仿宋_GB2312"/>
          <w:bCs/>
          <w:sz w:val="24"/>
          <w:szCs w:val="24"/>
        </w:rPr>
      </w:pPr>
    </w:p>
    <w:p w14:paraId="12C8FF8F">
      <w:pPr>
        <w:pStyle w:val="14"/>
        <w:spacing w:line="360" w:lineRule="auto"/>
        <w:rPr>
          <w:rFonts w:hint="eastAsia" w:ascii="仿宋_GB2312" w:hAnsi="宋体" w:eastAsia="仿宋_GB2312"/>
          <w:bCs/>
          <w:sz w:val="24"/>
          <w:szCs w:val="24"/>
        </w:rPr>
      </w:pPr>
    </w:p>
    <w:p w14:paraId="4400C8EC">
      <w:pPr>
        <w:pStyle w:val="14"/>
        <w:spacing w:line="360" w:lineRule="auto"/>
        <w:rPr>
          <w:rFonts w:hint="eastAsia" w:ascii="仿宋_GB2312" w:hAnsi="宋体" w:eastAsia="仿宋_GB2312"/>
          <w:bCs/>
          <w:sz w:val="24"/>
          <w:szCs w:val="24"/>
        </w:rPr>
      </w:pPr>
    </w:p>
    <w:p w14:paraId="6D28D382">
      <w:pPr>
        <w:pStyle w:val="14"/>
        <w:spacing w:line="360" w:lineRule="auto"/>
        <w:rPr>
          <w:rFonts w:hint="eastAsia" w:ascii="仿宋_GB2312" w:hAnsi="宋体" w:eastAsia="仿宋_GB2312"/>
          <w:bCs/>
          <w:sz w:val="24"/>
          <w:szCs w:val="24"/>
        </w:rPr>
      </w:pPr>
    </w:p>
    <w:p w14:paraId="524710E5">
      <w:pPr>
        <w:pStyle w:val="14"/>
        <w:spacing w:after="156" w:afterLines="50" w:line="360" w:lineRule="auto"/>
        <w:rPr>
          <w:rFonts w:hint="eastAsia" w:ascii="仿宋_GB2312" w:hAnsi="宋体" w:eastAsia="仿宋_GB2312"/>
          <w:b/>
          <w:sz w:val="24"/>
          <w:szCs w:val="24"/>
        </w:rPr>
      </w:pPr>
      <w:r>
        <w:rPr>
          <w:rFonts w:hint="eastAsia" w:ascii="仿宋_GB2312" w:hAnsi="宋体" w:eastAsia="仿宋_GB2312"/>
          <w:b/>
          <w:sz w:val="24"/>
          <w:szCs w:val="24"/>
        </w:rPr>
        <w:t>2.对本项目内容的处置工艺说明</w:t>
      </w:r>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6"/>
        <w:gridCol w:w="2256"/>
        <w:gridCol w:w="2782"/>
        <w:gridCol w:w="1897"/>
        <w:gridCol w:w="1895"/>
      </w:tblGrid>
      <w:tr w14:paraId="61B31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8" w:type="pct"/>
            <w:vAlign w:val="center"/>
          </w:tcPr>
          <w:p w14:paraId="351EFA7B">
            <w:pPr>
              <w:snapToGrid w:val="0"/>
              <w:jc w:val="center"/>
              <w:rPr>
                <w:rFonts w:hint="eastAsia" w:ascii="仿宋_GB2312" w:hAnsi="宋体" w:eastAsia="仿宋_GB2312"/>
                <w:sz w:val="24"/>
              </w:rPr>
            </w:pPr>
            <w:r>
              <w:rPr>
                <w:rFonts w:hint="eastAsia" w:ascii="仿宋_GB2312" w:hAnsi="宋体" w:eastAsia="仿宋_GB2312"/>
                <w:sz w:val="24"/>
              </w:rPr>
              <w:t>序号</w:t>
            </w:r>
          </w:p>
        </w:tc>
        <w:tc>
          <w:tcPr>
            <w:tcW w:w="760" w:type="pct"/>
            <w:vAlign w:val="center"/>
          </w:tcPr>
          <w:p w14:paraId="3895F655">
            <w:pPr>
              <w:snapToGrid w:val="0"/>
              <w:jc w:val="center"/>
              <w:rPr>
                <w:rFonts w:hint="eastAsia" w:ascii="仿宋_GB2312" w:hAnsi="宋体" w:eastAsia="仿宋_GB2312"/>
                <w:sz w:val="24"/>
              </w:rPr>
            </w:pPr>
            <w:r>
              <w:rPr>
                <w:rFonts w:hint="eastAsia" w:ascii="仿宋_GB2312" w:hAnsi="宋体" w:eastAsia="仿宋_GB2312"/>
                <w:sz w:val="24"/>
              </w:rPr>
              <w:t>危废编号</w:t>
            </w:r>
          </w:p>
        </w:tc>
        <w:tc>
          <w:tcPr>
            <w:tcW w:w="1623" w:type="pct"/>
            <w:vAlign w:val="center"/>
          </w:tcPr>
          <w:p w14:paraId="66AAEC08">
            <w:pPr>
              <w:snapToGrid w:val="0"/>
              <w:jc w:val="center"/>
              <w:rPr>
                <w:rFonts w:ascii="仿宋_GB2312" w:eastAsia="仿宋_GB2312"/>
                <w:sz w:val="24"/>
              </w:rPr>
            </w:pPr>
            <w:r>
              <w:rPr>
                <w:rFonts w:hint="eastAsia" w:ascii="仿宋_GB2312" w:hAnsi="宋体" w:eastAsia="仿宋_GB2312"/>
                <w:sz w:val="24"/>
              </w:rPr>
              <w:t>危废名称</w:t>
            </w:r>
          </w:p>
        </w:tc>
        <w:tc>
          <w:tcPr>
            <w:tcW w:w="1135" w:type="pct"/>
            <w:vAlign w:val="center"/>
          </w:tcPr>
          <w:p w14:paraId="603FB264">
            <w:pPr>
              <w:snapToGrid w:val="0"/>
              <w:jc w:val="center"/>
              <w:rPr>
                <w:rFonts w:hint="eastAsia" w:ascii="仿宋_GB2312" w:hAnsi="宋体" w:eastAsia="仿宋_GB2312"/>
                <w:sz w:val="24"/>
              </w:rPr>
            </w:pPr>
            <w:r>
              <w:rPr>
                <w:rFonts w:hint="eastAsia" w:ascii="仿宋_GB2312" w:hAnsi="宋体" w:eastAsia="仿宋_GB2312"/>
                <w:sz w:val="24"/>
              </w:rPr>
              <w:t>处置工艺</w:t>
            </w:r>
          </w:p>
        </w:tc>
        <w:tc>
          <w:tcPr>
            <w:tcW w:w="1134" w:type="pct"/>
            <w:vAlign w:val="center"/>
          </w:tcPr>
          <w:p w14:paraId="7EDCDF08">
            <w:pPr>
              <w:snapToGrid w:val="0"/>
              <w:jc w:val="center"/>
              <w:rPr>
                <w:rFonts w:hint="eastAsia" w:ascii="仿宋_GB2312" w:hAnsi="宋体" w:eastAsia="仿宋_GB2312"/>
                <w:sz w:val="24"/>
              </w:rPr>
            </w:pPr>
            <w:r>
              <w:rPr>
                <w:rFonts w:hint="eastAsia" w:ascii="仿宋_GB2312" w:hAnsi="宋体" w:eastAsia="仿宋_GB2312"/>
                <w:sz w:val="24"/>
              </w:rPr>
              <w:t>备注</w:t>
            </w:r>
          </w:p>
        </w:tc>
      </w:tr>
      <w:tr w14:paraId="36F42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348" w:type="pct"/>
            <w:vAlign w:val="center"/>
          </w:tcPr>
          <w:p w14:paraId="79A2D9DA">
            <w:pPr>
              <w:snapToGrid w:val="0"/>
              <w:jc w:val="center"/>
              <w:rPr>
                <w:rFonts w:hint="eastAsia" w:ascii="仿宋_GB2312" w:hAnsi="宋体" w:eastAsia="仿宋_GB2312" w:cs="Times New Roman"/>
                <w:sz w:val="24"/>
                <w:lang w:val="en-US" w:eastAsia="zh-CN"/>
              </w:rPr>
            </w:pPr>
            <w:r>
              <w:rPr>
                <w:rFonts w:hint="eastAsia" w:ascii="仿宋_GB2312" w:hAnsi="宋体" w:eastAsia="仿宋_GB2312" w:cs="Times New Roman"/>
                <w:sz w:val="24"/>
                <w:lang w:val="en-US" w:eastAsia="zh-CN"/>
              </w:rPr>
              <w:t>1</w:t>
            </w:r>
          </w:p>
        </w:tc>
        <w:tc>
          <w:tcPr>
            <w:tcW w:w="760" w:type="pct"/>
            <w:vAlign w:val="center"/>
          </w:tcPr>
          <w:p w14:paraId="4DE5FAF4">
            <w:pPr>
              <w:snapToGrid w:val="0"/>
              <w:jc w:val="center"/>
              <w:rPr>
                <w:rFonts w:hint="eastAsia" w:ascii="仿宋_GB2312" w:hAnsi="宋体" w:eastAsia="仿宋_GB2312" w:cs="Times New Roman"/>
                <w:sz w:val="24"/>
                <w:lang w:val="en-US" w:eastAsia="zh-CN"/>
              </w:rPr>
            </w:pPr>
            <w:r>
              <w:rPr>
                <w:rFonts w:hint="eastAsia" w:ascii="仿宋_GB2312" w:hAnsi="宋体" w:eastAsia="仿宋_GB2312" w:cs="Times New Roman"/>
                <w:sz w:val="24"/>
                <w:lang w:val="en-US" w:eastAsia="zh-CN"/>
              </w:rPr>
              <w:t>HW49（900-041-49）</w:t>
            </w:r>
          </w:p>
        </w:tc>
        <w:tc>
          <w:tcPr>
            <w:tcW w:w="1623" w:type="pct"/>
            <w:vAlign w:val="center"/>
          </w:tcPr>
          <w:p w14:paraId="2CAA6BD1">
            <w:pPr>
              <w:snapToGrid w:val="0"/>
              <w:jc w:val="center"/>
              <w:rPr>
                <w:rFonts w:hint="eastAsia" w:ascii="仿宋_GB2312" w:hAnsi="宋体" w:eastAsia="仿宋_GB2312" w:cs="Times New Roman"/>
                <w:sz w:val="24"/>
                <w:lang w:val="en-US" w:eastAsia="zh-CN"/>
              </w:rPr>
            </w:pPr>
            <w:r>
              <w:rPr>
                <w:rFonts w:hint="eastAsia" w:ascii="仿宋_GB2312" w:hAnsi="宋体" w:eastAsia="仿宋_GB2312" w:cs="Times New Roman"/>
                <w:sz w:val="24"/>
                <w:lang w:val="en-US" w:eastAsia="zh-CN"/>
              </w:rPr>
              <w:t>废过滤棉</w:t>
            </w:r>
          </w:p>
        </w:tc>
        <w:tc>
          <w:tcPr>
            <w:tcW w:w="1135" w:type="pct"/>
            <w:vAlign w:val="center"/>
          </w:tcPr>
          <w:p w14:paraId="312D022E">
            <w:pPr>
              <w:snapToGrid w:val="0"/>
              <w:jc w:val="center"/>
              <w:rPr>
                <w:rFonts w:hint="eastAsia" w:ascii="仿宋_GB2312" w:hAnsi="宋体" w:eastAsia="仿宋_GB2312" w:cs="Times New Roman"/>
                <w:sz w:val="24"/>
                <w:lang w:val="en-US" w:eastAsia="zh-CN"/>
              </w:rPr>
            </w:pPr>
          </w:p>
        </w:tc>
        <w:tc>
          <w:tcPr>
            <w:tcW w:w="1134" w:type="pct"/>
            <w:vAlign w:val="center"/>
          </w:tcPr>
          <w:p w14:paraId="439A3ABA">
            <w:pPr>
              <w:snapToGrid w:val="0"/>
              <w:jc w:val="center"/>
              <w:rPr>
                <w:rFonts w:hint="eastAsia" w:ascii="仿宋_GB2312" w:hAnsi="宋体" w:eastAsia="仿宋_GB2312"/>
                <w:sz w:val="24"/>
              </w:rPr>
            </w:pPr>
          </w:p>
        </w:tc>
      </w:tr>
      <w:tr w14:paraId="1BF8B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348" w:type="pct"/>
            <w:vAlign w:val="center"/>
          </w:tcPr>
          <w:p w14:paraId="2D7DF94B">
            <w:pPr>
              <w:snapToGrid w:val="0"/>
              <w:jc w:val="center"/>
              <w:rPr>
                <w:rFonts w:hint="eastAsia" w:ascii="仿宋_GB2312" w:hAnsi="宋体" w:eastAsia="仿宋_GB2312" w:cs="Times New Roman"/>
                <w:sz w:val="24"/>
                <w:lang w:val="en-US" w:eastAsia="zh-CN"/>
              </w:rPr>
            </w:pPr>
            <w:r>
              <w:rPr>
                <w:rFonts w:hint="eastAsia" w:ascii="仿宋_GB2312" w:hAnsi="宋体" w:eastAsia="仿宋_GB2312" w:cs="Times New Roman"/>
                <w:sz w:val="24"/>
                <w:lang w:val="en-US" w:eastAsia="zh-CN"/>
              </w:rPr>
              <w:t>2</w:t>
            </w:r>
          </w:p>
        </w:tc>
        <w:tc>
          <w:tcPr>
            <w:tcW w:w="760" w:type="pct"/>
            <w:vAlign w:val="center"/>
          </w:tcPr>
          <w:p w14:paraId="1F463CB6">
            <w:pPr>
              <w:snapToGrid w:val="0"/>
              <w:jc w:val="center"/>
              <w:rPr>
                <w:rFonts w:hint="default" w:ascii="仿宋_GB2312" w:hAnsi="宋体" w:eastAsia="仿宋_GB2312" w:cs="Times New Roman"/>
                <w:sz w:val="24"/>
                <w:lang w:val="en-US" w:eastAsia="zh-CN"/>
              </w:rPr>
            </w:pPr>
            <w:r>
              <w:rPr>
                <w:rFonts w:hint="eastAsia" w:ascii="仿宋_GB2312" w:hAnsi="宋体" w:eastAsia="仿宋_GB2312" w:cs="Times New Roman"/>
                <w:sz w:val="24"/>
                <w:lang w:val="en-US" w:eastAsia="zh-CN"/>
              </w:rPr>
              <w:t>HW12(900-252-12）</w:t>
            </w:r>
          </w:p>
        </w:tc>
        <w:tc>
          <w:tcPr>
            <w:tcW w:w="1623" w:type="pct"/>
            <w:vAlign w:val="center"/>
          </w:tcPr>
          <w:p w14:paraId="7D23AE68">
            <w:pPr>
              <w:snapToGrid w:val="0"/>
              <w:jc w:val="center"/>
              <w:rPr>
                <w:rFonts w:hint="default" w:ascii="仿宋_GB2312" w:hAnsi="宋体" w:eastAsia="仿宋_GB2312" w:cs="Times New Roman"/>
                <w:sz w:val="24"/>
                <w:lang w:val="en-US" w:eastAsia="zh-CN"/>
              </w:rPr>
            </w:pPr>
            <w:r>
              <w:rPr>
                <w:rFonts w:hint="eastAsia" w:ascii="仿宋_GB2312" w:hAnsi="宋体" w:eastAsia="仿宋_GB2312" w:cs="Times New Roman"/>
                <w:sz w:val="24"/>
                <w:lang w:val="en-US" w:eastAsia="zh-CN"/>
              </w:rPr>
              <w:t>废漆渣</w:t>
            </w:r>
          </w:p>
        </w:tc>
        <w:tc>
          <w:tcPr>
            <w:tcW w:w="1135" w:type="pct"/>
            <w:vAlign w:val="center"/>
          </w:tcPr>
          <w:p w14:paraId="6BD7CDE4">
            <w:pPr>
              <w:snapToGrid w:val="0"/>
              <w:jc w:val="center"/>
              <w:rPr>
                <w:rFonts w:hint="eastAsia" w:ascii="仿宋_GB2312" w:hAnsi="宋体" w:eastAsia="仿宋_GB2312" w:cs="Times New Roman"/>
                <w:sz w:val="24"/>
                <w:lang w:val="en-US" w:eastAsia="zh-CN"/>
              </w:rPr>
            </w:pPr>
          </w:p>
        </w:tc>
        <w:tc>
          <w:tcPr>
            <w:tcW w:w="1134" w:type="pct"/>
            <w:vAlign w:val="center"/>
          </w:tcPr>
          <w:p w14:paraId="7901D8D9">
            <w:pPr>
              <w:snapToGrid w:val="0"/>
              <w:jc w:val="center"/>
              <w:rPr>
                <w:rFonts w:hint="eastAsia" w:ascii="仿宋_GB2312" w:hAnsi="宋体" w:eastAsia="仿宋_GB2312"/>
                <w:sz w:val="24"/>
              </w:rPr>
            </w:pPr>
          </w:p>
        </w:tc>
      </w:tr>
    </w:tbl>
    <w:p w14:paraId="5E73CB3B">
      <w:pPr>
        <w:rPr>
          <w:rFonts w:hint="eastAsia" w:ascii="仿宋_GB2312" w:hAnsi="宋体" w:eastAsia="仿宋_GB2312"/>
          <w:sz w:val="24"/>
          <w:szCs w:val="24"/>
        </w:rPr>
      </w:pPr>
    </w:p>
    <w:p w14:paraId="60A5ED20">
      <w:pPr>
        <w:jc w:val="center"/>
        <w:rPr>
          <w:rFonts w:hint="eastAsia" w:ascii="仿宋_GB2312" w:hAnsi="宋体" w:eastAsia="仿宋_GB2312"/>
          <w:sz w:val="24"/>
          <w:szCs w:val="24"/>
        </w:rPr>
      </w:pPr>
    </w:p>
    <w:p w14:paraId="689DF910">
      <w:pPr>
        <w:rPr>
          <w:rFonts w:hint="eastAsia" w:ascii="仿宋_GB2312" w:hAnsi="宋体" w:eastAsia="仿宋_GB2312"/>
          <w:sz w:val="24"/>
          <w:szCs w:val="24"/>
        </w:rPr>
      </w:pPr>
    </w:p>
    <w:p w14:paraId="7518E822">
      <w:pPr>
        <w:rPr>
          <w:rFonts w:hint="eastAsia" w:ascii="仿宋_GB2312" w:hAnsi="宋体" w:eastAsia="仿宋_GB2312"/>
          <w:sz w:val="24"/>
          <w:szCs w:val="24"/>
        </w:rPr>
      </w:pPr>
    </w:p>
    <w:p w14:paraId="4CA20CF8">
      <w:pPr>
        <w:rPr>
          <w:rFonts w:hint="eastAsia" w:ascii="仿宋_GB2312" w:hAnsi="宋体" w:eastAsia="仿宋_GB2312"/>
          <w:sz w:val="24"/>
          <w:szCs w:val="24"/>
        </w:rPr>
      </w:pPr>
    </w:p>
    <w:p w14:paraId="15E3BFB2">
      <w:pPr>
        <w:rPr>
          <w:rFonts w:hint="eastAsia" w:ascii="仿宋_GB2312" w:hAnsi="宋体" w:eastAsia="仿宋_GB2312"/>
          <w:sz w:val="24"/>
          <w:szCs w:val="24"/>
        </w:rPr>
      </w:pPr>
      <w:r>
        <w:rPr>
          <w:rFonts w:hint="eastAsia" w:ascii="仿宋_GB2312" w:hAnsi="宋体" w:eastAsia="仿宋_GB2312"/>
          <w:sz w:val="24"/>
          <w:szCs w:val="24"/>
        </w:rPr>
        <w:t>投标人名称（盖章）：              法定代表人或授权代表签字：</w:t>
      </w:r>
    </w:p>
    <w:p w14:paraId="703AEB54">
      <w:pPr>
        <w:pStyle w:val="14"/>
        <w:spacing w:line="360" w:lineRule="auto"/>
        <w:rPr>
          <w:rFonts w:hint="eastAsia" w:ascii="仿宋_GB2312" w:hAnsi="宋体" w:eastAsia="仿宋_GB2312"/>
          <w:bCs/>
          <w:sz w:val="24"/>
          <w:szCs w:val="24"/>
        </w:rPr>
      </w:pPr>
    </w:p>
    <w:p w14:paraId="1B7FF807">
      <w:pPr>
        <w:spacing w:line="360" w:lineRule="auto"/>
        <w:ind w:firstLine="560" w:firstLineChars="200"/>
        <w:jc w:val="left"/>
        <w:rPr>
          <w:rFonts w:hint="eastAsia" w:ascii="仿宋_GB2312" w:hAnsi="Microsoft YaHei UI Light" w:eastAsia="仿宋_GB2312" w:cs="宋体"/>
          <w:color w:val="000000"/>
          <w:sz w:val="28"/>
          <w:szCs w:val="28"/>
          <w:shd w:val="clear" w:color="auto" w:fill="FCFCFC"/>
        </w:rPr>
      </w:pPr>
    </w:p>
    <w:p w14:paraId="1698CC9E">
      <w:r>
        <w:br w:type="page"/>
      </w:r>
    </w:p>
    <w:p w14:paraId="5871DF53">
      <w:pPr>
        <w:pStyle w:val="71"/>
      </w:pPr>
      <w:bookmarkStart w:id="20" w:name="_Toc20595"/>
      <w:bookmarkStart w:id="21" w:name="_Toc47976609"/>
      <w:r>
        <w:rPr>
          <w:rFonts w:hint="eastAsia"/>
        </w:rPr>
        <w:t>第三部分　合同主要条款</w:t>
      </w:r>
      <w:bookmarkEnd w:id="20"/>
      <w:bookmarkEnd w:id="21"/>
    </w:p>
    <w:p w14:paraId="23914DBE">
      <w:pPr>
        <w:pStyle w:val="72"/>
        <w:numPr>
          <w:ilvl w:val="0"/>
          <w:numId w:val="29"/>
        </w:numPr>
        <w:ind w:left="420"/>
      </w:pPr>
      <w:bookmarkStart w:id="22" w:name="_Toc47976610"/>
      <w:r>
        <w:rPr>
          <w:rFonts w:hint="eastAsia"/>
          <w:lang w:val="en-US" w:eastAsia="zh-CN"/>
        </w:rPr>
        <w:t>标的、数量、</w:t>
      </w:r>
      <w:r>
        <w:rPr>
          <w:rFonts w:hint="eastAsia"/>
        </w:rPr>
        <w:t>交货期</w:t>
      </w:r>
      <w:bookmarkEnd w:id="22"/>
    </w:p>
    <w:p w14:paraId="18603CA8">
      <w:pPr>
        <w:pStyle w:val="72"/>
      </w:pPr>
      <w:bookmarkStart w:id="23" w:name="_Toc47976611"/>
      <w:r>
        <w:rPr>
          <w:rFonts w:hint="eastAsia"/>
        </w:rPr>
        <w:t>交货地点</w:t>
      </w:r>
      <w:bookmarkEnd w:id="23"/>
    </w:p>
    <w:p w14:paraId="3F03A936">
      <w:pPr>
        <w:pStyle w:val="72"/>
      </w:pPr>
      <w:bookmarkStart w:id="24" w:name="_Toc47976612"/>
      <w:r>
        <w:rPr>
          <w:rFonts w:hint="eastAsia"/>
          <w:lang w:val="en-US" w:eastAsia="zh-CN"/>
        </w:rPr>
        <w:t>价款及</w:t>
      </w:r>
      <w:r>
        <w:rPr>
          <w:rFonts w:hint="eastAsia"/>
        </w:rPr>
        <w:t>付款方式</w:t>
      </w:r>
      <w:bookmarkEnd w:id="24"/>
    </w:p>
    <w:p w14:paraId="0A7F4E98">
      <w:pPr>
        <w:pStyle w:val="72"/>
      </w:pPr>
      <w:bookmarkStart w:id="25" w:name="_Toc47976613"/>
      <w:r>
        <w:rPr>
          <w:rFonts w:hint="eastAsia"/>
          <w:lang w:val="en-US" w:eastAsia="zh-CN"/>
        </w:rPr>
        <w:t>质量要求、</w:t>
      </w:r>
      <w:r>
        <w:rPr>
          <w:rFonts w:hint="eastAsia"/>
        </w:rPr>
        <w:t>保修期及售后服务</w:t>
      </w:r>
      <w:bookmarkEnd w:id="25"/>
    </w:p>
    <w:p w14:paraId="50F6C5C1">
      <w:pPr>
        <w:pStyle w:val="72"/>
      </w:pPr>
      <w:bookmarkStart w:id="26" w:name="_Toc47976614"/>
      <w:r>
        <w:rPr>
          <w:rFonts w:hint="eastAsia"/>
        </w:rPr>
        <w:t>安装、调试及验收要求</w:t>
      </w:r>
      <w:bookmarkEnd w:id="26"/>
    </w:p>
    <w:p w14:paraId="7FDA440C">
      <w:pPr>
        <w:pStyle w:val="72"/>
      </w:pPr>
      <w:r>
        <w:rPr>
          <w:rFonts w:hint="eastAsia"/>
          <w:lang w:val="en-US" w:eastAsia="zh-CN"/>
        </w:rPr>
        <w:t>违约责任</w:t>
      </w:r>
    </w:p>
    <w:p w14:paraId="7B4D50AD">
      <w:pPr>
        <w:pStyle w:val="72"/>
      </w:pPr>
      <w:r>
        <w:rPr>
          <w:rFonts w:hint="eastAsia"/>
          <w:lang w:val="en-US" w:eastAsia="zh-CN"/>
        </w:rPr>
        <w:t>争议解决方式</w:t>
      </w:r>
    </w:p>
    <w:p w14:paraId="260D6138">
      <w:pPr>
        <w:pStyle w:val="76"/>
      </w:pPr>
    </w:p>
    <w:p w14:paraId="6A576E98">
      <w:pPr>
        <w:pStyle w:val="76"/>
      </w:pPr>
    </w:p>
    <w:p w14:paraId="373AA179">
      <w:pPr>
        <w:pStyle w:val="76"/>
      </w:pPr>
    </w:p>
    <w:p w14:paraId="150257F3">
      <w:pPr>
        <w:pStyle w:val="76"/>
      </w:pPr>
    </w:p>
    <w:p w14:paraId="40953605">
      <w:pPr>
        <w:pStyle w:val="76"/>
      </w:pPr>
    </w:p>
    <w:p w14:paraId="7DF7CDCE">
      <w:pPr>
        <w:pStyle w:val="76"/>
      </w:pPr>
    </w:p>
    <w:p w14:paraId="2CD5A204">
      <w:pPr>
        <w:pStyle w:val="76"/>
      </w:pPr>
    </w:p>
    <w:p w14:paraId="3AECA4B5">
      <w:pPr>
        <w:pStyle w:val="76"/>
      </w:pPr>
    </w:p>
    <w:p w14:paraId="4AD354C0">
      <w:pPr>
        <w:pStyle w:val="76"/>
      </w:pPr>
    </w:p>
    <w:p w14:paraId="27E760CE">
      <w:pPr>
        <w:pStyle w:val="76"/>
      </w:pPr>
    </w:p>
    <w:p w14:paraId="09615663">
      <w:pPr>
        <w:pStyle w:val="76"/>
      </w:pPr>
    </w:p>
    <w:p w14:paraId="050FA5A8">
      <w:pPr>
        <w:pStyle w:val="76"/>
      </w:pPr>
    </w:p>
    <w:p w14:paraId="0370F036">
      <w:pPr>
        <w:pStyle w:val="76"/>
      </w:pPr>
    </w:p>
    <w:p w14:paraId="32A383C9">
      <w:pPr>
        <w:pStyle w:val="76"/>
      </w:pPr>
    </w:p>
    <w:p w14:paraId="1ED05CA3">
      <w:pPr>
        <w:pStyle w:val="76"/>
      </w:pPr>
    </w:p>
    <w:p w14:paraId="610F994C">
      <w:pPr>
        <w:pStyle w:val="76"/>
      </w:pPr>
    </w:p>
    <w:p w14:paraId="33192396">
      <w:pPr>
        <w:pStyle w:val="76"/>
      </w:pPr>
    </w:p>
    <w:p w14:paraId="4DC7C6C4">
      <w:pPr>
        <w:pStyle w:val="76"/>
      </w:pPr>
    </w:p>
    <w:p w14:paraId="79A7EC9B">
      <w:pPr>
        <w:pStyle w:val="76"/>
      </w:pPr>
    </w:p>
    <w:p w14:paraId="0EB8BBEB">
      <w:pPr>
        <w:pStyle w:val="71"/>
        <w:rPr>
          <w:rFonts w:hint="default" w:eastAsia="黑体"/>
          <w:lang w:val="en-US" w:eastAsia="zh-CN"/>
        </w:rPr>
      </w:pPr>
      <w:bookmarkStart w:id="27" w:name="_Toc47976615"/>
      <w:bookmarkStart w:id="28" w:name="_Toc5925"/>
      <w:r>
        <w:rPr>
          <w:rFonts w:hint="eastAsia"/>
        </w:rPr>
        <w:t>第四部分　</w:t>
      </w:r>
      <w:bookmarkEnd w:id="27"/>
      <w:r>
        <w:rPr>
          <w:rFonts w:hint="eastAsia"/>
          <w:lang w:val="en-US" w:eastAsia="zh-CN"/>
        </w:rPr>
        <w:t>投标文件附件</w:t>
      </w:r>
      <w:bookmarkEnd w:id="28"/>
    </w:p>
    <w:p w14:paraId="600DE1DD">
      <w:pPr>
        <w:pStyle w:val="71"/>
        <w:jc w:val="left"/>
        <w:rPr>
          <w:rFonts w:hint="eastAsia" w:ascii="宋体" w:hAnsi="宋体" w:eastAsia="宋体" w:cs="宋体"/>
          <w:sz w:val="32"/>
          <w:szCs w:val="32"/>
          <w:highlight w:val="yellow"/>
          <w:lang w:eastAsia="zh-CN"/>
        </w:rPr>
      </w:pPr>
      <w:bookmarkStart w:id="29" w:name="_Toc4225"/>
      <w:bookmarkStart w:id="30" w:name="_Toc47976616"/>
      <w:r>
        <w:rPr>
          <w:rFonts w:hint="eastAsia" w:ascii="宋体" w:hAnsi="宋体" w:eastAsia="宋体" w:cs="宋体"/>
          <w:sz w:val="32"/>
          <w:szCs w:val="32"/>
          <w:highlight w:val="yellow"/>
        </w:rPr>
        <w:t>附件</w:t>
      </w:r>
      <w:bookmarkEnd w:id="29"/>
      <w:bookmarkEnd w:id="30"/>
      <w:r>
        <w:rPr>
          <w:rFonts w:hint="eastAsia" w:ascii="宋体" w:hAnsi="宋体" w:eastAsia="宋体" w:cs="宋体"/>
          <w:sz w:val="32"/>
          <w:szCs w:val="32"/>
          <w:highlight w:val="yellow"/>
          <w:lang w:val="en-US" w:eastAsia="zh-CN"/>
        </w:rPr>
        <w:t>1</w:t>
      </w:r>
    </w:p>
    <w:p w14:paraId="3D26BC99">
      <w:pPr>
        <w:keepNext/>
        <w:keepLines/>
        <w:jc w:val="center"/>
        <w:outlineLvl w:val="2"/>
        <w:rPr>
          <w:rFonts w:hint="eastAsia" w:ascii="宋体" w:hAnsi="宋体" w:eastAsia="宋体" w:cs="宋体"/>
          <w:b/>
          <w:bCs/>
          <w:color w:val="000000"/>
          <w:sz w:val="32"/>
          <w:szCs w:val="32"/>
        </w:rPr>
      </w:pPr>
      <w:r>
        <w:rPr>
          <w:rFonts w:hint="eastAsia" w:ascii="宋体" w:hAnsi="宋体" w:eastAsia="宋体" w:cs="宋体"/>
          <w:b/>
          <w:bCs/>
          <w:color w:val="000000"/>
          <w:sz w:val="32"/>
          <w:szCs w:val="32"/>
        </w:rPr>
        <w:t>投标函</w:t>
      </w:r>
    </w:p>
    <w:p w14:paraId="0B39DB81">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致：重汽（济南）车桥有限公司：</w:t>
      </w:r>
    </w:p>
    <w:p w14:paraId="7F916B14">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根据贵方</w:t>
      </w:r>
      <w:r>
        <w:rPr>
          <w:rFonts w:hint="eastAsia" w:ascii="宋体" w:hAnsi="宋体" w:cs="Times New Roman"/>
          <w:color w:val="000000"/>
          <w:sz w:val="24"/>
          <w:szCs w:val="24"/>
          <w:u w:val="single"/>
          <w:lang w:val="en-US" w:eastAsia="zh-CN"/>
        </w:rPr>
        <w:t xml:space="preserve">                       </w:t>
      </w:r>
      <w:r>
        <w:rPr>
          <w:rFonts w:hint="eastAsia" w:ascii="宋体" w:hAnsi="宋体" w:eastAsia="宋体" w:cs="Times New Roman"/>
          <w:bCs/>
          <w:snapToGrid w:val="0"/>
          <w:color w:val="000000"/>
          <w:kern w:val="0"/>
          <w:sz w:val="24"/>
          <w:szCs w:val="24"/>
        </w:rPr>
        <w:t>招标公告</w:t>
      </w:r>
      <w:r>
        <w:rPr>
          <w:rFonts w:hint="eastAsia" w:ascii="宋体" w:hAnsi="宋体" w:eastAsia="宋体" w:cs="Times New Roman"/>
          <w:color w:val="000000"/>
          <w:sz w:val="24"/>
          <w:szCs w:val="24"/>
        </w:rPr>
        <w:t>，</w:t>
      </w:r>
      <w:r>
        <w:rPr>
          <w:rFonts w:ascii="宋体" w:hAnsi="宋体" w:eastAsia="宋体" w:cs="Times New Roman"/>
          <w:b/>
          <w:color w:val="000000"/>
          <w:sz w:val="24"/>
          <w:szCs w:val="24"/>
          <w:u w:val="single"/>
        </w:rPr>
        <w:t xml:space="preserve">            </w:t>
      </w:r>
      <w:r>
        <w:rPr>
          <w:rFonts w:hint="eastAsia" w:ascii="宋体" w:hAnsi="宋体" w:eastAsia="宋体" w:cs="Times New Roman"/>
          <w:color w:val="000000"/>
          <w:sz w:val="24"/>
          <w:szCs w:val="24"/>
        </w:rPr>
        <w:t>投标公司，</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法人代表人为</w:t>
      </w:r>
      <w:r>
        <w:rPr>
          <w:rFonts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，正式授权</w:t>
      </w:r>
      <w:r>
        <w:rPr>
          <w:rFonts w:ascii="宋体" w:hAnsi="宋体" w:eastAsia="宋体" w:cs="Times New Roman"/>
          <w:color w:val="000000"/>
          <w:sz w:val="24"/>
          <w:szCs w:val="24"/>
          <w:u w:val="single"/>
        </w:rPr>
        <w:t xml:space="preserve">           </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提交纸质投标文件：资质证明文件、商务文件和技术文件正本</w:t>
      </w:r>
      <w:r>
        <w:rPr>
          <w:rFonts w:hint="eastAsia" w:ascii="宋体" w:hAnsi="宋体" w:cs="Times New Roman"/>
          <w:color w:val="000000"/>
          <w:sz w:val="24"/>
          <w:szCs w:val="24"/>
          <w:u w:val="single"/>
          <w:lang w:val="en-US" w:eastAsia="zh-CN"/>
        </w:rPr>
        <w:t xml:space="preserve">  </w:t>
      </w:r>
      <w:r>
        <w:rPr>
          <w:rFonts w:hint="eastAsia" w:ascii="宋体" w:hAnsi="宋体" w:eastAsia="宋体" w:cs="Times New Roman"/>
          <w:color w:val="000000"/>
          <w:sz w:val="24"/>
          <w:szCs w:val="24"/>
        </w:rPr>
        <w:t>份、副本</w:t>
      </w:r>
      <w:r>
        <w:rPr>
          <w:rFonts w:hint="eastAsia" w:ascii="宋体" w:hAnsi="宋体" w:cs="Times New Roman"/>
          <w:color w:val="000000"/>
          <w:sz w:val="24"/>
          <w:szCs w:val="24"/>
          <w:u w:val="single"/>
          <w:lang w:val="en-US" w:eastAsia="zh-CN"/>
        </w:rPr>
        <w:t xml:space="preserve">  </w:t>
      </w:r>
      <w:r>
        <w:rPr>
          <w:rFonts w:hint="eastAsia" w:ascii="宋体" w:hAnsi="宋体" w:eastAsia="宋体" w:cs="Times New Roman"/>
          <w:color w:val="000000"/>
          <w:sz w:val="24"/>
          <w:szCs w:val="24"/>
        </w:rPr>
        <w:t>份；电子版投标文件一份。</w:t>
      </w:r>
    </w:p>
    <w:p w14:paraId="26D62944">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据此函，签字代表宣布同意如下：</w:t>
      </w:r>
    </w:p>
    <w:p w14:paraId="71FBB532">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1</w:t>
      </w:r>
      <w:r>
        <w:rPr>
          <w:rFonts w:hint="eastAsia" w:ascii="宋体" w:hAnsi="宋体" w:eastAsia="宋体" w:cs="Times New Roman"/>
          <w:color w:val="000000"/>
          <w:sz w:val="24"/>
          <w:szCs w:val="24"/>
        </w:rPr>
        <w:t>.投标人已详细审查全部“招标文件”，包括修改文件（如有的话）以及全部参考资料和有关附件，已经了解我方对于招标文件、采购过程、采购结果有依法进行询问、质疑、投诉的权利及相关渠道和要求。</w:t>
      </w:r>
    </w:p>
    <w:p w14:paraId="535DAEDA">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2</w:t>
      </w:r>
      <w:r>
        <w:rPr>
          <w:rFonts w:hint="eastAsia" w:ascii="宋体" w:hAnsi="宋体" w:eastAsia="宋体" w:cs="Times New Roman"/>
          <w:color w:val="000000"/>
          <w:sz w:val="24"/>
          <w:szCs w:val="24"/>
        </w:rPr>
        <w:t>.投标人在投标之前已经与贵方进行了充分的沟通，完全理解并接受招标文件的各项规定和要求，对招标文件的合理性、合法性不再有异议。</w:t>
      </w:r>
    </w:p>
    <w:p w14:paraId="7A6FA392">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3</w:t>
      </w:r>
      <w:r>
        <w:rPr>
          <w:rFonts w:hint="eastAsia" w:ascii="宋体" w:hAnsi="宋体" w:eastAsia="宋体" w:cs="Times New Roman"/>
          <w:color w:val="000000"/>
          <w:sz w:val="24"/>
          <w:szCs w:val="24"/>
        </w:rPr>
        <w:t>.本投标有效期自开标日起</w:t>
      </w:r>
      <w:r>
        <w:rPr>
          <w:rFonts w:ascii="宋体" w:hAnsi="宋体" w:eastAsia="宋体" w:cs="Times New Roman"/>
          <w:bCs/>
          <w:color w:val="000000"/>
          <w:sz w:val="24"/>
          <w:szCs w:val="24"/>
          <w:u w:val="single"/>
        </w:rPr>
        <w:t xml:space="preserve"> </w:t>
      </w:r>
      <w:r>
        <w:rPr>
          <w:rFonts w:hint="eastAsia" w:ascii="宋体" w:hAnsi="宋体" w:cs="Times New Roman"/>
          <w:bCs/>
          <w:color w:val="000000"/>
          <w:sz w:val="24"/>
          <w:szCs w:val="24"/>
          <w:u w:val="single"/>
          <w:lang w:val="en-US" w:eastAsia="zh-CN"/>
        </w:rPr>
        <w:t xml:space="preserve"> </w:t>
      </w:r>
      <w:r>
        <w:rPr>
          <w:rFonts w:hint="eastAsia" w:ascii="宋体" w:hAnsi="宋体" w:eastAsia="宋体" w:cs="Times New Roman"/>
          <w:color w:val="000000"/>
          <w:sz w:val="24"/>
          <w:szCs w:val="24"/>
        </w:rPr>
        <w:t>个日历日。</w:t>
      </w:r>
    </w:p>
    <w:p w14:paraId="459E3F15">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4</w:t>
      </w:r>
      <w:r>
        <w:rPr>
          <w:rFonts w:hint="eastAsia" w:ascii="宋体" w:hAnsi="宋体" w:eastAsia="宋体" w:cs="Times New Roman"/>
          <w:color w:val="000000"/>
          <w:sz w:val="24"/>
          <w:szCs w:val="24"/>
        </w:rPr>
        <w:t>.如中标，本投标文件至本项目合同履行完毕止均保持有效，本投标人将按“招标文件”及政府采购法律、法规的规定履行合同责任和义务。</w:t>
      </w:r>
    </w:p>
    <w:p w14:paraId="77545813">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5</w:t>
      </w:r>
      <w:r>
        <w:rPr>
          <w:rFonts w:hint="eastAsia" w:ascii="宋体" w:hAnsi="宋体" w:eastAsia="宋体" w:cs="Times New Roman"/>
          <w:color w:val="000000"/>
          <w:sz w:val="24"/>
          <w:szCs w:val="24"/>
        </w:rPr>
        <w:t>.投标人同意按照贵方要求提供与投标有关的一切数据或资料。</w:t>
      </w:r>
    </w:p>
    <w:p w14:paraId="4F02BADB">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6</w:t>
      </w:r>
      <w:r>
        <w:rPr>
          <w:rFonts w:hint="eastAsia" w:ascii="宋体" w:hAnsi="宋体" w:eastAsia="宋体" w:cs="Times New Roman"/>
          <w:color w:val="000000"/>
          <w:sz w:val="24"/>
          <w:szCs w:val="24"/>
        </w:rPr>
        <w:t>.与本投标有关的一切正式往来信函请寄：</w:t>
      </w:r>
    </w:p>
    <w:p w14:paraId="3404A7CE">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地址：</w:t>
      </w:r>
      <w:r>
        <w:rPr>
          <w:rFonts w:ascii="宋体" w:hAnsi="宋体" w:eastAsia="宋体" w:cs="Times New Roman"/>
          <w:color w:val="000000"/>
          <w:sz w:val="24"/>
          <w:szCs w:val="24"/>
        </w:rPr>
        <w:t xml:space="preserve">                             </w:t>
      </w:r>
    </w:p>
    <w:p w14:paraId="24E63A16">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邮编：</w:t>
      </w:r>
      <w:r>
        <w:rPr>
          <w:rFonts w:ascii="宋体" w:hAnsi="宋体" w:eastAsia="宋体" w:cs="Times New Roman"/>
          <w:color w:val="000000"/>
          <w:sz w:val="24"/>
          <w:szCs w:val="24"/>
        </w:rPr>
        <w:t xml:space="preserve">        </w:t>
      </w:r>
    </w:p>
    <w:p w14:paraId="40F28EC1">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电话：</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传真：</w:t>
      </w:r>
      <w:r>
        <w:rPr>
          <w:rFonts w:ascii="宋体" w:hAnsi="宋体" w:eastAsia="宋体" w:cs="Times New Roman"/>
          <w:color w:val="000000"/>
          <w:sz w:val="24"/>
          <w:szCs w:val="24"/>
        </w:rPr>
        <w:t xml:space="preserve">                   </w:t>
      </w:r>
    </w:p>
    <w:p w14:paraId="1D482AFB">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投标人代表姓名：</w:t>
      </w:r>
      <w:r>
        <w:rPr>
          <w:rFonts w:hint="eastAsia"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职务：</w:t>
      </w:r>
      <w:r>
        <w:rPr>
          <w:rFonts w:ascii="宋体" w:hAnsi="宋体" w:eastAsia="宋体" w:cs="Times New Roman"/>
          <w:color w:val="000000"/>
          <w:sz w:val="24"/>
          <w:szCs w:val="24"/>
        </w:rPr>
        <w:t xml:space="preserve">          </w:t>
      </w:r>
    </w:p>
    <w:p w14:paraId="43152E46">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开户银行：</w:t>
      </w:r>
      <w:r>
        <w:rPr>
          <w:rFonts w:ascii="宋体" w:hAnsi="宋体" w:eastAsia="宋体" w:cs="Times New Roman"/>
          <w:color w:val="000000"/>
          <w:sz w:val="24"/>
          <w:szCs w:val="24"/>
        </w:rPr>
        <w:t xml:space="preserve">                   </w:t>
      </w:r>
    </w:p>
    <w:p w14:paraId="2F8C4A40">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银行帐号：</w:t>
      </w:r>
      <w:r>
        <w:rPr>
          <w:rFonts w:ascii="宋体" w:hAnsi="宋体" w:eastAsia="宋体" w:cs="Times New Roman"/>
          <w:color w:val="000000"/>
          <w:sz w:val="24"/>
          <w:szCs w:val="24"/>
        </w:rPr>
        <w:t xml:space="preserve">                   </w:t>
      </w:r>
    </w:p>
    <w:p w14:paraId="04462310">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投标人名称（</w:t>
      </w:r>
      <w:r>
        <w:rPr>
          <w:rFonts w:hint="eastAsia" w:ascii="宋体" w:hAnsi="宋体" w:eastAsia="宋体" w:cs="Times New Roman"/>
          <w:bCs/>
          <w:color w:val="000000"/>
          <w:sz w:val="24"/>
          <w:szCs w:val="24"/>
        </w:rPr>
        <w:t>盖章）</w:t>
      </w:r>
      <w:r>
        <w:rPr>
          <w:rFonts w:ascii="宋体" w:hAnsi="宋体" w:eastAsia="宋体" w:cs="Times New Roman"/>
          <w:color w:val="000000"/>
          <w:sz w:val="24"/>
          <w:szCs w:val="24"/>
        </w:rPr>
        <w:t xml:space="preserve">: </w:t>
      </w:r>
    </w:p>
    <w:p w14:paraId="7045671E">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授权代表签字</w:t>
      </w:r>
      <w:r>
        <w:rPr>
          <w:rFonts w:hint="eastAsia" w:ascii="宋体" w:hAnsi="宋体" w:eastAsia="宋体" w:cs="Times New Roman"/>
          <w:bCs/>
          <w:color w:val="000000"/>
          <w:sz w:val="24"/>
          <w:szCs w:val="24"/>
        </w:rPr>
        <w:t>：</w:t>
      </w:r>
    </w:p>
    <w:p w14:paraId="284F62AD">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日期：</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年</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月</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日</w:t>
      </w:r>
    </w:p>
    <w:p w14:paraId="50D9D845">
      <w:pPr>
        <w:rPr>
          <w:rFonts w:ascii="黑体" w:hAnsi="Calibri" w:eastAsia="黑体" w:cs="Times New Roman"/>
          <w:color w:val="000000"/>
          <w:sz w:val="24"/>
          <w:szCs w:val="24"/>
        </w:rPr>
      </w:pPr>
    </w:p>
    <w:p w14:paraId="32681108">
      <w:pPr>
        <w:jc w:val="both"/>
        <w:rPr>
          <w:rFonts w:ascii="宋体"/>
          <w:b/>
          <w:color w:val="000000"/>
          <w:szCs w:val="24"/>
        </w:rPr>
      </w:pPr>
    </w:p>
    <w:p w14:paraId="57006D89">
      <w:pPr>
        <w:pStyle w:val="72"/>
        <w:numPr>
          <w:ilvl w:val="0"/>
          <w:numId w:val="0"/>
        </w:numPr>
        <w:ind w:leftChars="0"/>
        <w:rPr>
          <w:rFonts w:hint="eastAsia" w:ascii="宋体" w:hAnsi="宋体" w:eastAsia="宋体" w:cs="宋体"/>
          <w:sz w:val="32"/>
          <w:szCs w:val="32"/>
          <w:highlight w:val="yellow"/>
          <w:lang w:val="en-US" w:eastAsia="zh-CN"/>
        </w:rPr>
      </w:pPr>
      <w:bookmarkStart w:id="31" w:name="_Toc47976618"/>
      <w:bookmarkStart w:id="32" w:name="_Toc29366869"/>
      <w:bookmarkStart w:id="33" w:name="_Toc29366865"/>
      <w:r>
        <w:rPr>
          <w:rFonts w:hint="eastAsia" w:ascii="宋体" w:hAnsi="宋体" w:eastAsia="宋体" w:cs="宋体"/>
          <w:sz w:val="32"/>
          <w:szCs w:val="32"/>
          <w:highlight w:val="yellow"/>
          <w:lang w:val="en-US" w:eastAsia="zh-CN"/>
        </w:rPr>
        <w:t>附件2</w:t>
      </w:r>
    </w:p>
    <w:bookmarkEnd w:id="31"/>
    <w:p w14:paraId="0179E87D">
      <w:pPr>
        <w:spacing w:line="360" w:lineRule="auto"/>
        <w:jc w:val="center"/>
        <w:rPr>
          <w:rFonts w:hint="eastAsia" w:ascii="宋体" w:hAnsi="宋体" w:eastAsia="宋体" w:cs="宋体"/>
          <w:color w:val="000000"/>
          <w:sz w:val="32"/>
          <w:szCs w:val="32"/>
        </w:rPr>
      </w:pPr>
      <w:r>
        <w:rPr>
          <w:rFonts w:hint="eastAsia" w:ascii="宋体" w:hAnsi="宋体" w:eastAsia="宋体" w:cs="宋体"/>
          <w:b/>
          <w:bCs/>
          <w:color w:val="000000"/>
          <w:sz w:val="32"/>
          <w:szCs w:val="32"/>
        </w:rPr>
        <w:t>法定代表人授权委托书</w:t>
      </w:r>
    </w:p>
    <w:p w14:paraId="19A97CD6">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本授权委托书声明：我＿＿＿＿＿＿＿（姓名）系＿＿＿＿＿＿＿＿＿＿＿＿＿＿＿＿＿＿＿＿＿＿＿＿（投标人全称）的法定代表人，就</w:t>
      </w:r>
      <w:r>
        <w:rPr>
          <w:rFonts w:ascii="宋体" w:hAnsi="宋体" w:eastAsia="宋体" w:cs="Times New Roman"/>
          <w:b/>
          <w:bCs/>
          <w:color w:val="000000"/>
          <w:sz w:val="24"/>
          <w:szCs w:val="24"/>
          <w:u w:val="single"/>
        </w:rPr>
        <w:t xml:space="preserve"> </w:t>
      </w:r>
      <w:r>
        <w:rPr>
          <w:rFonts w:hint="eastAsia" w:ascii="宋体" w:hAnsi="宋体" w:cs="Times New Roman"/>
          <w:b/>
          <w:bCs/>
          <w:color w:val="000000"/>
          <w:sz w:val="24"/>
          <w:szCs w:val="24"/>
          <w:u w:val="single"/>
          <w:lang w:val="en-US" w:eastAsia="zh-CN"/>
        </w:rPr>
        <w:t xml:space="preserve">                      </w:t>
      </w:r>
      <w:r>
        <w:rPr>
          <w:rFonts w:hint="eastAsia" w:ascii="宋体" w:hAnsi="宋体" w:eastAsia="宋体" w:cs="Times New Roman"/>
          <w:color w:val="000000"/>
          <w:sz w:val="24"/>
          <w:szCs w:val="24"/>
        </w:rPr>
        <w:t>现授权委托＿＿＿＿＿＿＿＿＿＿＿＿＿＿＿＿＿＿＿＿＿＿＿＿＿＿＿＿（单位名称）的＿＿＿＿＿＿＿＿（姓名、职务）为我公司全权代表，全权代表在投标文件、评标过程中的书面承诺、合同等所签署的一切文件和处理与之有关的一切事务，我均予以承认。</w:t>
      </w:r>
    </w:p>
    <w:p w14:paraId="74BF2FA9">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全权代表无转委权。特此委托。</w:t>
      </w:r>
    </w:p>
    <w:tbl>
      <w:tblPr>
        <w:tblStyle w:val="30"/>
        <w:tblW w:w="859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90"/>
      </w:tblGrid>
      <w:tr w14:paraId="57313CD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7" w:hRule="atLeast"/>
          <w:jc w:val="center"/>
        </w:trPr>
        <w:tc>
          <w:tcPr>
            <w:tcW w:w="8590" w:type="dxa"/>
            <w:tcBorders>
              <w:top w:val="single" w:color="auto" w:sz="4" w:space="0"/>
              <w:bottom w:val="single" w:color="auto" w:sz="4" w:space="0"/>
            </w:tcBorders>
            <w:vAlign w:val="center"/>
          </w:tcPr>
          <w:p w14:paraId="6DC2AEF8">
            <w:pPr>
              <w:adjustRightInd w:val="0"/>
              <w:snapToGrid w:val="0"/>
              <w:spacing w:before="93" w:beforeLines="30" w:line="312" w:lineRule="auto"/>
              <w:jc w:val="center"/>
              <w:rPr>
                <w:rFonts w:ascii="宋体" w:hAnsi="Calibri" w:eastAsia="宋体" w:cs="Times New Roman"/>
                <w:sz w:val="24"/>
                <w:szCs w:val="20"/>
                <w:u w:val="none"/>
              </w:rPr>
            </w:pPr>
            <w:r>
              <w:rPr>
                <w:rFonts w:hint="eastAsia" w:ascii="宋体" w:hAnsi="宋体" w:eastAsia="宋体" w:cs="Times New Roman"/>
                <w:sz w:val="24"/>
                <w:szCs w:val="20"/>
              </w:rPr>
              <w:t>附法人身份证明复印件</w:t>
            </w:r>
            <w:r>
              <w:rPr>
                <w:rFonts w:hint="eastAsia" w:ascii="宋体" w:hAnsi="宋体" w:eastAsia="宋体" w:cs="Times New Roman"/>
                <w:sz w:val="24"/>
                <w:szCs w:val="20"/>
                <w:u w:val="none"/>
                <w:lang w:eastAsia="zh-CN"/>
              </w:rPr>
              <w:t>（</w:t>
            </w:r>
            <w:r>
              <w:rPr>
                <w:rFonts w:hint="eastAsia" w:ascii="宋体" w:hAnsi="宋体" w:eastAsia="宋体" w:cs="Times New Roman"/>
                <w:color w:val="000000" w:themeColor="text1"/>
                <w:sz w:val="24"/>
                <w:szCs w:val="20"/>
                <w:u w:val="none"/>
                <w:lang w:val="en-US" w:eastAsia="zh-CN"/>
                <w14:textFill>
                  <w14:solidFill>
                    <w14:schemeClr w14:val="tx1"/>
                  </w14:solidFill>
                </w14:textFill>
              </w:rPr>
              <w:t>正反面）</w:t>
            </w:r>
          </w:p>
          <w:p w14:paraId="0A0449F6">
            <w:pPr>
              <w:adjustRightInd w:val="0"/>
              <w:snapToGrid w:val="0"/>
              <w:spacing w:before="93" w:beforeLines="30" w:line="312" w:lineRule="auto"/>
              <w:jc w:val="center"/>
              <w:rPr>
                <w:rFonts w:ascii="宋体" w:hAnsi="Calibri" w:eastAsia="宋体" w:cs="Times New Roman"/>
                <w:sz w:val="24"/>
                <w:szCs w:val="20"/>
              </w:rPr>
            </w:pPr>
            <w:r>
              <w:rPr>
                <w:rFonts w:hint="eastAsia" w:ascii="宋体" w:hAnsi="宋体" w:eastAsia="宋体" w:cs="Times New Roman"/>
                <w:sz w:val="24"/>
                <w:szCs w:val="20"/>
              </w:rPr>
              <w:t>附授权代理人身份证明复印件</w:t>
            </w:r>
            <w:r>
              <w:rPr>
                <w:rFonts w:hint="eastAsia" w:ascii="宋体" w:hAnsi="宋体" w:eastAsia="宋体" w:cs="Times New Roman"/>
                <w:sz w:val="24"/>
                <w:szCs w:val="20"/>
                <w:lang w:eastAsia="zh-CN"/>
              </w:rPr>
              <w:t>（</w:t>
            </w:r>
            <w:r>
              <w:rPr>
                <w:rFonts w:hint="eastAsia" w:ascii="宋体" w:hAnsi="宋体" w:eastAsia="宋体" w:cs="Times New Roman"/>
                <w:sz w:val="24"/>
                <w:szCs w:val="20"/>
                <w:lang w:val="en-US" w:eastAsia="zh-CN"/>
              </w:rPr>
              <w:t>正反面</w:t>
            </w:r>
            <w:r>
              <w:rPr>
                <w:rFonts w:hint="eastAsia" w:ascii="宋体" w:hAnsi="宋体" w:eastAsia="宋体" w:cs="Times New Roman"/>
                <w:sz w:val="24"/>
                <w:szCs w:val="20"/>
                <w:lang w:eastAsia="zh-CN"/>
              </w:rPr>
              <w:t>）</w:t>
            </w:r>
          </w:p>
        </w:tc>
      </w:tr>
    </w:tbl>
    <w:p w14:paraId="37BFA8A8">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全权代表姓名：</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性别：</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年龄：</w:t>
      </w:r>
    </w:p>
    <w:p w14:paraId="3B6DD363">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单位：</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部门：</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职务：</w:t>
      </w:r>
    </w:p>
    <w:p w14:paraId="0F64A2A6">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法定代表人签字或盖章</w:t>
      </w:r>
      <w:r>
        <w:rPr>
          <w:rFonts w:ascii="宋体" w:hAnsi="宋体" w:eastAsia="宋体" w:cs="Times New Roman"/>
          <w:color w:val="000000"/>
          <w:sz w:val="24"/>
          <w:szCs w:val="24"/>
        </w:rPr>
        <w:t xml:space="preserve">                          </w:t>
      </w:r>
    </w:p>
    <w:p w14:paraId="100F211A">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被授权人签字</w:t>
      </w:r>
      <w:r>
        <w:rPr>
          <w:rFonts w:ascii="宋体" w:hAnsi="宋体" w:eastAsia="宋体" w:cs="Times New Roman"/>
          <w:color w:val="000000"/>
          <w:sz w:val="24"/>
          <w:szCs w:val="24"/>
        </w:rPr>
        <w:t xml:space="preserve">  </w:t>
      </w:r>
    </w:p>
    <w:p w14:paraId="7B47F762">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被授权人电话：</w:t>
      </w:r>
      <w:r>
        <w:rPr>
          <w:rFonts w:ascii="宋体" w:hAnsi="宋体" w:eastAsia="宋体" w:cs="Times New Roman"/>
          <w:color w:val="000000"/>
          <w:sz w:val="24"/>
          <w:szCs w:val="24"/>
        </w:rPr>
        <w:t xml:space="preserve">   </w:t>
      </w:r>
    </w:p>
    <w:p w14:paraId="6B9DBB7C">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投标人名称（公章）</w:t>
      </w:r>
      <w:r>
        <w:rPr>
          <w:rFonts w:ascii="宋体" w:hAnsi="宋体" w:eastAsia="宋体" w:cs="Times New Roman"/>
          <w:color w:val="000000"/>
          <w:sz w:val="24"/>
          <w:szCs w:val="24"/>
        </w:rPr>
        <w:t xml:space="preserve">                       </w:t>
      </w:r>
    </w:p>
    <w:p w14:paraId="152336F1">
      <w:pPr>
        <w:spacing w:line="460" w:lineRule="exact"/>
        <w:ind w:firstLine="5520" w:firstLineChars="2300"/>
        <w:rPr>
          <w:rFonts w:ascii="宋体" w:hAnsi="Calibri" w:eastAsia="宋体" w:cs="Times New Roman"/>
          <w:sz w:val="24"/>
          <w:szCs w:val="20"/>
          <w:u w:val="single"/>
        </w:rPr>
      </w:pPr>
      <w:r>
        <w:rPr>
          <w:rFonts w:ascii="宋体" w:hAnsi="宋体" w:eastAsia="宋体" w:cs="Times New Roman"/>
          <w:sz w:val="24"/>
          <w:szCs w:val="20"/>
          <w:u w:val="single"/>
        </w:rPr>
        <w:t xml:space="preserve">      </w:t>
      </w:r>
      <w:r>
        <w:rPr>
          <w:rFonts w:hint="eastAsia" w:ascii="宋体" w:hAnsi="宋体" w:eastAsia="宋体" w:cs="Times New Roman"/>
          <w:sz w:val="24"/>
          <w:szCs w:val="20"/>
        </w:rPr>
        <w:t>年</w:t>
      </w:r>
      <w:r>
        <w:rPr>
          <w:rFonts w:ascii="宋体" w:hAnsi="宋体" w:eastAsia="宋体" w:cs="Times New Roman"/>
          <w:sz w:val="24"/>
          <w:szCs w:val="20"/>
          <w:u w:val="single"/>
        </w:rPr>
        <w:t xml:space="preserve">   </w:t>
      </w:r>
      <w:r>
        <w:rPr>
          <w:rFonts w:hint="eastAsia" w:ascii="宋体" w:hAnsi="宋体" w:eastAsia="宋体" w:cs="Times New Roman"/>
          <w:sz w:val="24"/>
          <w:szCs w:val="20"/>
        </w:rPr>
        <w:t>月</w:t>
      </w:r>
      <w:r>
        <w:rPr>
          <w:rFonts w:ascii="宋体" w:hAnsi="宋体" w:eastAsia="宋体" w:cs="Times New Roman"/>
          <w:sz w:val="24"/>
          <w:szCs w:val="20"/>
          <w:u w:val="single"/>
        </w:rPr>
        <w:t xml:space="preserve">   </w:t>
      </w:r>
      <w:r>
        <w:rPr>
          <w:rFonts w:hint="eastAsia" w:ascii="宋体" w:hAnsi="宋体" w:eastAsia="宋体" w:cs="Times New Roman"/>
          <w:sz w:val="24"/>
          <w:szCs w:val="20"/>
        </w:rPr>
        <w:t>日</w:t>
      </w:r>
    </w:p>
    <w:p w14:paraId="2B3FEAEC">
      <w:pPr>
        <w:spacing w:line="360" w:lineRule="auto"/>
        <w:ind w:firstLine="4800" w:firstLineChars="2000"/>
        <w:rPr>
          <w:rFonts w:ascii="宋体" w:hAnsi="宋体" w:cs="宋体"/>
          <w:sz w:val="24"/>
          <w:szCs w:val="21"/>
        </w:rPr>
      </w:pPr>
    </w:p>
    <w:p w14:paraId="42BBE3A2">
      <w:pPr>
        <w:spacing w:line="360" w:lineRule="auto"/>
        <w:ind w:firstLine="4800" w:firstLineChars="2000"/>
        <w:rPr>
          <w:rFonts w:ascii="宋体" w:hAnsi="宋体" w:cs="宋体"/>
          <w:sz w:val="24"/>
          <w:szCs w:val="21"/>
        </w:rPr>
      </w:pPr>
    </w:p>
    <w:p w14:paraId="3D18A567">
      <w:pPr>
        <w:spacing w:line="360" w:lineRule="auto"/>
        <w:ind w:firstLine="4800" w:firstLineChars="2000"/>
        <w:rPr>
          <w:rFonts w:ascii="宋体" w:hAnsi="宋体" w:cs="宋体"/>
          <w:sz w:val="24"/>
          <w:szCs w:val="21"/>
        </w:rPr>
      </w:pPr>
    </w:p>
    <w:p w14:paraId="758E3B4E">
      <w:pPr>
        <w:spacing w:line="360" w:lineRule="auto"/>
        <w:ind w:firstLine="4800" w:firstLineChars="2000"/>
        <w:rPr>
          <w:rFonts w:ascii="宋体" w:hAnsi="宋体" w:cs="宋体"/>
          <w:sz w:val="24"/>
          <w:szCs w:val="21"/>
        </w:rPr>
      </w:pPr>
    </w:p>
    <w:p w14:paraId="69663AF6">
      <w:pPr>
        <w:pStyle w:val="14"/>
      </w:pPr>
    </w:p>
    <w:p w14:paraId="3A5DEF51">
      <w:pPr>
        <w:spacing w:line="360" w:lineRule="auto"/>
        <w:rPr>
          <w:rFonts w:ascii="宋体" w:hAnsi="宋体" w:cs="宋体"/>
          <w:sz w:val="24"/>
          <w:szCs w:val="21"/>
        </w:rPr>
      </w:pPr>
    </w:p>
    <w:bookmarkEnd w:id="32"/>
    <w:bookmarkEnd w:id="33"/>
    <w:p w14:paraId="4C5E367C">
      <w:pPr>
        <w:rPr>
          <w:rFonts w:hint="eastAsia" w:ascii="仿宋_GB2312" w:eastAsia="仿宋_GB2312"/>
          <w:b/>
          <w:bCs/>
          <w:sz w:val="28"/>
          <w:szCs w:val="28"/>
        </w:rPr>
      </w:pPr>
      <w:r>
        <w:rPr>
          <w:rFonts w:hint="eastAsia" w:ascii="宋体" w:hAnsi="宋体" w:eastAsia="宋体" w:cs="宋体"/>
          <w:sz w:val="32"/>
          <w:szCs w:val="32"/>
          <w:highlight w:val="yellow"/>
          <w:lang w:val="en-US" w:eastAsia="zh-CN"/>
        </w:rPr>
        <w:t>附件3</w:t>
      </w:r>
      <w:r>
        <w:rPr>
          <w:rFonts w:hint="eastAsia" w:ascii="仿宋_GB2312" w:eastAsia="仿宋_GB2312"/>
          <w:b/>
          <w:bCs/>
          <w:sz w:val="28"/>
          <w:szCs w:val="28"/>
        </w:rPr>
        <w:t>开标一览标</w:t>
      </w:r>
    </w:p>
    <w:p w14:paraId="00DDD84C">
      <w:pPr>
        <w:spacing w:after="0"/>
        <w:rPr>
          <w:rFonts w:hint="eastAsia" w:ascii="仿宋_GB2312" w:eastAsia="仿宋_GB2312"/>
          <w:b/>
          <w:bCs/>
          <w:sz w:val="28"/>
          <w:szCs w:val="28"/>
        </w:rPr>
      </w:pPr>
      <w:r>
        <w:rPr>
          <w:rFonts w:hint="eastAsia" w:ascii="仿宋_GB2312" w:eastAsia="仿宋_GB2312"/>
          <w:b/>
          <w:bCs/>
          <w:sz w:val="28"/>
          <w:szCs w:val="28"/>
        </w:rPr>
        <w:t>项目名称：</w:t>
      </w:r>
      <w:r>
        <w:rPr>
          <w:rFonts w:hint="eastAsia" w:ascii="仿宋_GB2312" w:eastAsia="仿宋_GB2312"/>
          <w:b/>
          <w:bCs/>
          <w:sz w:val="28"/>
          <w:szCs w:val="28"/>
          <w:lang w:val="en-US" w:eastAsia="zh-CN"/>
        </w:rPr>
        <w:t>车桥公司</w:t>
      </w:r>
      <w:r>
        <w:rPr>
          <w:rFonts w:hint="eastAsia" w:ascii="仿宋_GB2312" w:eastAsia="仿宋_GB2312"/>
          <w:b/>
          <w:bCs/>
          <w:sz w:val="28"/>
          <w:szCs w:val="28"/>
        </w:rPr>
        <w:t>2026 年度危险废物处置项目</w:t>
      </w:r>
    </w:p>
    <w:p w14:paraId="3B34FBFA">
      <w:pPr>
        <w:spacing w:after="0"/>
        <w:rPr>
          <w:rFonts w:hint="eastAsia" w:ascii="仿宋_GB2312" w:eastAsia="仿宋_GB2312"/>
          <w:b/>
          <w:bCs/>
          <w:sz w:val="28"/>
          <w:szCs w:val="28"/>
        </w:rPr>
      </w:pPr>
      <w:r>
        <w:rPr>
          <w:rFonts w:hint="eastAsia" w:ascii="仿宋_GB2312" w:eastAsia="仿宋_GB2312"/>
          <w:b/>
          <w:bCs/>
          <w:sz w:val="28"/>
          <w:szCs w:val="28"/>
        </w:rPr>
        <w:t>日期：  年   月   日</w:t>
      </w:r>
    </w:p>
    <w:p w14:paraId="75768299">
      <w:pPr>
        <w:jc w:val="center"/>
        <w:rPr>
          <w:rFonts w:hint="eastAsia" w:ascii="仿宋_GB2312" w:eastAsia="仿宋_GB2312"/>
          <w:b/>
          <w:bCs/>
          <w:sz w:val="28"/>
          <w:szCs w:val="28"/>
        </w:rPr>
      </w:pPr>
      <w:r>
        <w:rPr>
          <w:rFonts w:hint="eastAsia" w:ascii="仿宋_GB2312" w:eastAsia="仿宋_GB2312"/>
          <w:b/>
          <w:bCs/>
          <w:sz w:val="28"/>
          <w:szCs w:val="28"/>
        </w:rPr>
        <w:t>开标一览表</w:t>
      </w:r>
    </w:p>
    <w:tbl>
      <w:tblPr>
        <w:tblStyle w:val="3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4"/>
        <w:gridCol w:w="897"/>
        <w:gridCol w:w="2425"/>
        <w:gridCol w:w="682"/>
        <w:gridCol w:w="147"/>
        <w:gridCol w:w="934"/>
        <w:gridCol w:w="934"/>
        <w:gridCol w:w="1176"/>
        <w:gridCol w:w="1176"/>
        <w:gridCol w:w="461"/>
      </w:tblGrid>
      <w:tr w14:paraId="0973A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 w:type="pct"/>
            <w:vMerge w:val="restart"/>
            <w:vAlign w:val="center"/>
          </w:tcPr>
          <w:p w14:paraId="59F32FBB">
            <w:pPr>
              <w:snapToGrid w:val="0"/>
              <w:spacing w:after="0" w:line="240" w:lineRule="auto"/>
              <w:jc w:val="center"/>
              <w:rPr>
                <w:rFonts w:hint="eastAsia" w:ascii="仿宋_GB2312" w:hAnsi="宋体" w:eastAsia="仿宋_GB2312"/>
                <w:sz w:val="24"/>
              </w:rPr>
            </w:pPr>
            <w:r>
              <w:rPr>
                <w:rFonts w:hint="eastAsia" w:ascii="仿宋_GB2312" w:hAnsi="宋体" w:eastAsia="仿宋_GB2312"/>
                <w:sz w:val="24"/>
              </w:rPr>
              <w:t>价格承诺</w:t>
            </w:r>
          </w:p>
        </w:tc>
        <w:tc>
          <w:tcPr>
            <w:tcW w:w="482" w:type="pct"/>
            <w:vAlign w:val="center"/>
          </w:tcPr>
          <w:p w14:paraId="2CAC6D82">
            <w:pPr>
              <w:snapToGrid w:val="0"/>
              <w:spacing w:after="0" w:line="240" w:lineRule="auto"/>
              <w:jc w:val="center"/>
              <w:rPr>
                <w:rFonts w:hint="eastAsia" w:ascii="仿宋_GB2312" w:eastAsia="仿宋_GB2312"/>
                <w:sz w:val="24"/>
              </w:rPr>
            </w:pPr>
            <w:r>
              <w:rPr>
                <w:rFonts w:hint="eastAsia" w:ascii="仿宋_GB2312" w:hAnsi="宋体" w:eastAsia="仿宋_GB2312"/>
                <w:sz w:val="24"/>
              </w:rPr>
              <w:t>危废名称</w:t>
            </w:r>
          </w:p>
        </w:tc>
        <w:tc>
          <w:tcPr>
            <w:tcW w:w="1305" w:type="pct"/>
            <w:vAlign w:val="center"/>
          </w:tcPr>
          <w:p w14:paraId="31A95A5C">
            <w:pPr>
              <w:snapToGrid w:val="0"/>
              <w:spacing w:after="0" w:line="240" w:lineRule="auto"/>
              <w:jc w:val="center"/>
              <w:rPr>
                <w:rFonts w:hint="eastAsia" w:ascii="仿宋_GB2312" w:hAnsi="宋体" w:eastAsia="仿宋_GB2312"/>
                <w:sz w:val="24"/>
              </w:rPr>
            </w:pPr>
            <w:r>
              <w:rPr>
                <w:rFonts w:hint="eastAsia" w:ascii="仿宋_GB2312" w:hAnsi="宋体" w:eastAsia="仿宋_GB2312"/>
                <w:sz w:val="24"/>
              </w:rPr>
              <w:t>危废编号</w:t>
            </w:r>
          </w:p>
        </w:tc>
        <w:tc>
          <w:tcPr>
            <w:tcW w:w="446" w:type="pct"/>
            <w:gridSpan w:val="2"/>
          </w:tcPr>
          <w:p w14:paraId="4C6F2E11">
            <w:pPr>
              <w:snapToGrid w:val="0"/>
              <w:spacing w:after="0" w:line="240" w:lineRule="auto"/>
              <w:jc w:val="center"/>
              <w:rPr>
                <w:rFonts w:hint="eastAsia" w:ascii="仿宋_GB2312" w:hAnsi="宋体" w:eastAsia="仿宋_GB2312"/>
                <w:sz w:val="24"/>
              </w:rPr>
            </w:pPr>
            <w:r>
              <w:rPr>
                <w:rFonts w:hint="eastAsia" w:ascii="仿宋_GB2312" w:hAnsi="宋体" w:eastAsia="仿宋_GB2312"/>
                <w:sz w:val="24"/>
              </w:rPr>
              <w:t>2026年预测产生量（吨）</w:t>
            </w:r>
          </w:p>
        </w:tc>
        <w:tc>
          <w:tcPr>
            <w:tcW w:w="502" w:type="pct"/>
            <w:vAlign w:val="center"/>
          </w:tcPr>
          <w:p w14:paraId="4FD8F23D">
            <w:pPr>
              <w:snapToGrid w:val="0"/>
              <w:spacing w:after="0" w:line="240" w:lineRule="auto"/>
              <w:jc w:val="center"/>
              <w:rPr>
                <w:rFonts w:hint="eastAsia" w:ascii="仿宋_GB2312" w:hAnsi="宋体" w:eastAsia="仿宋_GB2312"/>
                <w:sz w:val="24"/>
              </w:rPr>
            </w:pPr>
            <w:r>
              <w:rPr>
                <w:rFonts w:hint="eastAsia" w:ascii="仿宋_GB2312" w:hAnsi="宋体" w:eastAsia="仿宋_GB2312"/>
                <w:sz w:val="24"/>
              </w:rPr>
              <w:t>单价</w:t>
            </w:r>
          </w:p>
          <w:p w14:paraId="0AEDE9DF">
            <w:pPr>
              <w:snapToGrid w:val="0"/>
              <w:spacing w:after="0" w:line="240" w:lineRule="auto"/>
              <w:jc w:val="center"/>
              <w:rPr>
                <w:rFonts w:hint="eastAsia" w:ascii="仿宋_GB2312" w:hAnsi="宋体" w:eastAsia="仿宋_GB2312"/>
                <w:sz w:val="24"/>
              </w:rPr>
            </w:pPr>
            <w:r>
              <w:rPr>
                <w:rFonts w:hint="eastAsia" w:ascii="仿宋_GB2312" w:hAnsi="宋体" w:eastAsia="仿宋_GB2312"/>
                <w:sz w:val="24"/>
              </w:rPr>
              <w:t>（元/吨），含税价</w:t>
            </w:r>
          </w:p>
        </w:tc>
        <w:tc>
          <w:tcPr>
            <w:tcW w:w="502" w:type="pct"/>
          </w:tcPr>
          <w:p w14:paraId="28987491">
            <w:pPr>
              <w:snapToGrid w:val="0"/>
              <w:spacing w:after="0" w:line="240" w:lineRule="auto"/>
              <w:jc w:val="center"/>
              <w:rPr>
                <w:rFonts w:hint="eastAsia" w:ascii="仿宋_GB2312" w:hAnsi="宋体" w:eastAsia="仿宋_GB2312"/>
                <w:sz w:val="24"/>
              </w:rPr>
            </w:pPr>
            <w:r>
              <w:rPr>
                <w:rFonts w:hint="eastAsia" w:ascii="仿宋_GB2312" w:hAnsi="宋体" w:eastAsia="仿宋_GB2312"/>
                <w:sz w:val="24"/>
              </w:rPr>
              <w:t>单价</w:t>
            </w:r>
          </w:p>
          <w:p w14:paraId="4072A439">
            <w:pPr>
              <w:snapToGrid w:val="0"/>
              <w:spacing w:after="0" w:line="240" w:lineRule="auto"/>
              <w:jc w:val="center"/>
              <w:rPr>
                <w:rFonts w:hint="eastAsia" w:ascii="仿宋_GB2312" w:hAnsi="宋体" w:eastAsia="仿宋_GB2312"/>
                <w:sz w:val="24"/>
              </w:rPr>
            </w:pPr>
            <w:r>
              <w:rPr>
                <w:rFonts w:hint="eastAsia" w:ascii="仿宋_GB2312" w:hAnsi="宋体" w:eastAsia="仿宋_GB2312"/>
                <w:sz w:val="24"/>
              </w:rPr>
              <w:t>（元/吨），未税价</w:t>
            </w:r>
          </w:p>
        </w:tc>
        <w:tc>
          <w:tcPr>
            <w:tcW w:w="633" w:type="pct"/>
            <w:vAlign w:val="center"/>
          </w:tcPr>
          <w:p w14:paraId="123AE33F">
            <w:pPr>
              <w:snapToGrid w:val="0"/>
              <w:spacing w:after="0" w:line="240" w:lineRule="auto"/>
              <w:jc w:val="center"/>
              <w:rPr>
                <w:rFonts w:hint="eastAsia" w:ascii="仿宋_GB2312" w:hAnsi="宋体" w:eastAsia="仿宋_GB2312"/>
                <w:sz w:val="24"/>
              </w:rPr>
            </w:pPr>
            <w:r>
              <w:rPr>
                <w:rFonts w:hint="eastAsia" w:ascii="仿宋_GB2312" w:hAnsi="宋体" w:eastAsia="仿宋_GB2312"/>
                <w:sz w:val="24"/>
              </w:rPr>
              <w:t>总价</w:t>
            </w:r>
          </w:p>
          <w:p w14:paraId="4771B5DE">
            <w:pPr>
              <w:snapToGrid w:val="0"/>
              <w:spacing w:after="0" w:line="240" w:lineRule="auto"/>
              <w:jc w:val="center"/>
              <w:rPr>
                <w:rFonts w:hint="eastAsia" w:ascii="仿宋_GB2312" w:hAnsi="宋体" w:eastAsia="仿宋_GB2312"/>
                <w:sz w:val="24"/>
              </w:rPr>
            </w:pPr>
            <w:r>
              <w:rPr>
                <w:rFonts w:hint="eastAsia" w:ascii="仿宋_GB2312" w:hAnsi="宋体" w:eastAsia="仿宋_GB2312"/>
                <w:sz w:val="24"/>
              </w:rPr>
              <w:t>（元），含税价</w:t>
            </w:r>
          </w:p>
        </w:tc>
        <w:tc>
          <w:tcPr>
            <w:tcW w:w="633" w:type="pct"/>
          </w:tcPr>
          <w:p w14:paraId="64B0D53B">
            <w:pPr>
              <w:snapToGrid w:val="0"/>
              <w:spacing w:after="0" w:line="240" w:lineRule="auto"/>
              <w:jc w:val="center"/>
              <w:rPr>
                <w:rFonts w:hint="eastAsia" w:ascii="仿宋_GB2312" w:hAnsi="宋体" w:eastAsia="仿宋_GB2312"/>
                <w:sz w:val="24"/>
              </w:rPr>
            </w:pPr>
            <w:r>
              <w:rPr>
                <w:rFonts w:hint="eastAsia" w:ascii="仿宋_GB2312" w:hAnsi="宋体" w:eastAsia="仿宋_GB2312"/>
                <w:sz w:val="24"/>
              </w:rPr>
              <w:t>总价</w:t>
            </w:r>
          </w:p>
          <w:p w14:paraId="0CB36AA2">
            <w:pPr>
              <w:snapToGrid w:val="0"/>
              <w:spacing w:after="0" w:line="240" w:lineRule="auto"/>
              <w:jc w:val="center"/>
              <w:rPr>
                <w:rFonts w:hint="eastAsia" w:ascii="仿宋_GB2312" w:hAnsi="宋体" w:eastAsia="仿宋_GB2312"/>
                <w:sz w:val="24"/>
              </w:rPr>
            </w:pPr>
            <w:r>
              <w:rPr>
                <w:rFonts w:hint="eastAsia" w:ascii="仿宋_GB2312" w:hAnsi="宋体" w:eastAsia="仿宋_GB2312"/>
                <w:sz w:val="24"/>
              </w:rPr>
              <w:t>（元），未税价</w:t>
            </w:r>
          </w:p>
        </w:tc>
        <w:tc>
          <w:tcPr>
            <w:tcW w:w="248" w:type="pct"/>
          </w:tcPr>
          <w:p w14:paraId="0D8393B8">
            <w:pPr>
              <w:snapToGrid w:val="0"/>
              <w:spacing w:after="0" w:line="240" w:lineRule="auto"/>
              <w:jc w:val="center"/>
              <w:rPr>
                <w:rFonts w:hint="eastAsia" w:ascii="仿宋_GB2312" w:hAnsi="宋体" w:eastAsia="仿宋_GB2312"/>
                <w:sz w:val="24"/>
              </w:rPr>
            </w:pPr>
          </w:p>
          <w:p w14:paraId="251B0672">
            <w:pPr>
              <w:snapToGrid w:val="0"/>
              <w:spacing w:after="0" w:line="240" w:lineRule="auto"/>
              <w:jc w:val="center"/>
              <w:rPr>
                <w:rFonts w:hint="eastAsia" w:ascii="仿宋_GB2312" w:hAnsi="宋体" w:eastAsia="仿宋_GB2312"/>
                <w:sz w:val="24"/>
              </w:rPr>
            </w:pPr>
            <w:r>
              <w:rPr>
                <w:rFonts w:hint="eastAsia" w:ascii="仿宋_GB2312" w:hAnsi="宋体" w:eastAsia="仿宋_GB2312"/>
                <w:sz w:val="24"/>
              </w:rPr>
              <w:t>税率</w:t>
            </w:r>
          </w:p>
        </w:tc>
      </w:tr>
      <w:tr w14:paraId="7EC11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7" w:hRule="atLeast"/>
        </w:trPr>
        <w:tc>
          <w:tcPr>
            <w:tcW w:w="244" w:type="pct"/>
            <w:vMerge w:val="continue"/>
            <w:vAlign w:val="center"/>
          </w:tcPr>
          <w:p w14:paraId="130D3D57">
            <w:pPr>
              <w:snapToGrid w:val="0"/>
              <w:spacing w:after="0" w:line="240" w:lineRule="auto"/>
              <w:jc w:val="center"/>
              <w:rPr>
                <w:rFonts w:hint="eastAsia" w:ascii="仿宋_GB2312" w:hAnsi="宋体" w:eastAsia="仿宋_GB2312"/>
                <w:sz w:val="24"/>
              </w:rPr>
            </w:pPr>
          </w:p>
        </w:tc>
        <w:tc>
          <w:tcPr>
            <w:tcW w:w="482" w:type="pct"/>
            <w:vAlign w:val="center"/>
          </w:tcPr>
          <w:p w14:paraId="6C84625A">
            <w:pPr>
              <w:snapToGrid w:val="0"/>
              <w:spacing w:after="0" w:line="240" w:lineRule="auto"/>
              <w:jc w:val="center"/>
              <w:rPr>
                <w:rFonts w:hint="default" w:ascii="仿宋_GB2312" w:hAnsi="宋体" w:eastAsia="仿宋_GB2312"/>
                <w:sz w:val="24"/>
                <w:lang w:val="en-US" w:eastAsia="zh-CN"/>
              </w:rPr>
            </w:pPr>
            <w:r>
              <w:rPr>
                <w:rFonts w:hint="eastAsia" w:ascii="仿宋_GB2312" w:hAnsi="宋体" w:eastAsia="仿宋_GB2312"/>
                <w:sz w:val="24"/>
                <w:lang w:val="en-US" w:eastAsia="zh-CN"/>
              </w:rPr>
              <w:t>废过滤棉</w:t>
            </w:r>
          </w:p>
        </w:tc>
        <w:tc>
          <w:tcPr>
            <w:tcW w:w="1305" w:type="pct"/>
            <w:vAlign w:val="center"/>
          </w:tcPr>
          <w:p w14:paraId="4F9AFFB8">
            <w:pPr>
              <w:snapToGrid w:val="0"/>
              <w:spacing w:after="0" w:line="240" w:lineRule="auto"/>
              <w:jc w:val="center"/>
              <w:rPr>
                <w:rFonts w:hint="eastAsia" w:ascii="仿宋_GB2312" w:hAnsi="宋体" w:eastAsia="仿宋_GB2312"/>
                <w:sz w:val="24"/>
                <w:lang w:eastAsia="zh-CN"/>
              </w:rPr>
            </w:pPr>
            <w:r>
              <w:rPr>
                <w:rFonts w:hint="eastAsia" w:ascii="仿宋_GB2312" w:hAnsi="宋体" w:eastAsia="仿宋_GB2312"/>
                <w:sz w:val="24"/>
              </w:rPr>
              <w:t>HW49</w:t>
            </w:r>
            <w:r>
              <w:rPr>
                <w:rFonts w:hint="eastAsia" w:ascii="仿宋_GB2312" w:hAnsi="宋体" w:eastAsia="仿宋_GB2312"/>
                <w:sz w:val="24"/>
                <w:lang w:eastAsia="zh-CN"/>
              </w:rPr>
              <w:t>（</w:t>
            </w:r>
            <w:r>
              <w:rPr>
                <w:rFonts w:hint="eastAsia" w:ascii="仿宋_GB2312" w:hAnsi="宋体" w:eastAsia="仿宋_GB2312" w:cs="Times New Roman"/>
                <w:sz w:val="24"/>
                <w:lang w:val="en-US" w:eastAsia="zh-CN"/>
              </w:rPr>
              <w:t>900-041-49</w:t>
            </w:r>
            <w:r>
              <w:rPr>
                <w:rFonts w:hint="eastAsia" w:ascii="仿宋_GB2312" w:hAnsi="宋体" w:eastAsia="仿宋_GB2312"/>
                <w:sz w:val="24"/>
                <w:lang w:eastAsia="zh-CN"/>
              </w:rPr>
              <w:t>）</w:t>
            </w:r>
          </w:p>
        </w:tc>
        <w:tc>
          <w:tcPr>
            <w:tcW w:w="446" w:type="pct"/>
            <w:gridSpan w:val="2"/>
            <w:vAlign w:val="center"/>
          </w:tcPr>
          <w:p w14:paraId="1371FEA8">
            <w:pPr>
              <w:snapToGrid w:val="0"/>
              <w:spacing w:after="0" w:line="240" w:lineRule="auto"/>
              <w:jc w:val="center"/>
              <w:rPr>
                <w:rFonts w:hint="eastAsia" w:ascii="仿宋_GB2312" w:hAnsi="宋体" w:eastAsia="仿宋_GB2312"/>
                <w:sz w:val="24"/>
              </w:rPr>
            </w:pPr>
            <w:r>
              <w:rPr>
                <w:rFonts w:hint="eastAsia" w:ascii="仿宋_GB2312" w:hAnsi="宋体" w:eastAsia="仿宋_GB2312"/>
                <w:sz w:val="24"/>
              </w:rPr>
              <w:t>37</w:t>
            </w:r>
          </w:p>
        </w:tc>
        <w:tc>
          <w:tcPr>
            <w:tcW w:w="502" w:type="pct"/>
            <w:vAlign w:val="center"/>
          </w:tcPr>
          <w:p w14:paraId="45AC18D2">
            <w:pPr>
              <w:snapToGrid w:val="0"/>
              <w:spacing w:after="0" w:line="240" w:lineRule="auto"/>
              <w:jc w:val="center"/>
              <w:rPr>
                <w:rFonts w:hint="eastAsia" w:ascii="仿宋_GB2312" w:hAnsi="宋体" w:eastAsia="仿宋_GB2312"/>
                <w:sz w:val="24"/>
              </w:rPr>
            </w:pPr>
          </w:p>
        </w:tc>
        <w:tc>
          <w:tcPr>
            <w:tcW w:w="502" w:type="pct"/>
          </w:tcPr>
          <w:p w14:paraId="588F2963">
            <w:pPr>
              <w:snapToGrid w:val="0"/>
              <w:spacing w:after="0" w:line="240" w:lineRule="auto"/>
              <w:jc w:val="center"/>
              <w:rPr>
                <w:rFonts w:hint="eastAsia" w:ascii="仿宋_GB2312" w:hAnsi="宋体" w:eastAsia="仿宋_GB2312"/>
                <w:sz w:val="24"/>
              </w:rPr>
            </w:pPr>
          </w:p>
        </w:tc>
        <w:tc>
          <w:tcPr>
            <w:tcW w:w="633" w:type="pct"/>
          </w:tcPr>
          <w:p w14:paraId="4B97087D">
            <w:pPr>
              <w:snapToGrid w:val="0"/>
              <w:spacing w:after="0" w:line="240" w:lineRule="auto"/>
              <w:jc w:val="center"/>
              <w:rPr>
                <w:rFonts w:hint="eastAsia" w:ascii="仿宋_GB2312" w:hAnsi="宋体" w:eastAsia="仿宋_GB2312"/>
                <w:sz w:val="24"/>
              </w:rPr>
            </w:pPr>
          </w:p>
        </w:tc>
        <w:tc>
          <w:tcPr>
            <w:tcW w:w="633" w:type="pct"/>
          </w:tcPr>
          <w:p w14:paraId="220DFEB2">
            <w:pPr>
              <w:snapToGrid w:val="0"/>
              <w:spacing w:after="0" w:line="240" w:lineRule="auto"/>
              <w:jc w:val="center"/>
              <w:rPr>
                <w:rFonts w:hint="eastAsia" w:ascii="仿宋_GB2312" w:hAnsi="宋体" w:eastAsia="仿宋_GB2312"/>
                <w:sz w:val="24"/>
              </w:rPr>
            </w:pPr>
          </w:p>
        </w:tc>
        <w:tc>
          <w:tcPr>
            <w:tcW w:w="248" w:type="pct"/>
          </w:tcPr>
          <w:p w14:paraId="4D8FF884">
            <w:pPr>
              <w:snapToGrid w:val="0"/>
              <w:spacing w:after="0" w:line="240" w:lineRule="auto"/>
              <w:jc w:val="center"/>
              <w:rPr>
                <w:rFonts w:hint="eastAsia" w:ascii="仿宋_GB2312" w:hAnsi="宋体" w:eastAsia="仿宋_GB2312"/>
                <w:sz w:val="24"/>
              </w:rPr>
            </w:pPr>
          </w:p>
        </w:tc>
      </w:tr>
      <w:tr w14:paraId="0ECBE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7" w:hRule="atLeast"/>
        </w:trPr>
        <w:tc>
          <w:tcPr>
            <w:tcW w:w="244" w:type="pct"/>
            <w:vMerge w:val="continue"/>
            <w:vAlign w:val="center"/>
          </w:tcPr>
          <w:p w14:paraId="0DA4D5E2">
            <w:pPr>
              <w:snapToGrid w:val="0"/>
              <w:spacing w:after="0" w:line="240" w:lineRule="auto"/>
              <w:jc w:val="center"/>
              <w:rPr>
                <w:rFonts w:hint="eastAsia" w:ascii="仿宋_GB2312" w:hAnsi="宋体" w:eastAsia="仿宋_GB2312"/>
                <w:sz w:val="24"/>
              </w:rPr>
            </w:pPr>
          </w:p>
        </w:tc>
        <w:tc>
          <w:tcPr>
            <w:tcW w:w="482" w:type="pct"/>
            <w:vAlign w:val="center"/>
          </w:tcPr>
          <w:p w14:paraId="670D2E06">
            <w:pPr>
              <w:snapToGrid w:val="0"/>
              <w:spacing w:after="0" w:line="240" w:lineRule="auto"/>
              <w:jc w:val="center"/>
              <w:rPr>
                <w:rFonts w:hint="eastAsia" w:ascii="仿宋_GB2312" w:hAnsi="宋体" w:eastAsia="仿宋_GB2312"/>
                <w:sz w:val="24"/>
                <w:lang w:val="en-US" w:eastAsia="zh-CN"/>
              </w:rPr>
            </w:pPr>
            <w:r>
              <w:rPr>
                <w:rFonts w:hint="eastAsia" w:ascii="仿宋_GB2312" w:hAnsi="宋体" w:eastAsia="仿宋_GB2312"/>
                <w:sz w:val="24"/>
                <w:lang w:val="en-US" w:eastAsia="zh-CN"/>
              </w:rPr>
              <w:t>废漆渣</w:t>
            </w:r>
          </w:p>
        </w:tc>
        <w:tc>
          <w:tcPr>
            <w:tcW w:w="1305" w:type="pct"/>
            <w:shd w:val="clear" w:color="auto" w:fill="auto"/>
            <w:vAlign w:val="center"/>
          </w:tcPr>
          <w:p w14:paraId="7740E7C8">
            <w:pPr>
              <w:snapToGrid w:val="0"/>
              <w:jc w:val="center"/>
              <w:rPr>
                <w:rFonts w:hint="eastAsia" w:ascii="仿宋_GB2312" w:hAnsi="宋体" w:eastAsia="仿宋_GB2312" w:cs="Times New Roman"/>
                <w:kern w:val="2"/>
                <w:sz w:val="24"/>
                <w:lang w:val="en-US" w:eastAsia="zh-CN" w:bidi="ar-SA"/>
              </w:rPr>
            </w:pPr>
            <w:r>
              <w:rPr>
                <w:rFonts w:hint="eastAsia" w:ascii="仿宋_GB2312" w:hAnsi="宋体" w:eastAsia="仿宋_GB2312" w:cs="Times New Roman"/>
                <w:sz w:val="24"/>
                <w:lang w:val="en-US" w:eastAsia="zh-CN"/>
              </w:rPr>
              <w:t>HW12(900-252-12）</w:t>
            </w:r>
          </w:p>
        </w:tc>
        <w:tc>
          <w:tcPr>
            <w:tcW w:w="446" w:type="pct"/>
            <w:gridSpan w:val="2"/>
            <w:shd w:val="clear" w:color="auto" w:fill="auto"/>
            <w:vAlign w:val="center"/>
          </w:tcPr>
          <w:p w14:paraId="0C219EA6">
            <w:pPr>
              <w:snapToGrid w:val="0"/>
              <w:spacing w:after="0" w:line="240" w:lineRule="auto"/>
              <w:jc w:val="center"/>
              <w:rPr>
                <w:rFonts w:hint="eastAsia" w:ascii="仿宋_GB2312" w:hAnsi="宋体" w:eastAsia="仿宋_GB2312" w:cs="Times New Roman"/>
                <w:kern w:val="2"/>
                <w:sz w:val="24"/>
                <w:lang w:val="en-US" w:eastAsia="zh-CN" w:bidi="ar-SA"/>
              </w:rPr>
            </w:pPr>
            <w:r>
              <w:rPr>
                <w:rFonts w:hint="eastAsia" w:ascii="仿宋_GB2312" w:hAnsi="宋体" w:eastAsia="仿宋_GB2312"/>
                <w:sz w:val="24"/>
              </w:rPr>
              <w:t>350</w:t>
            </w:r>
          </w:p>
        </w:tc>
        <w:tc>
          <w:tcPr>
            <w:tcW w:w="502" w:type="pct"/>
            <w:shd w:val="clear" w:color="auto" w:fill="auto"/>
            <w:vAlign w:val="center"/>
          </w:tcPr>
          <w:p w14:paraId="31F865E3">
            <w:pPr>
              <w:snapToGrid w:val="0"/>
              <w:spacing w:after="0" w:line="240" w:lineRule="auto"/>
              <w:jc w:val="center"/>
              <w:rPr>
                <w:rFonts w:hint="eastAsia" w:ascii="仿宋_GB2312" w:hAnsi="宋体" w:eastAsia="仿宋_GB2312" w:cs="Times New Roman"/>
                <w:kern w:val="2"/>
                <w:sz w:val="24"/>
                <w:lang w:val="en-US" w:eastAsia="zh-CN" w:bidi="ar-SA"/>
              </w:rPr>
            </w:pPr>
          </w:p>
        </w:tc>
        <w:tc>
          <w:tcPr>
            <w:tcW w:w="502" w:type="pct"/>
          </w:tcPr>
          <w:p w14:paraId="1376B73D">
            <w:pPr>
              <w:snapToGrid w:val="0"/>
              <w:spacing w:after="0" w:line="240" w:lineRule="auto"/>
              <w:jc w:val="center"/>
              <w:rPr>
                <w:rFonts w:hint="eastAsia" w:ascii="仿宋_GB2312" w:hAnsi="宋体" w:eastAsia="仿宋_GB2312"/>
                <w:sz w:val="24"/>
              </w:rPr>
            </w:pPr>
          </w:p>
        </w:tc>
        <w:tc>
          <w:tcPr>
            <w:tcW w:w="633" w:type="pct"/>
          </w:tcPr>
          <w:p w14:paraId="5EB474C7">
            <w:pPr>
              <w:snapToGrid w:val="0"/>
              <w:spacing w:after="0" w:line="240" w:lineRule="auto"/>
              <w:jc w:val="center"/>
              <w:rPr>
                <w:rFonts w:hint="eastAsia" w:ascii="仿宋_GB2312" w:hAnsi="宋体" w:eastAsia="仿宋_GB2312"/>
                <w:sz w:val="24"/>
              </w:rPr>
            </w:pPr>
          </w:p>
        </w:tc>
        <w:tc>
          <w:tcPr>
            <w:tcW w:w="633" w:type="pct"/>
          </w:tcPr>
          <w:p w14:paraId="4121AD91">
            <w:pPr>
              <w:snapToGrid w:val="0"/>
              <w:spacing w:after="0" w:line="240" w:lineRule="auto"/>
              <w:jc w:val="center"/>
              <w:rPr>
                <w:rFonts w:hint="eastAsia" w:ascii="仿宋_GB2312" w:hAnsi="宋体" w:eastAsia="仿宋_GB2312"/>
                <w:sz w:val="24"/>
              </w:rPr>
            </w:pPr>
          </w:p>
        </w:tc>
        <w:tc>
          <w:tcPr>
            <w:tcW w:w="248" w:type="pct"/>
          </w:tcPr>
          <w:p w14:paraId="49F7B7EA">
            <w:pPr>
              <w:snapToGrid w:val="0"/>
              <w:spacing w:after="0" w:line="240" w:lineRule="auto"/>
              <w:jc w:val="center"/>
              <w:rPr>
                <w:rFonts w:hint="eastAsia" w:ascii="仿宋_GB2312" w:hAnsi="宋体" w:eastAsia="仿宋_GB2312"/>
                <w:sz w:val="24"/>
              </w:rPr>
            </w:pPr>
          </w:p>
        </w:tc>
      </w:tr>
      <w:tr w14:paraId="00227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 w:type="pct"/>
            <w:vAlign w:val="center"/>
          </w:tcPr>
          <w:p w14:paraId="524F97EC">
            <w:pPr>
              <w:snapToGrid w:val="0"/>
              <w:spacing w:after="0" w:line="240" w:lineRule="auto"/>
              <w:jc w:val="center"/>
              <w:rPr>
                <w:rFonts w:hint="eastAsia" w:ascii="仿宋_GB2312" w:eastAsia="仿宋_GB2312"/>
                <w:sz w:val="24"/>
              </w:rPr>
            </w:pPr>
          </w:p>
        </w:tc>
        <w:tc>
          <w:tcPr>
            <w:tcW w:w="1788" w:type="pct"/>
            <w:gridSpan w:val="2"/>
            <w:vAlign w:val="center"/>
          </w:tcPr>
          <w:p w14:paraId="59F0252E">
            <w:pPr>
              <w:snapToGrid w:val="0"/>
              <w:spacing w:after="0" w:line="240" w:lineRule="auto"/>
              <w:jc w:val="center"/>
              <w:rPr>
                <w:rFonts w:hint="eastAsia" w:ascii="仿宋_GB2312" w:eastAsia="仿宋_GB2312"/>
                <w:sz w:val="24"/>
              </w:rPr>
            </w:pPr>
            <w:r>
              <w:rPr>
                <w:rFonts w:hint="eastAsia" w:ascii="仿宋_GB2312" w:eastAsia="仿宋_GB2312"/>
                <w:sz w:val="24"/>
              </w:rPr>
              <w:t>合计</w:t>
            </w:r>
          </w:p>
        </w:tc>
        <w:tc>
          <w:tcPr>
            <w:tcW w:w="446" w:type="pct"/>
            <w:gridSpan w:val="2"/>
            <w:vAlign w:val="center"/>
          </w:tcPr>
          <w:p w14:paraId="5AB1650F">
            <w:pPr>
              <w:snapToGrid w:val="0"/>
              <w:spacing w:after="0" w:line="240" w:lineRule="auto"/>
              <w:jc w:val="center"/>
              <w:rPr>
                <w:rFonts w:hint="default" w:ascii="仿宋_GB2312" w:eastAsia="仿宋_GB2312"/>
                <w:sz w:val="24"/>
                <w:lang w:val="en-US" w:eastAsia="zh-CN"/>
              </w:rPr>
            </w:pPr>
            <w:r>
              <w:rPr>
                <w:rFonts w:hint="eastAsia" w:ascii="仿宋_GB2312" w:eastAsia="仿宋_GB2312"/>
                <w:sz w:val="24"/>
                <w:lang w:val="en-US" w:eastAsia="zh-CN"/>
              </w:rPr>
              <w:t>387</w:t>
            </w:r>
          </w:p>
        </w:tc>
        <w:tc>
          <w:tcPr>
            <w:tcW w:w="502" w:type="pct"/>
            <w:vAlign w:val="center"/>
          </w:tcPr>
          <w:p w14:paraId="74421E92">
            <w:pPr>
              <w:snapToGrid w:val="0"/>
              <w:spacing w:after="0" w:line="240" w:lineRule="auto"/>
              <w:jc w:val="center"/>
              <w:rPr>
                <w:rFonts w:hint="eastAsia" w:ascii="仿宋_GB2312" w:hAnsi="宋体" w:eastAsia="仿宋_GB2312"/>
                <w:sz w:val="24"/>
              </w:rPr>
            </w:pPr>
          </w:p>
        </w:tc>
        <w:tc>
          <w:tcPr>
            <w:tcW w:w="502" w:type="pct"/>
          </w:tcPr>
          <w:p w14:paraId="07E41B51">
            <w:pPr>
              <w:snapToGrid w:val="0"/>
              <w:spacing w:after="0" w:line="240" w:lineRule="auto"/>
              <w:jc w:val="center"/>
              <w:rPr>
                <w:rFonts w:hint="eastAsia" w:ascii="仿宋_GB2312" w:hAnsi="宋体" w:eastAsia="仿宋_GB2312"/>
                <w:sz w:val="24"/>
              </w:rPr>
            </w:pPr>
          </w:p>
        </w:tc>
        <w:tc>
          <w:tcPr>
            <w:tcW w:w="633" w:type="pct"/>
          </w:tcPr>
          <w:p w14:paraId="08F210A7">
            <w:pPr>
              <w:snapToGrid w:val="0"/>
              <w:spacing w:after="0" w:line="240" w:lineRule="auto"/>
              <w:jc w:val="center"/>
              <w:rPr>
                <w:rFonts w:hint="eastAsia" w:ascii="仿宋_GB2312" w:hAnsi="宋体" w:eastAsia="仿宋_GB2312"/>
                <w:sz w:val="24"/>
              </w:rPr>
            </w:pPr>
          </w:p>
        </w:tc>
        <w:tc>
          <w:tcPr>
            <w:tcW w:w="633" w:type="pct"/>
          </w:tcPr>
          <w:p w14:paraId="44A3F795">
            <w:pPr>
              <w:snapToGrid w:val="0"/>
              <w:spacing w:after="0" w:line="240" w:lineRule="auto"/>
              <w:jc w:val="center"/>
              <w:rPr>
                <w:rFonts w:hint="eastAsia" w:ascii="仿宋_GB2312" w:hAnsi="宋体" w:eastAsia="仿宋_GB2312"/>
                <w:sz w:val="24"/>
              </w:rPr>
            </w:pPr>
          </w:p>
        </w:tc>
        <w:tc>
          <w:tcPr>
            <w:tcW w:w="248" w:type="pct"/>
          </w:tcPr>
          <w:p w14:paraId="7F595E61">
            <w:pPr>
              <w:snapToGrid w:val="0"/>
              <w:spacing w:after="0" w:line="240" w:lineRule="auto"/>
              <w:jc w:val="center"/>
              <w:rPr>
                <w:rFonts w:hint="eastAsia" w:ascii="仿宋_GB2312" w:hAnsi="宋体" w:eastAsia="仿宋_GB2312"/>
                <w:sz w:val="24"/>
              </w:rPr>
            </w:pPr>
          </w:p>
        </w:tc>
      </w:tr>
      <w:tr w14:paraId="6B24F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9" w:type="pct"/>
            <w:gridSpan w:val="5"/>
            <w:vAlign w:val="center"/>
          </w:tcPr>
          <w:p w14:paraId="6641EADB">
            <w:pPr>
              <w:snapToGrid w:val="0"/>
              <w:spacing w:after="0" w:line="240" w:lineRule="auto"/>
              <w:jc w:val="center"/>
              <w:rPr>
                <w:rFonts w:hint="eastAsia" w:ascii="仿宋_GB2312" w:eastAsia="仿宋_GB2312"/>
                <w:sz w:val="24"/>
              </w:rPr>
            </w:pPr>
            <w:r>
              <w:rPr>
                <w:rFonts w:hint="eastAsia" w:ascii="仿宋_GB2312" w:eastAsia="仿宋_GB2312"/>
                <w:sz w:val="24"/>
                <w:highlight w:val="yellow"/>
              </w:rPr>
              <w:t>单车（含拼车）拉运重量10吨以下，单车单趟费用</w:t>
            </w:r>
          </w:p>
        </w:tc>
        <w:tc>
          <w:tcPr>
            <w:tcW w:w="2520" w:type="pct"/>
            <w:gridSpan w:val="5"/>
            <w:vAlign w:val="center"/>
          </w:tcPr>
          <w:p w14:paraId="467D05D4">
            <w:pPr>
              <w:snapToGrid w:val="0"/>
              <w:spacing w:after="0" w:line="240" w:lineRule="auto"/>
              <w:jc w:val="center"/>
              <w:rPr>
                <w:rFonts w:hint="eastAsia" w:ascii="仿宋_GB2312" w:hAnsi="宋体" w:eastAsia="仿宋_GB2312"/>
                <w:sz w:val="24"/>
              </w:rPr>
            </w:pPr>
          </w:p>
        </w:tc>
      </w:tr>
      <w:tr w14:paraId="52DD8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 w:type="pct"/>
            <w:vAlign w:val="center"/>
          </w:tcPr>
          <w:p w14:paraId="58E06315">
            <w:pPr>
              <w:snapToGrid w:val="0"/>
              <w:spacing w:after="0" w:line="240" w:lineRule="auto"/>
              <w:jc w:val="center"/>
              <w:rPr>
                <w:rFonts w:hint="eastAsia" w:ascii="仿宋_GB2312" w:eastAsia="仿宋_GB2312"/>
                <w:sz w:val="24"/>
              </w:rPr>
            </w:pPr>
            <w:r>
              <w:rPr>
                <w:rFonts w:hint="eastAsia" w:ascii="仿宋_GB2312" w:hAnsi="宋体" w:eastAsia="仿宋_GB2312"/>
                <w:sz w:val="24"/>
              </w:rPr>
              <w:t>结算承诺</w:t>
            </w:r>
          </w:p>
        </w:tc>
        <w:tc>
          <w:tcPr>
            <w:tcW w:w="482" w:type="pct"/>
            <w:vAlign w:val="center"/>
          </w:tcPr>
          <w:p w14:paraId="58137210">
            <w:pPr>
              <w:snapToGrid w:val="0"/>
              <w:spacing w:after="0" w:line="240" w:lineRule="auto"/>
              <w:jc w:val="center"/>
              <w:rPr>
                <w:rFonts w:hint="eastAsia" w:ascii="仿宋_GB2312" w:hAnsi="宋体" w:eastAsia="仿宋_GB2312"/>
                <w:sz w:val="24"/>
              </w:rPr>
            </w:pPr>
            <w:r>
              <w:rPr>
                <w:rFonts w:hint="eastAsia" w:ascii="仿宋_GB2312" w:hAnsi="宋体" w:eastAsia="仿宋_GB2312"/>
                <w:sz w:val="24"/>
              </w:rPr>
              <w:t>是否接受半年期商业汇票</w:t>
            </w:r>
          </w:p>
        </w:tc>
        <w:tc>
          <w:tcPr>
            <w:tcW w:w="1305" w:type="pct"/>
            <w:vAlign w:val="center"/>
          </w:tcPr>
          <w:p w14:paraId="2865384D">
            <w:pPr>
              <w:snapToGrid w:val="0"/>
              <w:spacing w:after="0" w:line="240" w:lineRule="auto"/>
              <w:jc w:val="center"/>
              <w:rPr>
                <w:rFonts w:hint="eastAsia" w:ascii="仿宋_GB2312" w:hAnsi="宋体" w:eastAsia="仿宋_GB2312"/>
                <w:sz w:val="24"/>
              </w:rPr>
            </w:pPr>
            <w:r>
              <w:rPr>
                <w:rFonts w:hint="eastAsia" w:ascii="仿宋_GB2312" w:hAnsi="宋体" w:eastAsia="仿宋_GB2312"/>
                <w:sz w:val="24"/>
              </w:rPr>
              <w:t>是□</w:t>
            </w:r>
          </w:p>
        </w:tc>
        <w:tc>
          <w:tcPr>
            <w:tcW w:w="446" w:type="pct"/>
            <w:gridSpan w:val="2"/>
            <w:vAlign w:val="center"/>
          </w:tcPr>
          <w:p w14:paraId="724D5F2E">
            <w:pPr>
              <w:snapToGrid w:val="0"/>
              <w:spacing w:after="0" w:line="240" w:lineRule="auto"/>
              <w:jc w:val="center"/>
              <w:rPr>
                <w:rFonts w:hint="eastAsia" w:ascii="仿宋_GB2312" w:hAnsi="宋体" w:eastAsia="仿宋_GB2312"/>
                <w:sz w:val="24"/>
              </w:rPr>
            </w:pPr>
          </w:p>
        </w:tc>
        <w:tc>
          <w:tcPr>
            <w:tcW w:w="502" w:type="pct"/>
            <w:vAlign w:val="center"/>
          </w:tcPr>
          <w:p w14:paraId="3074844D">
            <w:pPr>
              <w:snapToGrid w:val="0"/>
              <w:spacing w:after="0" w:line="240" w:lineRule="auto"/>
              <w:jc w:val="center"/>
              <w:rPr>
                <w:rFonts w:hint="eastAsia" w:ascii="仿宋_GB2312" w:hAnsi="宋体" w:eastAsia="仿宋_GB2312"/>
                <w:sz w:val="24"/>
              </w:rPr>
            </w:pPr>
            <w:r>
              <w:rPr>
                <w:rFonts w:hint="eastAsia" w:ascii="仿宋_GB2312" w:hAnsi="宋体" w:eastAsia="仿宋_GB2312"/>
                <w:sz w:val="24"/>
              </w:rPr>
              <w:t>否□</w:t>
            </w:r>
          </w:p>
        </w:tc>
        <w:tc>
          <w:tcPr>
            <w:tcW w:w="502" w:type="pct"/>
          </w:tcPr>
          <w:p w14:paraId="4594F869">
            <w:pPr>
              <w:snapToGrid w:val="0"/>
              <w:spacing w:after="0" w:line="240" w:lineRule="auto"/>
              <w:jc w:val="center"/>
              <w:rPr>
                <w:rFonts w:hint="eastAsia" w:ascii="仿宋_GB2312" w:hAnsi="宋体" w:eastAsia="仿宋_GB2312"/>
                <w:sz w:val="24"/>
              </w:rPr>
            </w:pPr>
          </w:p>
        </w:tc>
        <w:tc>
          <w:tcPr>
            <w:tcW w:w="633" w:type="pct"/>
          </w:tcPr>
          <w:p w14:paraId="788B6DDA">
            <w:pPr>
              <w:snapToGrid w:val="0"/>
              <w:spacing w:after="0" w:line="240" w:lineRule="auto"/>
              <w:jc w:val="center"/>
              <w:rPr>
                <w:rFonts w:hint="eastAsia" w:ascii="仿宋_GB2312" w:hAnsi="宋体" w:eastAsia="仿宋_GB2312"/>
                <w:sz w:val="24"/>
              </w:rPr>
            </w:pPr>
          </w:p>
        </w:tc>
        <w:tc>
          <w:tcPr>
            <w:tcW w:w="633" w:type="pct"/>
          </w:tcPr>
          <w:p w14:paraId="70550243">
            <w:pPr>
              <w:snapToGrid w:val="0"/>
              <w:spacing w:after="0" w:line="240" w:lineRule="auto"/>
              <w:jc w:val="center"/>
              <w:rPr>
                <w:rFonts w:hint="eastAsia" w:ascii="仿宋_GB2312" w:hAnsi="宋体" w:eastAsia="仿宋_GB2312"/>
                <w:sz w:val="24"/>
              </w:rPr>
            </w:pPr>
          </w:p>
        </w:tc>
        <w:tc>
          <w:tcPr>
            <w:tcW w:w="248" w:type="pct"/>
          </w:tcPr>
          <w:p w14:paraId="3020EF31">
            <w:pPr>
              <w:snapToGrid w:val="0"/>
              <w:spacing w:after="0" w:line="240" w:lineRule="auto"/>
              <w:jc w:val="center"/>
              <w:rPr>
                <w:rFonts w:hint="eastAsia" w:ascii="仿宋_GB2312" w:hAnsi="宋体" w:eastAsia="仿宋_GB2312"/>
                <w:sz w:val="24"/>
              </w:rPr>
            </w:pPr>
          </w:p>
        </w:tc>
      </w:tr>
      <w:tr w14:paraId="0C3ED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244" w:type="pct"/>
            <w:vAlign w:val="center"/>
          </w:tcPr>
          <w:p w14:paraId="65572190">
            <w:pPr>
              <w:snapToGrid w:val="0"/>
              <w:spacing w:after="0" w:line="240" w:lineRule="auto"/>
              <w:jc w:val="center"/>
              <w:rPr>
                <w:rFonts w:hint="eastAsia" w:ascii="仿宋_GB2312" w:eastAsia="仿宋_GB2312"/>
                <w:sz w:val="24"/>
              </w:rPr>
            </w:pPr>
            <w:r>
              <w:rPr>
                <w:rFonts w:hint="eastAsia" w:ascii="仿宋_GB2312" w:hAnsi="宋体" w:eastAsia="仿宋_GB2312"/>
                <w:sz w:val="24"/>
              </w:rPr>
              <w:t>商务承诺</w:t>
            </w:r>
          </w:p>
        </w:tc>
        <w:tc>
          <w:tcPr>
            <w:tcW w:w="482" w:type="pct"/>
            <w:vAlign w:val="center"/>
          </w:tcPr>
          <w:p w14:paraId="765F6947">
            <w:pPr>
              <w:snapToGrid w:val="0"/>
              <w:spacing w:after="0" w:line="240" w:lineRule="auto"/>
              <w:jc w:val="center"/>
              <w:rPr>
                <w:rFonts w:hint="eastAsia" w:ascii="仿宋_GB2312" w:hAnsi="宋体" w:eastAsia="仿宋_GB2312"/>
                <w:sz w:val="24"/>
              </w:rPr>
            </w:pPr>
            <w:r>
              <w:rPr>
                <w:rFonts w:hint="eastAsia" w:ascii="仿宋_GB2312" w:hAnsi="宋体" w:eastAsia="仿宋_GB2312"/>
                <w:sz w:val="24"/>
              </w:rPr>
              <w:t>转移期限承诺（天）</w:t>
            </w:r>
          </w:p>
        </w:tc>
        <w:tc>
          <w:tcPr>
            <w:tcW w:w="1305" w:type="pct"/>
          </w:tcPr>
          <w:p w14:paraId="5BF34373">
            <w:pPr>
              <w:snapToGrid w:val="0"/>
              <w:spacing w:after="0" w:line="240" w:lineRule="auto"/>
              <w:jc w:val="center"/>
              <w:rPr>
                <w:rFonts w:hint="eastAsia" w:ascii="仿宋_GB2312" w:hAnsi="宋体" w:eastAsia="仿宋_GB2312"/>
                <w:sz w:val="24"/>
              </w:rPr>
            </w:pPr>
          </w:p>
        </w:tc>
        <w:tc>
          <w:tcPr>
            <w:tcW w:w="367" w:type="pct"/>
          </w:tcPr>
          <w:p w14:paraId="480E8C9F">
            <w:pPr>
              <w:snapToGrid w:val="0"/>
              <w:spacing w:after="0" w:line="240" w:lineRule="auto"/>
              <w:jc w:val="center"/>
              <w:rPr>
                <w:rFonts w:hint="eastAsia" w:ascii="仿宋_GB2312" w:hAnsi="宋体" w:eastAsia="仿宋_GB2312"/>
                <w:sz w:val="24"/>
              </w:rPr>
            </w:pPr>
          </w:p>
        </w:tc>
        <w:tc>
          <w:tcPr>
            <w:tcW w:w="2599" w:type="pct"/>
            <w:gridSpan w:val="6"/>
            <w:vAlign w:val="center"/>
          </w:tcPr>
          <w:p w14:paraId="2B2420D7">
            <w:pPr>
              <w:snapToGrid w:val="0"/>
              <w:spacing w:after="0" w:line="240" w:lineRule="auto"/>
              <w:jc w:val="center"/>
              <w:rPr>
                <w:rFonts w:hint="eastAsia" w:ascii="仿宋_GB2312" w:hAnsi="宋体" w:eastAsia="仿宋_GB2312"/>
                <w:sz w:val="24"/>
              </w:rPr>
            </w:pPr>
            <w:r>
              <w:rPr>
                <w:rFonts w:hint="eastAsia" w:ascii="仿宋_GB2312" w:hAnsi="宋体" w:eastAsia="仿宋_GB2312"/>
                <w:sz w:val="24"/>
              </w:rPr>
              <w:t>危险废物产生单位电话或书面通知后（  ）个工作日内转移完毕。</w:t>
            </w:r>
          </w:p>
        </w:tc>
      </w:tr>
      <w:tr w14:paraId="3DD27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244" w:type="pct"/>
            <w:vMerge w:val="restart"/>
            <w:vAlign w:val="center"/>
          </w:tcPr>
          <w:p w14:paraId="46AF271E">
            <w:pPr>
              <w:snapToGrid w:val="0"/>
              <w:spacing w:after="0" w:line="240" w:lineRule="auto"/>
              <w:jc w:val="center"/>
              <w:rPr>
                <w:rFonts w:hint="eastAsia" w:ascii="仿宋_GB2312" w:hAnsi="宋体" w:eastAsia="仿宋_GB2312"/>
                <w:sz w:val="24"/>
              </w:rPr>
            </w:pPr>
            <w:r>
              <w:rPr>
                <w:rFonts w:hint="eastAsia" w:ascii="仿宋_GB2312" w:hAnsi="宋体" w:eastAsia="仿宋_GB2312"/>
                <w:sz w:val="24"/>
              </w:rPr>
              <w:t>服务承诺</w:t>
            </w:r>
          </w:p>
        </w:tc>
        <w:tc>
          <w:tcPr>
            <w:tcW w:w="482" w:type="pct"/>
            <w:vMerge w:val="restart"/>
            <w:vAlign w:val="center"/>
          </w:tcPr>
          <w:p w14:paraId="3977C70A">
            <w:pPr>
              <w:snapToGrid w:val="0"/>
              <w:spacing w:after="0" w:line="240" w:lineRule="auto"/>
              <w:jc w:val="center"/>
              <w:rPr>
                <w:rFonts w:hint="eastAsia" w:ascii="仿宋_GB2312" w:eastAsia="仿宋_GB2312"/>
                <w:sz w:val="24"/>
              </w:rPr>
            </w:pPr>
            <w:r>
              <w:rPr>
                <w:rFonts w:hint="eastAsia" w:ascii="仿宋_GB2312" w:hAnsi="宋体" w:eastAsia="仿宋_GB2312"/>
                <w:sz w:val="24"/>
              </w:rPr>
              <w:t>服务保障</w:t>
            </w:r>
          </w:p>
        </w:tc>
        <w:tc>
          <w:tcPr>
            <w:tcW w:w="1305" w:type="pct"/>
          </w:tcPr>
          <w:p w14:paraId="7086FBA8">
            <w:pPr>
              <w:snapToGrid w:val="0"/>
              <w:spacing w:after="0" w:line="240" w:lineRule="auto"/>
              <w:rPr>
                <w:rFonts w:hint="eastAsia" w:ascii="仿宋_GB2312" w:hAnsi="宋体" w:eastAsia="仿宋_GB2312"/>
                <w:sz w:val="24"/>
              </w:rPr>
            </w:pPr>
          </w:p>
        </w:tc>
        <w:tc>
          <w:tcPr>
            <w:tcW w:w="367" w:type="pct"/>
          </w:tcPr>
          <w:p w14:paraId="0CED1C63">
            <w:pPr>
              <w:snapToGrid w:val="0"/>
              <w:spacing w:after="0" w:line="240" w:lineRule="auto"/>
              <w:rPr>
                <w:rFonts w:hint="eastAsia" w:ascii="仿宋_GB2312" w:hAnsi="宋体" w:eastAsia="仿宋_GB2312"/>
                <w:sz w:val="24"/>
              </w:rPr>
            </w:pPr>
          </w:p>
        </w:tc>
        <w:tc>
          <w:tcPr>
            <w:tcW w:w="2599" w:type="pct"/>
            <w:gridSpan w:val="6"/>
          </w:tcPr>
          <w:p w14:paraId="0E446463">
            <w:pPr>
              <w:snapToGrid w:val="0"/>
              <w:spacing w:after="0" w:line="240" w:lineRule="auto"/>
              <w:rPr>
                <w:rFonts w:hint="eastAsia" w:ascii="仿宋_GB2312" w:hAnsi="宋体" w:eastAsia="仿宋_GB2312"/>
                <w:sz w:val="24"/>
              </w:rPr>
            </w:pPr>
            <w:r>
              <w:rPr>
                <w:rFonts w:hint="eastAsia" w:ascii="仿宋_GB2312" w:hAnsi="宋体" w:eastAsia="仿宋_GB2312"/>
                <w:sz w:val="24"/>
              </w:rPr>
              <w:t>1.处置现场工作人员  （名）</w:t>
            </w:r>
          </w:p>
        </w:tc>
      </w:tr>
      <w:tr w14:paraId="3C7CB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244" w:type="pct"/>
            <w:vMerge w:val="continue"/>
            <w:vAlign w:val="center"/>
          </w:tcPr>
          <w:p w14:paraId="617A9570">
            <w:pPr>
              <w:snapToGrid w:val="0"/>
              <w:spacing w:after="0" w:line="240" w:lineRule="auto"/>
              <w:jc w:val="center"/>
              <w:rPr>
                <w:rFonts w:hint="eastAsia" w:ascii="仿宋_GB2312" w:hAnsi="宋体" w:eastAsia="仿宋_GB2312"/>
                <w:sz w:val="24"/>
              </w:rPr>
            </w:pPr>
          </w:p>
        </w:tc>
        <w:tc>
          <w:tcPr>
            <w:tcW w:w="482" w:type="pct"/>
            <w:vMerge w:val="continue"/>
            <w:vAlign w:val="center"/>
          </w:tcPr>
          <w:p w14:paraId="09315D86">
            <w:pPr>
              <w:snapToGrid w:val="0"/>
              <w:spacing w:after="0" w:line="240" w:lineRule="auto"/>
              <w:jc w:val="center"/>
              <w:rPr>
                <w:rFonts w:hint="eastAsia" w:ascii="仿宋_GB2312" w:hAnsi="宋体" w:eastAsia="仿宋_GB2312"/>
                <w:sz w:val="24"/>
              </w:rPr>
            </w:pPr>
          </w:p>
        </w:tc>
        <w:tc>
          <w:tcPr>
            <w:tcW w:w="1305" w:type="pct"/>
          </w:tcPr>
          <w:p w14:paraId="0BDF2633">
            <w:pPr>
              <w:snapToGrid w:val="0"/>
              <w:spacing w:after="0" w:line="240" w:lineRule="auto"/>
              <w:rPr>
                <w:rFonts w:hint="eastAsia" w:ascii="仿宋_GB2312" w:hAnsi="宋体" w:eastAsia="仿宋_GB2312"/>
                <w:sz w:val="24"/>
              </w:rPr>
            </w:pPr>
          </w:p>
        </w:tc>
        <w:tc>
          <w:tcPr>
            <w:tcW w:w="367" w:type="pct"/>
          </w:tcPr>
          <w:p w14:paraId="1231210A">
            <w:pPr>
              <w:snapToGrid w:val="0"/>
              <w:spacing w:after="0" w:line="240" w:lineRule="auto"/>
              <w:rPr>
                <w:rFonts w:hint="eastAsia" w:ascii="仿宋_GB2312" w:hAnsi="宋体" w:eastAsia="仿宋_GB2312"/>
                <w:sz w:val="24"/>
              </w:rPr>
            </w:pPr>
          </w:p>
        </w:tc>
        <w:tc>
          <w:tcPr>
            <w:tcW w:w="2599" w:type="pct"/>
            <w:gridSpan w:val="6"/>
          </w:tcPr>
          <w:p w14:paraId="4B91B620">
            <w:pPr>
              <w:snapToGrid w:val="0"/>
              <w:spacing w:after="0" w:line="240" w:lineRule="auto"/>
              <w:rPr>
                <w:rFonts w:hint="eastAsia" w:ascii="仿宋_GB2312" w:hAnsi="宋体" w:eastAsia="仿宋_GB2312"/>
                <w:sz w:val="24"/>
              </w:rPr>
            </w:pPr>
            <w:r>
              <w:rPr>
                <w:rFonts w:hint="eastAsia" w:ascii="仿宋_GB2312" w:hAnsi="宋体" w:eastAsia="仿宋_GB2312"/>
                <w:sz w:val="24"/>
              </w:rPr>
              <w:t>2.转移运输人员  （名）</w:t>
            </w:r>
          </w:p>
        </w:tc>
      </w:tr>
      <w:tr w14:paraId="1A3C1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244" w:type="pct"/>
            <w:vMerge w:val="continue"/>
            <w:vAlign w:val="center"/>
          </w:tcPr>
          <w:p w14:paraId="2547C14F">
            <w:pPr>
              <w:snapToGrid w:val="0"/>
              <w:spacing w:after="0" w:line="240" w:lineRule="auto"/>
              <w:jc w:val="center"/>
              <w:rPr>
                <w:rFonts w:hint="eastAsia" w:ascii="仿宋_GB2312" w:hAnsi="宋体" w:eastAsia="仿宋_GB2312"/>
                <w:sz w:val="24"/>
              </w:rPr>
            </w:pPr>
          </w:p>
        </w:tc>
        <w:tc>
          <w:tcPr>
            <w:tcW w:w="482" w:type="pct"/>
            <w:vMerge w:val="continue"/>
            <w:vAlign w:val="center"/>
          </w:tcPr>
          <w:p w14:paraId="64AC7911">
            <w:pPr>
              <w:snapToGrid w:val="0"/>
              <w:spacing w:after="0" w:line="240" w:lineRule="auto"/>
              <w:jc w:val="center"/>
              <w:rPr>
                <w:rFonts w:hint="eastAsia" w:ascii="仿宋_GB2312" w:hAnsi="宋体" w:eastAsia="仿宋_GB2312"/>
                <w:sz w:val="24"/>
              </w:rPr>
            </w:pPr>
          </w:p>
        </w:tc>
        <w:tc>
          <w:tcPr>
            <w:tcW w:w="1305" w:type="pct"/>
          </w:tcPr>
          <w:p w14:paraId="3A75184A">
            <w:pPr>
              <w:snapToGrid w:val="0"/>
              <w:spacing w:after="0" w:line="240" w:lineRule="auto"/>
              <w:rPr>
                <w:rFonts w:hint="eastAsia" w:ascii="仿宋_GB2312" w:hAnsi="宋体" w:eastAsia="仿宋_GB2312"/>
                <w:sz w:val="24"/>
              </w:rPr>
            </w:pPr>
          </w:p>
        </w:tc>
        <w:tc>
          <w:tcPr>
            <w:tcW w:w="367" w:type="pct"/>
          </w:tcPr>
          <w:p w14:paraId="10325E3F">
            <w:pPr>
              <w:snapToGrid w:val="0"/>
              <w:spacing w:after="0" w:line="240" w:lineRule="auto"/>
              <w:rPr>
                <w:rFonts w:hint="eastAsia" w:ascii="仿宋_GB2312" w:hAnsi="宋体" w:eastAsia="仿宋_GB2312"/>
                <w:sz w:val="24"/>
              </w:rPr>
            </w:pPr>
          </w:p>
        </w:tc>
        <w:tc>
          <w:tcPr>
            <w:tcW w:w="2599" w:type="pct"/>
            <w:gridSpan w:val="6"/>
          </w:tcPr>
          <w:p w14:paraId="31DA488A">
            <w:pPr>
              <w:snapToGrid w:val="0"/>
              <w:spacing w:after="0" w:line="240" w:lineRule="auto"/>
              <w:rPr>
                <w:rFonts w:hint="eastAsia" w:ascii="仿宋_GB2312" w:hAnsi="宋体" w:eastAsia="仿宋_GB2312"/>
                <w:sz w:val="24"/>
              </w:rPr>
            </w:pPr>
            <w:r>
              <w:rPr>
                <w:rFonts w:hint="eastAsia" w:ascii="仿宋_GB2312" w:hAnsi="宋体" w:eastAsia="仿宋_GB2312"/>
                <w:sz w:val="24"/>
              </w:rPr>
              <w:t>3.现场服务人员  （名）</w:t>
            </w:r>
          </w:p>
        </w:tc>
      </w:tr>
      <w:tr w14:paraId="1ED32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244" w:type="pct"/>
            <w:vMerge w:val="continue"/>
            <w:vAlign w:val="center"/>
          </w:tcPr>
          <w:p w14:paraId="2755707E">
            <w:pPr>
              <w:snapToGrid w:val="0"/>
              <w:spacing w:after="0" w:line="240" w:lineRule="auto"/>
              <w:jc w:val="center"/>
              <w:rPr>
                <w:rFonts w:hint="eastAsia" w:ascii="仿宋_GB2312" w:hAnsi="宋体" w:eastAsia="仿宋_GB2312"/>
                <w:sz w:val="24"/>
              </w:rPr>
            </w:pPr>
          </w:p>
        </w:tc>
        <w:tc>
          <w:tcPr>
            <w:tcW w:w="482" w:type="pct"/>
            <w:vMerge w:val="continue"/>
            <w:vAlign w:val="center"/>
          </w:tcPr>
          <w:p w14:paraId="214BC321">
            <w:pPr>
              <w:snapToGrid w:val="0"/>
              <w:spacing w:after="0" w:line="240" w:lineRule="auto"/>
              <w:jc w:val="center"/>
              <w:rPr>
                <w:rFonts w:hint="eastAsia" w:ascii="仿宋_GB2312" w:hAnsi="宋体" w:eastAsia="仿宋_GB2312"/>
                <w:sz w:val="24"/>
              </w:rPr>
            </w:pPr>
          </w:p>
        </w:tc>
        <w:tc>
          <w:tcPr>
            <w:tcW w:w="1305" w:type="pct"/>
          </w:tcPr>
          <w:p w14:paraId="2123852F">
            <w:pPr>
              <w:snapToGrid w:val="0"/>
              <w:spacing w:after="0" w:line="240" w:lineRule="auto"/>
              <w:rPr>
                <w:rFonts w:hint="eastAsia" w:ascii="仿宋_GB2312" w:hAnsi="宋体" w:eastAsia="仿宋_GB2312"/>
                <w:sz w:val="24"/>
              </w:rPr>
            </w:pPr>
          </w:p>
        </w:tc>
        <w:tc>
          <w:tcPr>
            <w:tcW w:w="367" w:type="pct"/>
          </w:tcPr>
          <w:p w14:paraId="2AC7960D">
            <w:pPr>
              <w:snapToGrid w:val="0"/>
              <w:spacing w:after="0" w:line="240" w:lineRule="auto"/>
              <w:rPr>
                <w:rFonts w:hint="eastAsia" w:ascii="仿宋_GB2312" w:hAnsi="宋体" w:eastAsia="仿宋_GB2312"/>
                <w:sz w:val="24"/>
              </w:rPr>
            </w:pPr>
          </w:p>
        </w:tc>
        <w:tc>
          <w:tcPr>
            <w:tcW w:w="2599" w:type="pct"/>
            <w:gridSpan w:val="6"/>
          </w:tcPr>
          <w:p w14:paraId="1715B974">
            <w:pPr>
              <w:snapToGrid w:val="0"/>
              <w:spacing w:after="0" w:line="240" w:lineRule="auto"/>
              <w:rPr>
                <w:rFonts w:hint="eastAsia" w:ascii="仿宋_GB2312" w:hAnsi="宋体" w:eastAsia="仿宋_GB2312"/>
                <w:sz w:val="24"/>
              </w:rPr>
            </w:pPr>
            <w:r>
              <w:rPr>
                <w:rFonts w:hint="eastAsia" w:ascii="仿宋_GB2312" w:hAnsi="宋体" w:eastAsia="仿宋_GB2312"/>
                <w:sz w:val="24"/>
              </w:rPr>
              <w:t>4.处置设备（功能、型号、数量）</w:t>
            </w:r>
          </w:p>
        </w:tc>
      </w:tr>
      <w:tr w14:paraId="2BA8F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244" w:type="pct"/>
            <w:vMerge w:val="continue"/>
            <w:vAlign w:val="center"/>
          </w:tcPr>
          <w:p w14:paraId="2375CB60">
            <w:pPr>
              <w:snapToGrid w:val="0"/>
              <w:spacing w:after="0" w:line="240" w:lineRule="auto"/>
              <w:jc w:val="center"/>
              <w:rPr>
                <w:rFonts w:hint="eastAsia" w:ascii="仿宋_GB2312" w:hAnsi="宋体" w:eastAsia="仿宋_GB2312"/>
                <w:sz w:val="24"/>
              </w:rPr>
            </w:pPr>
          </w:p>
        </w:tc>
        <w:tc>
          <w:tcPr>
            <w:tcW w:w="482" w:type="pct"/>
            <w:vMerge w:val="continue"/>
            <w:vAlign w:val="center"/>
          </w:tcPr>
          <w:p w14:paraId="660BF19C">
            <w:pPr>
              <w:snapToGrid w:val="0"/>
              <w:spacing w:after="0" w:line="240" w:lineRule="auto"/>
              <w:jc w:val="center"/>
              <w:rPr>
                <w:rFonts w:hint="eastAsia" w:ascii="仿宋_GB2312" w:hAnsi="宋体" w:eastAsia="仿宋_GB2312"/>
                <w:sz w:val="24"/>
              </w:rPr>
            </w:pPr>
          </w:p>
        </w:tc>
        <w:tc>
          <w:tcPr>
            <w:tcW w:w="1305" w:type="pct"/>
          </w:tcPr>
          <w:p w14:paraId="5CAD6966">
            <w:pPr>
              <w:snapToGrid w:val="0"/>
              <w:spacing w:after="0" w:line="240" w:lineRule="auto"/>
              <w:rPr>
                <w:rFonts w:hint="eastAsia" w:ascii="仿宋_GB2312" w:hAnsi="宋体" w:eastAsia="仿宋_GB2312"/>
                <w:sz w:val="24"/>
              </w:rPr>
            </w:pPr>
          </w:p>
        </w:tc>
        <w:tc>
          <w:tcPr>
            <w:tcW w:w="367" w:type="pct"/>
          </w:tcPr>
          <w:p w14:paraId="089745A2">
            <w:pPr>
              <w:snapToGrid w:val="0"/>
              <w:spacing w:after="0" w:line="240" w:lineRule="auto"/>
              <w:rPr>
                <w:rFonts w:hint="eastAsia" w:ascii="仿宋_GB2312" w:hAnsi="宋体" w:eastAsia="仿宋_GB2312"/>
                <w:sz w:val="24"/>
              </w:rPr>
            </w:pPr>
          </w:p>
        </w:tc>
        <w:tc>
          <w:tcPr>
            <w:tcW w:w="2599" w:type="pct"/>
            <w:gridSpan w:val="6"/>
          </w:tcPr>
          <w:p w14:paraId="6DA30E28">
            <w:pPr>
              <w:snapToGrid w:val="0"/>
              <w:spacing w:after="0" w:line="240" w:lineRule="auto"/>
              <w:rPr>
                <w:rFonts w:hint="eastAsia" w:ascii="仿宋_GB2312" w:hAnsi="宋体" w:eastAsia="仿宋_GB2312"/>
                <w:sz w:val="24"/>
              </w:rPr>
            </w:pPr>
            <w:r>
              <w:rPr>
                <w:rFonts w:hint="eastAsia" w:ascii="仿宋_GB2312" w:hAnsi="宋体" w:eastAsia="仿宋_GB2312"/>
                <w:sz w:val="24"/>
              </w:rPr>
              <w:t>5.其它：</w:t>
            </w:r>
          </w:p>
        </w:tc>
      </w:tr>
      <w:tr w14:paraId="012A8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244" w:type="pct"/>
            <w:vMerge w:val="continue"/>
            <w:vAlign w:val="center"/>
          </w:tcPr>
          <w:p w14:paraId="7867753D">
            <w:pPr>
              <w:snapToGrid w:val="0"/>
              <w:spacing w:after="0" w:line="240" w:lineRule="auto"/>
              <w:jc w:val="center"/>
              <w:rPr>
                <w:rFonts w:hint="eastAsia" w:ascii="仿宋_GB2312" w:hAnsi="宋体" w:eastAsia="仿宋_GB2312"/>
                <w:sz w:val="24"/>
              </w:rPr>
            </w:pPr>
          </w:p>
        </w:tc>
        <w:tc>
          <w:tcPr>
            <w:tcW w:w="482" w:type="pct"/>
            <w:vAlign w:val="center"/>
          </w:tcPr>
          <w:p w14:paraId="429365C8">
            <w:pPr>
              <w:snapToGrid w:val="0"/>
              <w:spacing w:after="0" w:line="240" w:lineRule="auto"/>
              <w:jc w:val="center"/>
              <w:rPr>
                <w:rFonts w:hint="eastAsia" w:ascii="仿宋_GB2312" w:hAnsi="宋体" w:eastAsia="仿宋_GB2312"/>
                <w:sz w:val="24"/>
              </w:rPr>
            </w:pPr>
            <w:r>
              <w:rPr>
                <w:rFonts w:hint="eastAsia" w:ascii="仿宋_GB2312" w:hAnsi="宋体" w:eastAsia="仿宋_GB2312"/>
                <w:sz w:val="24"/>
              </w:rPr>
              <w:t>危险废物装卸</w:t>
            </w:r>
          </w:p>
        </w:tc>
        <w:tc>
          <w:tcPr>
            <w:tcW w:w="1305" w:type="pct"/>
          </w:tcPr>
          <w:p w14:paraId="3ABA172E">
            <w:pPr>
              <w:snapToGrid w:val="0"/>
              <w:spacing w:after="0" w:line="240" w:lineRule="auto"/>
              <w:rPr>
                <w:rFonts w:hint="eastAsia" w:ascii="仿宋_GB2312" w:hAnsi="宋体" w:eastAsia="仿宋_GB2312"/>
                <w:sz w:val="24"/>
              </w:rPr>
            </w:pPr>
          </w:p>
        </w:tc>
        <w:tc>
          <w:tcPr>
            <w:tcW w:w="367" w:type="pct"/>
          </w:tcPr>
          <w:p w14:paraId="0388E856">
            <w:pPr>
              <w:snapToGrid w:val="0"/>
              <w:spacing w:after="0" w:line="240" w:lineRule="auto"/>
              <w:rPr>
                <w:rFonts w:hint="eastAsia" w:ascii="仿宋_GB2312" w:hAnsi="宋体" w:eastAsia="仿宋_GB2312"/>
                <w:sz w:val="24"/>
              </w:rPr>
            </w:pPr>
          </w:p>
        </w:tc>
        <w:tc>
          <w:tcPr>
            <w:tcW w:w="2599" w:type="pct"/>
            <w:gridSpan w:val="6"/>
          </w:tcPr>
          <w:p w14:paraId="5B1E7F75">
            <w:pPr>
              <w:snapToGrid w:val="0"/>
              <w:spacing w:after="0" w:line="240" w:lineRule="auto"/>
              <w:rPr>
                <w:rFonts w:hint="eastAsia" w:ascii="仿宋_GB2312" w:hAnsi="宋体" w:eastAsia="仿宋_GB2312"/>
                <w:b/>
                <w:sz w:val="24"/>
              </w:rPr>
            </w:pPr>
            <w:r>
              <w:rPr>
                <w:rFonts w:hint="eastAsia" w:ascii="仿宋_GB2312" w:hAnsi="宋体" w:eastAsia="仿宋_GB2312"/>
                <w:sz w:val="24"/>
              </w:rPr>
              <w:t xml:space="preserve">乙方负责为甲方负责提供装卸险废物转移运输期间的装卸车活动（招标方负责提供叉车、行车等机械设备并配备叉车司机及行车操作人员）。 </w:t>
            </w:r>
            <w:r>
              <w:rPr>
                <w:rFonts w:hint="eastAsia" w:ascii="仿宋_GB2312" w:hAnsi="宋体" w:eastAsia="仿宋_GB2312"/>
                <w:b/>
                <w:sz w:val="24"/>
              </w:rPr>
              <w:t>是□  否□</w:t>
            </w:r>
          </w:p>
        </w:tc>
      </w:tr>
      <w:tr w14:paraId="27D69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244" w:type="pct"/>
            <w:vMerge w:val="continue"/>
            <w:vAlign w:val="center"/>
          </w:tcPr>
          <w:p w14:paraId="5CD84A94">
            <w:pPr>
              <w:snapToGrid w:val="0"/>
              <w:spacing w:after="0" w:line="240" w:lineRule="auto"/>
              <w:jc w:val="center"/>
              <w:rPr>
                <w:rFonts w:hint="eastAsia" w:ascii="仿宋_GB2312" w:hAnsi="宋体" w:eastAsia="仿宋_GB2312"/>
                <w:sz w:val="24"/>
              </w:rPr>
            </w:pPr>
          </w:p>
        </w:tc>
        <w:tc>
          <w:tcPr>
            <w:tcW w:w="482" w:type="pct"/>
            <w:vAlign w:val="center"/>
          </w:tcPr>
          <w:p w14:paraId="16507FB7">
            <w:pPr>
              <w:snapToGrid w:val="0"/>
              <w:spacing w:after="0" w:line="240" w:lineRule="auto"/>
              <w:jc w:val="center"/>
              <w:rPr>
                <w:rFonts w:hint="eastAsia" w:ascii="仿宋_GB2312" w:hAnsi="宋体" w:eastAsia="仿宋_GB2312"/>
                <w:sz w:val="24"/>
              </w:rPr>
            </w:pPr>
            <w:r>
              <w:rPr>
                <w:rFonts w:hint="eastAsia" w:ascii="仿宋_GB2312" w:hAnsi="宋体" w:eastAsia="仿宋_GB2312"/>
                <w:sz w:val="24"/>
              </w:rPr>
              <w:t>危险废物运输</w:t>
            </w:r>
          </w:p>
        </w:tc>
        <w:tc>
          <w:tcPr>
            <w:tcW w:w="1305" w:type="pct"/>
          </w:tcPr>
          <w:p w14:paraId="00C50BA7">
            <w:pPr>
              <w:snapToGrid w:val="0"/>
              <w:spacing w:after="0" w:line="240" w:lineRule="auto"/>
              <w:rPr>
                <w:rFonts w:hint="eastAsia" w:ascii="仿宋_GB2312" w:hAnsi="宋体" w:eastAsia="仿宋_GB2312"/>
                <w:sz w:val="24"/>
              </w:rPr>
            </w:pPr>
          </w:p>
        </w:tc>
        <w:tc>
          <w:tcPr>
            <w:tcW w:w="367" w:type="pct"/>
          </w:tcPr>
          <w:p w14:paraId="55F30A0E">
            <w:pPr>
              <w:snapToGrid w:val="0"/>
              <w:spacing w:after="0" w:line="240" w:lineRule="auto"/>
              <w:rPr>
                <w:rFonts w:hint="eastAsia" w:ascii="仿宋_GB2312" w:hAnsi="宋体" w:eastAsia="仿宋_GB2312"/>
                <w:sz w:val="24"/>
              </w:rPr>
            </w:pPr>
          </w:p>
        </w:tc>
        <w:tc>
          <w:tcPr>
            <w:tcW w:w="2599" w:type="pct"/>
            <w:gridSpan w:val="6"/>
          </w:tcPr>
          <w:p w14:paraId="2A743072">
            <w:pPr>
              <w:snapToGrid w:val="0"/>
              <w:spacing w:after="0" w:line="240" w:lineRule="auto"/>
              <w:rPr>
                <w:rFonts w:hint="eastAsia" w:ascii="仿宋_GB2312" w:hAnsi="宋体" w:eastAsia="仿宋_GB2312"/>
                <w:sz w:val="24"/>
              </w:rPr>
            </w:pPr>
            <w:r>
              <w:rPr>
                <w:rFonts w:hint="eastAsia" w:ascii="仿宋_GB2312" w:hAnsi="宋体" w:eastAsia="仿宋_GB2312"/>
                <w:sz w:val="24"/>
              </w:rPr>
              <w:t xml:space="preserve">危险废物的运输乙方可自行运输或委托有危险废物道路运输资质的公司负责运输，车辆驶出甲方厂区的运输风险由乙方承担。  </w:t>
            </w:r>
            <w:r>
              <w:rPr>
                <w:rFonts w:hint="eastAsia" w:ascii="仿宋_GB2312" w:hAnsi="宋体" w:eastAsia="仿宋_GB2312"/>
                <w:b/>
                <w:sz w:val="24"/>
              </w:rPr>
              <w:t>是□  否□</w:t>
            </w:r>
          </w:p>
        </w:tc>
      </w:tr>
      <w:tr w14:paraId="156EA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244" w:type="pct"/>
            <w:vMerge w:val="continue"/>
            <w:vAlign w:val="center"/>
          </w:tcPr>
          <w:p w14:paraId="29D89B66">
            <w:pPr>
              <w:snapToGrid w:val="0"/>
              <w:spacing w:after="0" w:line="240" w:lineRule="auto"/>
              <w:jc w:val="center"/>
              <w:rPr>
                <w:rFonts w:hint="eastAsia" w:ascii="仿宋_GB2312" w:hAnsi="宋体" w:eastAsia="仿宋_GB2312"/>
                <w:sz w:val="24"/>
              </w:rPr>
            </w:pPr>
          </w:p>
        </w:tc>
        <w:tc>
          <w:tcPr>
            <w:tcW w:w="482" w:type="pct"/>
            <w:vAlign w:val="center"/>
          </w:tcPr>
          <w:p w14:paraId="72B96B39">
            <w:pPr>
              <w:snapToGrid w:val="0"/>
              <w:spacing w:after="0" w:line="240" w:lineRule="auto"/>
              <w:jc w:val="center"/>
              <w:rPr>
                <w:rFonts w:hint="eastAsia" w:ascii="仿宋_GB2312" w:hAnsi="宋体" w:eastAsia="仿宋_GB2312"/>
                <w:sz w:val="24"/>
              </w:rPr>
            </w:pPr>
            <w:r>
              <w:rPr>
                <w:rFonts w:hint="eastAsia" w:ascii="仿宋_GB2312" w:hAnsi="宋体" w:eastAsia="仿宋_GB2312"/>
                <w:sz w:val="24"/>
              </w:rPr>
              <w:t>危险废物处置</w:t>
            </w:r>
          </w:p>
        </w:tc>
        <w:tc>
          <w:tcPr>
            <w:tcW w:w="1305" w:type="pct"/>
          </w:tcPr>
          <w:p w14:paraId="17E0C9F8">
            <w:pPr>
              <w:snapToGrid w:val="0"/>
              <w:spacing w:after="0" w:line="240" w:lineRule="auto"/>
              <w:rPr>
                <w:rFonts w:hint="eastAsia" w:ascii="仿宋_GB2312" w:hAnsi="宋体" w:eastAsia="仿宋_GB2312"/>
                <w:sz w:val="24"/>
              </w:rPr>
            </w:pPr>
          </w:p>
        </w:tc>
        <w:tc>
          <w:tcPr>
            <w:tcW w:w="367" w:type="pct"/>
          </w:tcPr>
          <w:p w14:paraId="41DA07BB">
            <w:pPr>
              <w:snapToGrid w:val="0"/>
              <w:spacing w:after="0" w:line="240" w:lineRule="auto"/>
              <w:rPr>
                <w:rFonts w:hint="eastAsia" w:ascii="仿宋_GB2312" w:hAnsi="宋体" w:eastAsia="仿宋_GB2312"/>
                <w:sz w:val="24"/>
              </w:rPr>
            </w:pPr>
          </w:p>
        </w:tc>
        <w:tc>
          <w:tcPr>
            <w:tcW w:w="2599" w:type="pct"/>
            <w:gridSpan w:val="6"/>
          </w:tcPr>
          <w:p w14:paraId="4C7C6D61">
            <w:pPr>
              <w:snapToGrid w:val="0"/>
              <w:spacing w:after="0" w:line="240" w:lineRule="auto"/>
              <w:rPr>
                <w:rFonts w:hint="eastAsia" w:ascii="仿宋_GB2312" w:hAnsi="宋体" w:eastAsia="仿宋_GB2312"/>
                <w:sz w:val="24"/>
              </w:rPr>
            </w:pPr>
            <w:r>
              <w:rPr>
                <w:rFonts w:hint="eastAsia" w:ascii="仿宋_GB2312" w:hAnsi="宋体" w:eastAsia="仿宋_GB2312"/>
                <w:sz w:val="24"/>
              </w:rPr>
              <w:t xml:space="preserve">乙方不得以任何理由拒绝、拖延在合同规定时限内转移甲方产生的危险废物；因其他客观原因造成的一定时间内不能及时处置危险废物，而此期间甲方危险废物贮存场所容量达到上限时，乙方应保证在合同规定时间内将甲方的危险废物转移至乙方周转库房内暂存。在危险废物处置过程中，如果发生任何环境污染事件以及由此受到政府主管部门的处罚，全部由乙方承担, 甲方不负任何责任。  </w:t>
            </w:r>
            <w:r>
              <w:rPr>
                <w:rFonts w:hint="eastAsia" w:ascii="仿宋_GB2312" w:hAnsi="宋体" w:eastAsia="仿宋_GB2312"/>
                <w:b/>
                <w:sz w:val="24"/>
              </w:rPr>
              <w:t>是□  否□</w:t>
            </w:r>
          </w:p>
        </w:tc>
      </w:tr>
    </w:tbl>
    <w:p w14:paraId="55887880">
      <w:pPr>
        <w:rPr>
          <w:rFonts w:hint="eastAsia" w:ascii="仿宋_GB2312" w:hAnsi="宋体" w:eastAsia="仿宋_GB2312"/>
          <w:sz w:val="24"/>
        </w:rPr>
      </w:pPr>
    </w:p>
    <w:p w14:paraId="27BF1AB2">
      <w:pPr>
        <w:rPr>
          <w:rFonts w:hint="eastAsia" w:ascii="宋体" w:hAnsi="宋体"/>
          <w:sz w:val="24"/>
        </w:rPr>
      </w:pPr>
      <w:r>
        <w:rPr>
          <w:rFonts w:hint="eastAsia" w:ascii="仿宋_GB2312" w:hAnsi="宋体" w:eastAsia="仿宋_GB2312"/>
          <w:sz w:val="24"/>
        </w:rPr>
        <w:t>投标人名称（盖章）：              法定代表人或授权代表签字：</w:t>
      </w:r>
    </w:p>
    <w:p w14:paraId="1A779E6C">
      <w:pPr>
        <w:rPr>
          <w:rFonts w:hint="eastAsia" w:ascii="宋体" w:hAnsi="宋体"/>
          <w:b/>
          <w:sz w:val="24"/>
        </w:rPr>
      </w:pPr>
    </w:p>
    <w:p w14:paraId="114CDFD4">
      <w:pPr>
        <w:rPr>
          <w:rFonts w:hint="eastAsia" w:ascii="仿宋_GB2312" w:hAnsi="宋体" w:eastAsia="仿宋_GB2312"/>
          <w:sz w:val="24"/>
        </w:rPr>
      </w:pPr>
      <w:r>
        <w:rPr>
          <w:rFonts w:hint="eastAsia" w:ascii="仿宋_GB2312" w:hAnsi="宋体" w:eastAsia="仿宋_GB2312"/>
          <w:b/>
          <w:sz w:val="24"/>
        </w:rPr>
        <w:t>注：</w:t>
      </w:r>
      <w:r>
        <w:rPr>
          <w:rFonts w:hint="eastAsia" w:ascii="仿宋_GB2312" w:hAnsi="宋体" w:eastAsia="仿宋_GB2312"/>
          <w:sz w:val="24"/>
        </w:rPr>
        <w:t>、1.单项价为此类危险废物处置价格。</w:t>
      </w:r>
    </w:p>
    <w:p w14:paraId="06B8E325">
      <w:pPr>
        <w:ind w:firstLine="720" w:firstLineChars="300"/>
        <w:rPr>
          <w:rFonts w:hint="eastAsia" w:ascii="仿宋_GB2312" w:hAnsi="宋体" w:eastAsia="仿宋_GB2312" w:cs="Arial"/>
          <w:snapToGrid w:val="0"/>
          <w:kern w:val="0"/>
          <w:sz w:val="24"/>
        </w:rPr>
      </w:pPr>
      <w:r>
        <w:rPr>
          <w:rFonts w:hint="eastAsia" w:ascii="仿宋_GB2312" w:hAnsi="宋体" w:eastAsia="仿宋_GB2312"/>
          <w:sz w:val="24"/>
        </w:rPr>
        <w:t>2.如果开标一览表中的投标价格与投标文件的投标价格有</w:t>
      </w:r>
      <w:r>
        <w:rPr>
          <w:rFonts w:hint="eastAsia" w:ascii="仿宋_GB2312" w:hAnsi="宋体" w:eastAsia="仿宋_GB2312" w:cs="Arial"/>
          <w:snapToGrid w:val="0"/>
          <w:kern w:val="0"/>
          <w:sz w:val="24"/>
        </w:rPr>
        <w:t>差异，以开标一览表为准；</w:t>
      </w:r>
    </w:p>
    <w:p w14:paraId="6EC7A136">
      <w:pPr>
        <w:ind w:firstLine="720" w:firstLineChars="300"/>
        <w:rPr>
          <w:rFonts w:hint="eastAsia" w:ascii="仿宋_GB2312" w:hAnsi="宋体" w:eastAsia="仿宋_GB2312"/>
          <w:sz w:val="24"/>
        </w:rPr>
      </w:pPr>
      <w:r>
        <w:rPr>
          <w:rFonts w:hint="eastAsia" w:ascii="仿宋_GB2312" w:hAnsi="宋体" w:eastAsia="仿宋_GB2312"/>
          <w:sz w:val="24"/>
        </w:rPr>
        <w:t>3.不接受可选择或可调整的报价方案和报价；</w:t>
      </w:r>
    </w:p>
    <w:p w14:paraId="1C66A6CB">
      <w:pPr>
        <w:ind w:firstLine="720" w:firstLineChars="300"/>
        <w:rPr>
          <w:rFonts w:hint="eastAsia" w:ascii="仿宋_GB2312" w:hAnsi="宋体" w:eastAsia="仿宋_GB2312"/>
          <w:sz w:val="24"/>
        </w:rPr>
      </w:pPr>
      <w:r>
        <w:rPr>
          <w:rFonts w:hint="eastAsia" w:ascii="仿宋_GB2312" w:hAnsi="宋体" w:eastAsia="仿宋_GB2312"/>
          <w:sz w:val="24"/>
        </w:rPr>
        <w:t>4.投标报价为完成本项目所需的全部费用，包含但不限于危险废物包装、装卸、运输、贮存、化验、处置及税费等；</w:t>
      </w:r>
    </w:p>
    <w:p w14:paraId="4A665F54">
      <w:pPr>
        <w:ind w:firstLine="720" w:firstLineChars="300"/>
        <w:rPr>
          <w:rFonts w:hint="eastAsia" w:ascii="仿宋_GB2312" w:hAnsi="宋体" w:eastAsia="仿宋_GB2312"/>
          <w:sz w:val="24"/>
        </w:rPr>
      </w:pPr>
      <w:r>
        <w:rPr>
          <w:rFonts w:hint="eastAsia" w:ascii="仿宋_GB2312" w:hAnsi="宋体" w:eastAsia="仿宋_GB2312"/>
          <w:sz w:val="24"/>
        </w:rPr>
        <w:t>5.投标人对报价若有说明，必须在开标一览表显著处注明，只有注明的报价和优惠才会在评标时予以考虑。</w:t>
      </w:r>
    </w:p>
    <w:p w14:paraId="77EBC879">
      <w:pPr>
        <w:ind w:firstLine="720" w:firstLineChars="300"/>
        <w:rPr>
          <w:rFonts w:hint="eastAsia" w:ascii="仿宋_GB2312" w:hAnsi="宋体" w:eastAsia="仿宋_GB2312"/>
          <w:sz w:val="24"/>
        </w:rPr>
      </w:pPr>
      <w:r>
        <w:rPr>
          <w:rFonts w:hint="eastAsia" w:ascii="仿宋_GB2312" w:hAnsi="宋体" w:eastAsia="仿宋_GB2312"/>
          <w:sz w:val="24"/>
        </w:rPr>
        <w:t>6.本表用于开标宣读用，请单独封存。</w:t>
      </w:r>
    </w:p>
    <w:p w14:paraId="013CA225">
      <w:pPr>
        <w:rPr>
          <w:rFonts w:hint="eastAsia" w:ascii="仿宋_GB2312" w:eastAsia="仿宋_GB2312"/>
          <w:b/>
          <w:bCs/>
          <w:sz w:val="28"/>
          <w:szCs w:val="28"/>
        </w:rPr>
      </w:pPr>
    </w:p>
    <w:p w14:paraId="6ECE0A21">
      <w:pPr>
        <w:rPr>
          <w:rFonts w:hint="eastAsia" w:ascii="仿宋_GB2312" w:eastAsia="仿宋_GB2312"/>
          <w:b/>
          <w:bCs/>
          <w:sz w:val="28"/>
          <w:szCs w:val="28"/>
        </w:rPr>
      </w:pPr>
    </w:p>
    <w:p w14:paraId="2B3769CC">
      <w:pPr>
        <w:rPr>
          <w:rFonts w:hint="eastAsia" w:ascii="仿宋_GB2312" w:eastAsia="仿宋_GB2312"/>
          <w:b/>
          <w:bCs/>
          <w:sz w:val="28"/>
          <w:szCs w:val="28"/>
        </w:rPr>
      </w:pPr>
    </w:p>
    <w:p w14:paraId="1716AC06">
      <w:pPr>
        <w:rPr>
          <w:rFonts w:hint="eastAsia" w:ascii="仿宋_GB2312" w:eastAsia="仿宋_GB2312"/>
          <w:b/>
          <w:bCs/>
          <w:sz w:val="28"/>
          <w:szCs w:val="28"/>
        </w:rPr>
      </w:pPr>
    </w:p>
    <w:p w14:paraId="29333610">
      <w:pPr>
        <w:rPr>
          <w:rFonts w:hint="eastAsia" w:ascii="仿宋_GB2312" w:eastAsia="仿宋_GB2312"/>
          <w:b/>
          <w:bCs/>
          <w:sz w:val="28"/>
          <w:szCs w:val="28"/>
        </w:rPr>
      </w:pPr>
    </w:p>
    <w:p w14:paraId="16BD290C">
      <w:pPr>
        <w:rPr>
          <w:rFonts w:hint="eastAsia" w:ascii="仿宋_GB2312" w:eastAsia="仿宋_GB2312"/>
          <w:b/>
          <w:bCs/>
          <w:sz w:val="24"/>
        </w:rPr>
      </w:pPr>
      <w:r>
        <w:rPr>
          <w:rFonts w:hint="eastAsia" w:ascii="仿宋_GB2312" w:eastAsia="仿宋_GB2312"/>
          <w:b/>
          <w:bCs/>
          <w:sz w:val="24"/>
        </w:rPr>
        <w:br w:type="page"/>
      </w:r>
    </w:p>
    <w:p w14:paraId="7B5E3FE6">
      <w:pPr>
        <w:rPr>
          <w:rFonts w:hint="default" w:ascii="仿宋_GB2312" w:eastAsia="仿宋_GB2312"/>
          <w:b/>
          <w:bCs/>
          <w:sz w:val="24"/>
          <w:lang w:val="en-US"/>
        </w:rPr>
      </w:pPr>
      <w:r>
        <w:rPr>
          <w:rFonts w:hint="eastAsia" w:ascii="宋体" w:hAnsi="宋体" w:eastAsia="宋体" w:cs="宋体"/>
          <w:sz w:val="32"/>
          <w:szCs w:val="32"/>
          <w:highlight w:val="yellow"/>
          <w:lang w:val="en-US" w:eastAsia="zh-CN"/>
        </w:rPr>
        <w:t>附件</w:t>
      </w:r>
      <w:r>
        <w:rPr>
          <w:rFonts w:hint="eastAsia" w:ascii="宋体" w:hAnsi="宋体" w:cs="宋体"/>
          <w:sz w:val="32"/>
          <w:szCs w:val="32"/>
          <w:highlight w:val="yellow"/>
          <w:lang w:val="en-US" w:eastAsia="zh-CN"/>
        </w:rPr>
        <w:t>4</w:t>
      </w:r>
    </w:p>
    <w:p w14:paraId="3DAFEB70">
      <w:pPr>
        <w:rPr>
          <w:rFonts w:hint="eastAsia" w:ascii="仿宋_GB2312" w:eastAsia="仿宋_GB2312"/>
          <w:b/>
          <w:bCs/>
          <w:sz w:val="24"/>
        </w:rPr>
      </w:pPr>
      <w:r>
        <w:rPr>
          <w:rFonts w:hint="eastAsia" w:ascii="仿宋_GB2312" w:eastAsia="仿宋_GB2312"/>
          <w:b/>
          <w:bCs/>
          <w:sz w:val="24"/>
        </w:rPr>
        <w:t>项目名称：</w:t>
      </w:r>
      <w:r>
        <w:rPr>
          <w:rFonts w:hint="eastAsia" w:ascii="仿宋_GB2312" w:eastAsia="仿宋_GB2312"/>
          <w:b/>
          <w:bCs/>
          <w:sz w:val="24"/>
          <w:lang w:val="en-US" w:eastAsia="zh-CN"/>
        </w:rPr>
        <w:t>车桥公司</w:t>
      </w:r>
      <w:r>
        <w:rPr>
          <w:rFonts w:hint="eastAsia" w:ascii="仿宋_GB2312" w:eastAsia="仿宋_GB2312"/>
          <w:b/>
          <w:bCs/>
          <w:sz w:val="24"/>
        </w:rPr>
        <w:t>2026年度危险废物处置项目</w:t>
      </w:r>
    </w:p>
    <w:p w14:paraId="59DD5364">
      <w:pPr>
        <w:rPr>
          <w:rFonts w:hint="eastAsia" w:ascii="仿宋_GB2312" w:eastAsia="仿宋_GB2312"/>
          <w:sz w:val="24"/>
          <w:u w:val="single"/>
        </w:rPr>
      </w:pPr>
    </w:p>
    <w:p w14:paraId="2857DD3F">
      <w:pPr>
        <w:rPr>
          <w:rFonts w:hint="eastAsia" w:ascii="仿宋_GB2312" w:eastAsia="仿宋_GB2312"/>
          <w:b/>
          <w:bCs/>
          <w:sz w:val="24"/>
        </w:rPr>
      </w:pPr>
      <w:r>
        <w:rPr>
          <w:rFonts w:hint="eastAsia" w:ascii="仿宋_GB2312" w:eastAsia="仿宋_GB2312"/>
          <w:b/>
          <w:bCs/>
          <w:sz w:val="24"/>
        </w:rPr>
        <w:t>日期：  年   月   日</w:t>
      </w:r>
    </w:p>
    <w:p w14:paraId="0C548E83">
      <w:pPr>
        <w:rPr>
          <w:rFonts w:hint="eastAsia" w:ascii="仿宋_GB2312" w:hAnsi="宋体" w:eastAsia="仿宋_GB2312"/>
          <w:sz w:val="24"/>
        </w:rPr>
      </w:pPr>
    </w:p>
    <w:p w14:paraId="3720E16D">
      <w:pPr>
        <w:jc w:val="center"/>
        <w:rPr>
          <w:rFonts w:hint="eastAsia" w:ascii="仿宋_GB2312" w:eastAsia="仿宋_GB2312"/>
          <w:b/>
          <w:bCs/>
          <w:sz w:val="24"/>
        </w:rPr>
      </w:pPr>
      <w:r>
        <w:rPr>
          <w:rFonts w:hint="eastAsia" w:ascii="仿宋_GB2312" w:eastAsia="仿宋_GB2312"/>
          <w:b/>
          <w:bCs/>
          <w:sz w:val="24"/>
        </w:rPr>
        <w:t>相关条款偏离表（商务偏离）</w:t>
      </w:r>
    </w:p>
    <w:tbl>
      <w:tblPr>
        <w:tblStyle w:val="30"/>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1080"/>
        <w:gridCol w:w="3060"/>
        <w:gridCol w:w="3554"/>
      </w:tblGrid>
      <w:tr w14:paraId="212AC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restart"/>
            <w:vAlign w:val="center"/>
          </w:tcPr>
          <w:p w14:paraId="50C7A6CD">
            <w:pPr>
              <w:jc w:val="center"/>
              <w:rPr>
                <w:rFonts w:hint="eastAsia" w:ascii="仿宋_GB2312" w:hAnsi="宋体" w:eastAsia="仿宋_GB2312"/>
                <w:sz w:val="24"/>
              </w:rPr>
            </w:pPr>
            <w:r>
              <w:rPr>
                <w:rFonts w:hint="eastAsia" w:ascii="仿宋_GB2312" w:hAnsi="宋体" w:eastAsia="仿宋_GB2312"/>
                <w:sz w:val="24"/>
              </w:rPr>
              <w:t>序号</w:t>
            </w:r>
          </w:p>
        </w:tc>
        <w:tc>
          <w:tcPr>
            <w:tcW w:w="4140" w:type="dxa"/>
            <w:gridSpan w:val="2"/>
            <w:vAlign w:val="center"/>
          </w:tcPr>
          <w:p w14:paraId="697826A9">
            <w:pPr>
              <w:jc w:val="center"/>
              <w:rPr>
                <w:rFonts w:hint="eastAsia" w:ascii="仿宋_GB2312" w:hAnsi="宋体" w:eastAsia="仿宋_GB2312"/>
                <w:sz w:val="24"/>
              </w:rPr>
            </w:pPr>
            <w:r>
              <w:rPr>
                <w:rFonts w:hint="eastAsia" w:ascii="仿宋_GB2312" w:hAnsi="宋体" w:eastAsia="仿宋_GB2312"/>
                <w:sz w:val="24"/>
              </w:rPr>
              <w:t>招标文件条款</w:t>
            </w:r>
          </w:p>
        </w:tc>
        <w:tc>
          <w:tcPr>
            <w:tcW w:w="3554" w:type="dxa"/>
            <w:vMerge w:val="restart"/>
            <w:vAlign w:val="center"/>
          </w:tcPr>
          <w:p w14:paraId="66D56566">
            <w:pPr>
              <w:jc w:val="center"/>
              <w:rPr>
                <w:rFonts w:hint="eastAsia" w:ascii="仿宋_GB2312" w:hAnsi="宋体" w:eastAsia="仿宋_GB2312"/>
                <w:sz w:val="24"/>
              </w:rPr>
            </w:pPr>
            <w:r>
              <w:rPr>
                <w:rFonts w:hint="eastAsia" w:ascii="仿宋_GB2312" w:hAnsi="宋体" w:eastAsia="仿宋_GB2312"/>
                <w:sz w:val="24"/>
              </w:rPr>
              <w:t>偏离内容</w:t>
            </w:r>
          </w:p>
        </w:tc>
      </w:tr>
      <w:tr w14:paraId="44AEA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continue"/>
            <w:vAlign w:val="center"/>
          </w:tcPr>
          <w:p w14:paraId="38E116E2">
            <w:pPr>
              <w:rPr>
                <w:rFonts w:hint="eastAsia" w:ascii="仿宋_GB2312" w:hAnsi="宋体" w:eastAsia="仿宋_GB2312"/>
                <w:sz w:val="24"/>
              </w:rPr>
            </w:pPr>
          </w:p>
        </w:tc>
        <w:tc>
          <w:tcPr>
            <w:tcW w:w="1080" w:type="dxa"/>
            <w:vAlign w:val="center"/>
          </w:tcPr>
          <w:p w14:paraId="31CC5318">
            <w:pPr>
              <w:jc w:val="center"/>
              <w:rPr>
                <w:rFonts w:hint="eastAsia" w:ascii="仿宋_GB2312" w:hAnsi="宋体" w:eastAsia="仿宋_GB2312"/>
                <w:sz w:val="24"/>
              </w:rPr>
            </w:pPr>
            <w:r>
              <w:rPr>
                <w:rFonts w:hint="eastAsia" w:ascii="仿宋_GB2312" w:hAnsi="宋体" w:eastAsia="仿宋_GB2312"/>
                <w:sz w:val="24"/>
              </w:rPr>
              <w:t>条款号</w:t>
            </w:r>
          </w:p>
        </w:tc>
        <w:tc>
          <w:tcPr>
            <w:tcW w:w="3060" w:type="dxa"/>
            <w:vAlign w:val="center"/>
          </w:tcPr>
          <w:p w14:paraId="6098A83E">
            <w:pPr>
              <w:jc w:val="center"/>
              <w:rPr>
                <w:rFonts w:hint="eastAsia" w:ascii="仿宋_GB2312" w:hAnsi="宋体" w:eastAsia="仿宋_GB2312"/>
                <w:sz w:val="24"/>
              </w:rPr>
            </w:pPr>
            <w:r>
              <w:rPr>
                <w:rFonts w:hint="eastAsia" w:ascii="仿宋_GB2312" w:hAnsi="宋体" w:eastAsia="仿宋_GB2312"/>
                <w:sz w:val="24"/>
              </w:rPr>
              <w:t>条款要求</w:t>
            </w:r>
          </w:p>
        </w:tc>
        <w:tc>
          <w:tcPr>
            <w:tcW w:w="3554" w:type="dxa"/>
            <w:vMerge w:val="continue"/>
            <w:vAlign w:val="center"/>
          </w:tcPr>
          <w:p w14:paraId="7E0B7E07">
            <w:pPr>
              <w:jc w:val="center"/>
              <w:rPr>
                <w:rFonts w:hint="eastAsia" w:ascii="仿宋_GB2312" w:hAnsi="宋体" w:eastAsia="仿宋_GB2312"/>
                <w:sz w:val="24"/>
              </w:rPr>
            </w:pPr>
          </w:p>
        </w:tc>
      </w:tr>
      <w:tr w14:paraId="5864A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5A5DC076">
            <w:pPr>
              <w:jc w:val="center"/>
              <w:rPr>
                <w:rFonts w:hint="eastAsia" w:ascii="仿宋_GB2312" w:hAnsi="宋体" w:eastAsia="仿宋_GB2312"/>
                <w:sz w:val="24"/>
              </w:rPr>
            </w:pPr>
            <w:r>
              <w:rPr>
                <w:rFonts w:hint="eastAsia" w:ascii="仿宋_GB2312" w:hAnsi="宋体" w:eastAsia="仿宋_GB2312"/>
                <w:sz w:val="24"/>
              </w:rPr>
              <w:t>1</w:t>
            </w:r>
          </w:p>
        </w:tc>
        <w:tc>
          <w:tcPr>
            <w:tcW w:w="1080" w:type="dxa"/>
            <w:vAlign w:val="center"/>
          </w:tcPr>
          <w:p w14:paraId="59C7F50A">
            <w:pPr>
              <w:rPr>
                <w:rFonts w:hint="eastAsia" w:ascii="仿宋_GB2312" w:hAnsi="宋体" w:eastAsia="仿宋_GB2312"/>
                <w:sz w:val="24"/>
              </w:rPr>
            </w:pPr>
          </w:p>
        </w:tc>
        <w:tc>
          <w:tcPr>
            <w:tcW w:w="3060" w:type="dxa"/>
            <w:vAlign w:val="center"/>
          </w:tcPr>
          <w:p w14:paraId="58753AFE">
            <w:pPr>
              <w:rPr>
                <w:rFonts w:hint="eastAsia" w:ascii="仿宋_GB2312" w:hAnsi="宋体" w:eastAsia="仿宋_GB2312"/>
                <w:sz w:val="24"/>
              </w:rPr>
            </w:pPr>
          </w:p>
        </w:tc>
        <w:tc>
          <w:tcPr>
            <w:tcW w:w="3554" w:type="dxa"/>
            <w:vAlign w:val="center"/>
          </w:tcPr>
          <w:p w14:paraId="0A435307">
            <w:pPr>
              <w:rPr>
                <w:rFonts w:hint="eastAsia" w:ascii="仿宋_GB2312" w:hAnsi="宋体" w:eastAsia="仿宋_GB2312"/>
                <w:sz w:val="24"/>
              </w:rPr>
            </w:pPr>
          </w:p>
        </w:tc>
      </w:tr>
      <w:tr w14:paraId="0CBE7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4D537515">
            <w:pPr>
              <w:jc w:val="center"/>
              <w:rPr>
                <w:rFonts w:hint="eastAsia" w:ascii="仿宋_GB2312" w:hAnsi="宋体" w:eastAsia="仿宋_GB2312"/>
                <w:sz w:val="24"/>
              </w:rPr>
            </w:pPr>
            <w:r>
              <w:rPr>
                <w:rFonts w:hint="eastAsia" w:ascii="仿宋_GB2312" w:hAnsi="宋体" w:eastAsia="仿宋_GB2312"/>
                <w:sz w:val="24"/>
              </w:rPr>
              <w:t>2</w:t>
            </w:r>
          </w:p>
        </w:tc>
        <w:tc>
          <w:tcPr>
            <w:tcW w:w="1080" w:type="dxa"/>
            <w:vAlign w:val="center"/>
          </w:tcPr>
          <w:p w14:paraId="18C03417">
            <w:pPr>
              <w:rPr>
                <w:rFonts w:hint="eastAsia" w:ascii="仿宋_GB2312" w:hAnsi="宋体" w:eastAsia="仿宋_GB2312"/>
                <w:sz w:val="24"/>
              </w:rPr>
            </w:pPr>
          </w:p>
        </w:tc>
        <w:tc>
          <w:tcPr>
            <w:tcW w:w="3060" w:type="dxa"/>
            <w:vAlign w:val="center"/>
          </w:tcPr>
          <w:p w14:paraId="6C617075">
            <w:pPr>
              <w:rPr>
                <w:rFonts w:hint="eastAsia" w:ascii="仿宋_GB2312" w:hAnsi="宋体" w:eastAsia="仿宋_GB2312"/>
                <w:sz w:val="24"/>
              </w:rPr>
            </w:pPr>
          </w:p>
        </w:tc>
        <w:tc>
          <w:tcPr>
            <w:tcW w:w="3554" w:type="dxa"/>
            <w:vAlign w:val="center"/>
          </w:tcPr>
          <w:p w14:paraId="37F8BB18">
            <w:pPr>
              <w:rPr>
                <w:rFonts w:hint="eastAsia" w:ascii="仿宋_GB2312" w:hAnsi="宋体" w:eastAsia="仿宋_GB2312"/>
                <w:sz w:val="24"/>
              </w:rPr>
            </w:pPr>
          </w:p>
        </w:tc>
      </w:tr>
      <w:tr w14:paraId="13A06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0850A0CD">
            <w:pPr>
              <w:jc w:val="center"/>
              <w:rPr>
                <w:rFonts w:hint="eastAsia" w:ascii="仿宋_GB2312" w:hAnsi="宋体" w:eastAsia="仿宋_GB2312"/>
                <w:sz w:val="24"/>
              </w:rPr>
            </w:pPr>
            <w:r>
              <w:rPr>
                <w:rFonts w:hint="eastAsia" w:ascii="仿宋_GB2312" w:hAnsi="宋体" w:eastAsia="仿宋_GB2312"/>
                <w:sz w:val="24"/>
              </w:rPr>
              <w:t>3</w:t>
            </w:r>
          </w:p>
        </w:tc>
        <w:tc>
          <w:tcPr>
            <w:tcW w:w="1080" w:type="dxa"/>
            <w:vAlign w:val="center"/>
          </w:tcPr>
          <w:p w14:paraId="1E32510D">
            <w:pPr>
              <w:rPr>
                <w:rFonts w:hint="eastAsia" w:ascii="仿宋_GB2312" w:hAnsi="宋体" w:eastAsia="仿宋_GB2312"/>
                <w:sz w:val="24"/>
              </w:rPr>
            </w:pPr>
          </w:p>
        </w:tc>
        <w:tc>
          <w:tcPr>
            <w:tcW w:w="3060" w:type="dxa"/>
            <w:vAlign w:val="center"/>
          </w:tcPr>
          <w:p w14:paraId="3B7EF534">
            <w:pPr>
              <w:rPr>
                <w:rFonts w:hint="eastAsia" w:ascii="仿宋_GB2312" w:hAnsi="宋体" w:eastAsia="仿宋_GB2312"/>
                <w:sz w:val="24"/>
              </w:rPr>
            </w:pPr>
          </w:p>
        </w:tc>
        <w:tc>
          <w:tcPr>
            <w:tcW w:w="3554" w:type="dxa"/>
            <w:vAlign w:val="center"/>
          </w:tcPr>
          <w:p w14:paraId="57B41B45">
            <w:pPr>
              <w:rPr>
                <w:rFonts w:hint="eastAsia" w:ascii="仿宋_GB2312" w:hAnsi="宋体" w:eastAsia="仿宋_GB2312"/>
                <w:sz w:val="24"/>
              </w:rPr>
            </w:pPr>
          </w:p>
        </w:tc>
      </w:tr>
      <w:tr w14:paraId="34432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57C74B68">
            <w:pPr>
              <w:jc w:val="center"/>
              <w:rPr>
                <w:rFonts w:hint="eastAsia" w:ascii="仿宋_GB2312" w:hAnsi="宋体" w:eastAsia="仿宋_GB2312"/>
                <w:sz w:val="24"/>
              </w:rPr>
            </w:pPr>
            <w:r>
              <w:rPr>
                <w:rFonts w:hint="eastAsia" w:ascii="仿宋_GB2312" w:hAnsi="宋体" w:eastAsia="仿宋_GB2312"/>
                <w:sz w:val="24"/>
              </w:rPr>
              <w:t>4</w:t>
            </w:r>
          </w:p>
        </w:tc>
        <w:tc>
          <w:tcPr>
            <w:tcW w:w="1080" w:type="dxa"/>
            <w:vAlign w:val="center"/>
          </w:tcPr>
          <w:p w14:paraId="0CD5135C">
            <w:pPr>
              <w:rPr>
                <w:rFonts w:hint="eastAsia" w:ascii="仿宋_GB2312" w:hAnsi="宋体" w:eastAsia="仿宋_GB2312"/>
                <w:sz w:val="24"/>
              </w:rPr>
            </w:pPr>
          </w:p>
        </w:tc>
        <w:tc>
          <w:tcPr>
            <w:tcW w:w="3060" w:type="dxa"/>
            <w:vAlign w:val="center"/>
          </w:tcPr>
          <w:p w14:paraId="45B73145">
            <w:pPr>
              <w:rPr>
                <w:rFonts w:hint="eastAsia" w:ascii="仿宋_GB2312" w:hAnsi="宋体" w:eastAsia="仿宋_GB2312"/>
                <w:sz w:val="24"/>
              </w:rPr>
            </w:pPr>
          </w:p>
        </w:tc>
        <w:tc>
          <w:tcPr>
            <w:tcW w:w="3554" w:type="dxa"/>
            <w:vAlign w:val="center"/>
          </w:tcPr>
          <w:p w14:paraId="37DB80C1">
            <w:pPr>
              <w:rPr>
                <w:rFonts w:hint="eastAsia" w:ascii="仿宋_GB2312" w:hAnsi="宋体" w:eastAsia="仿宋_GB2312"/>
                <w:sz w:val="24"/>
              </w:rPr>
            </w:pPr>
          </w:p>
        </w:tc>
      </w:tr>
      <w:tr w14:paraId="2DE7E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5CF6A3B8">
            <w:pPr>
              <w:jc w:val="center"/>
              <w:rPr>
                <w:rFonts w:hint="eastAsia" w:ascii="仿宋_GB2312" w:hAnsi="宋体" w:eastAsia="仿宋_GB2312"/>
                <w:sz w:val="24"/>
              </w:rPr>
            </w:pPr>
            <w:r>
              <w:rPr>
                <w:rFonts w:hint="eastAsia" w:ascii="仿宋_GB2312" w:hAnsi="宋体" w:eastAsia="仿宋_GB2312"/>
                <w:sz w:val="24"/>
              </w:rPr>
              <w:t>5</w:t>
            </w:r>
          </w:p>
        </w:tc>
        <w:tc>
          <w:tcPr>
            <w:tcW w:w="1080" w:type="dxa"/>
            <w:vAlign w:val="center"/>
          </w:tcPr>
          <w:p w14:paraId="2A6B6B20">
            <w:pPr>
              <w:rPr>
                <w:rFonts w:hint="eastAsia" w:ascii="仿宋_GB2312" w:hAnsi="宋体" w:eastAsia="仿宋_GB2312"/>
                <w:sz w:val="24"/>
              </w:rPr>
            </w:pPr>
          </w:p>
        </w:tc>
        <w:tc>
          <w:tcPr>
            <w:tcW w:w="3060" w:type="dxa"/>
            <w:vAlign w:val="center"/>
          </w:tcPr>
          <w:p w14:paraId="1DC861DF">
            <w:pPr>
              <w:rPr>
                <w:rFonts w:hint="eastAsia" w:ascii="仿宋_GB2312" w:hAnsi="宋体" w:eastAsia="仿宋_GB2312"/>
                <w:sz w:val="24"/>
              </w:rPr>
            </w:pPr>
          </w:p>
        </w:tc>
        <w:tc>
          <w:tcPr>
            <w:tcW w:w="3554" w:type="dxa"/>
            <w:vAlign w:val="center"/>
          </w:tcPr>
          <w:p w14:paraId="27AF5CEF">
            <w:pPr>
              <w:rPr>
                <w:rFonts w:hint="eastAsia" w:ascii="仿宋_GB2312" w:hAnsi="宋体" w:eastAsia="仿宋_GB2312"/>
                <w:sz w:val="24"/>
              </w:rPr>
            </w:pPr>
          </w:p>
        </w:tc>
      </w:tr>
      <w:tr w14:paraId="65ADF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11FEB15B">
            <w:pPr>
              <w:jc w:val="center"/>
              <w:rPr>
                <w:rFonts w:hint="eastAsia" w:ascii="仿宋_GB2312" w:hAnsi="宋体" w:eastAsia="仿宋_GB2312"/>
                <w:sz w:val="24"/>
              </w:rPr>
            </w:pPr>
            <w:r>
              <w:rPr>
                <w:rFonts w:hint="eastAsia" w:ascii="仿宋_GB2312" w:hAnsi="宋体" w:eastAsia="仿宋_GB2312"/>
                <w:sz w:val="24"/>
              </w:rPr>
              <w:t>6</w:t>
            </w:r>
          </w:p>
        </w:tc>
        <w:tc>
          <w:tcPr>
            <w:tcW w:w="1080" w:type="dxa"/>
            <w:vAlign w:val="center"/>
          </w:tcPr>
          <w:p w14:paraId="1D6731C1">
            <w:pPr>
              <w:rPr>
                <w:rFonts w:hint="eastAsia" w:ascii="仿宋_GB2312" w:hAnsi="宋体" w:eastAsia="仿宋_GB2312"/>
                <w:sz w:val="24"/>
              </w:rPr>
            </w:pPr>
          </w:p>
        </w:tc>
        <w:tc>
          <w:tcPr>
            <w:tcW w:w="3060" w:type="dxa"/>
            <w:vAlign w:val="center"/>
          </w:tcPr>
          <w:p w14:paraId="5692C023">
            <w:pPr>
              <w:rPr>
                <w:rFonts w:hint="eastAsia" w:ascii="仿宋_GB2312" w:hAnsi="宋体" w:eastAsia="仿宋_GB2312"/>
                <w:sz w:val="24"/>
              </w:rPr>
            </w:pPr>
          </w:p>
        </w:tc>
        <w:tc>
          <w:tcPr>
            <w:tcW w:w="3554" w:type="dxa"/>
            <w:vAlign w:val="center"/>
          </w:tcPr>
          <w:p w14:paraId="2F139AB2">
            <w:pPr>
              <w:rPr>
                <w:rFonts w:hint="eastAsia" w:ascii="仿宋_GB2312" w:hAnsi="宋体" w:eastAsia="仿宋_GB2312"/>
                <w:sz w:val="24"/>
              </w:rPr>
            </w:pPr>
          </w:p>
        </w:tc>
      </w:tr>
    </w:tbl>
    <w:p w14:paraId="34E59D20">
      <w:pPr>
        <w:rPr>
          <w:rFonts w:hint="eastAsia" w:ascii="仿宋_GB2312" w:hAnsi="宋体" w:eastAsia="仿宋_GB2312"/>
          <w:sz w:val="24"/>
        </w:rPr>
      </w:pPr>
    </w:p>
    <w:p w14:paraId="0DFEB3A6">
      <w:pPr>
        <w:rPr>
          <w:rFonts w:hint="eastAsia" w:ascii="仿宋_GB2312" w:hAnsi="宋体" w:eastAsia="仿宋_GB2312"/>
          <w:sz w:val="24"/>
        </w:rPr>
      </w:pPr>
      <w:r>
        <w:rPr>
          <w:rFonts w:hint="eastAsia" w:ascii="仿宋_GB2312" w:hAnsi="宋体" w:eastAsia="仿宋_GB2312"/>
          <w:sz w:val="24"/>
        </w:rPr>
        <w:t>投标人名称（盖章）：              法定代表人或授权代表签字：</w:t>
      </w:r>
    </w:p>
    <w:p w14:paraId="134F7D36">
      <w:pPr>
        <w:rPr>
          <w:rFonts w:hint="eastAsia" w:ascii="仿宋_GB2312" w:hAnsi="宋体" w:eastAsia="仿宋_GB2312"/>
          <w:sz w:val="24"/>
        </w:rPr>
      </w:pPr>
    </w:p>
    <w:p w14:paraId="7F899AFD">
      <w:pPr>
        <w:rPr>
          <w:rFonts w:hint="eastAsia" w:ascii="仿宋_GB2312" w:hAnsi="宋体" w:eastAsia="仿宋_GB2312"/>
          <w:sz w:val="24"/>
        </w:rPr>
      </w:pPr>
    </w:p>
    <w:p w14:paraId="4F8162DE">
      <w:pPr>
        <w:pStyle w:val="14"/>
        <w:spacing w:line="360" w:lineRule="auto"/>
        <w:rPr>
          <w:rFonts w:hint="eastAsia" w:ascii="仿宋_GB2312" w:hAnsi="宋体" w:eastAsia="仿宋_GB2312"/>
          <w:bCs/>
          <w:sz w:val="24"/>
          <w:szCs w:val="24"/>
        </w:rPr>
      </w:pPr>
      <w:r>
        <w:rPr>
          <w:rFonts w:hint="eastAsia" w:ascii="仿宋_GB2312" w:hAnsi="宋体" w:eastAsia="仿宋_GB2312"/>
          <w:b/>
          <w:sz w:val="24"/>
          <w:szCs w:val="24"/>
        </w:rPr>
        <w:t>注：</w:t>
      </w:r>
      <w:r>
        <w:rPr>
          <w:rFonts w:hint="eastAsia" w:ascii="仿宋_GB2312" w:hAnsi="宋体" w:eastAsia="仿宋_GB2312"/>
          <w:sz w:val="24"/>
          <w:szCs w:val="24"/>
        </w:rPr>
        <w:t>可做正偏离，但不允许有低于本招标文件相关要求的情况出现，否则视为</w:t>
      </w:r>
      <w:r>
        <w:rPr>
          <w:rFonts w:hint="eastAsia" w:ascii="仿宋_GB2312" w:eastAsia="仿宋_GB2312"/>
          <w:sz w:val="24"/>
          <w:szCs w:val="24"/>
        </w:rPr>
        <w:t>主动放弃本项目投标；</w:t>
      </w:r>
      <w:r>
        <w:rPr>
          <w:rFonts w:hint="eastAsia" w:ascii="仿宋_GB2312" w:hAnsi="宋体" w:eastAsia="仿宋_GB2312"/>
          <w:sz w:val="24"/>
          <w:szCs w:val="24"/>
        </w:rPr>
        <w:t>为避免歧义，无偏离也应要提报该表，并注明“无”字。如无该表则即使在其它部分已反映，将也被视为“无偏离”。</w:t>
      </w:r>
    </w:p>
    <w:p w14:paraId="5A2D53A3">
      <w:pPr>
        <w:rPr>
          <w:rFonts w:hint="eastAsia" w:ascii="仿宋_GB2312" w:eastAsia="仿宋_GB2312"/>
          <w:b/>
          <w:bCs/>
          <w:sz w:val="28"/>
          <w:szCs w:val="28"/>
        </w:rPr>
      </w:pPr>
    </w:p>
    <w:p w14:paraId="4217227D">
      <w:pPr>
        <w:rPr>
          <w:rFonts w:hint="eastAsia" w:ascii="仿宋_GB2312" w:eastAsia="仿宋_GB2312"/>
          <w:b/>
          <w:bCs/>
          <w:sz w:val="28"/>
          <w:szCs w:val="28"/>
        </w:rPr>
      </w:pPr>
      <w:r>
        <w:rPr>
          <w:rFonts w:hint="eastAsia" w:ascii="仿宋_GB2312" w:eastAsia="仿宋_GB2312"/>
          <w:b/>
          <w:bCs/>
          <w:sz w:val="28"/>
          <w:szCs w:val="28"/>
        </w:rPr>
        <w:br w:type="page"/>
      </w:r>
    </w:p>
    <w:p w14:paraId="6DB6E000">
      <w:pPr>
        <w:pStyle w:val="14"/>
        <w:outlineLvl w:val="2"/>
        <w:rPr>
          <w:rFonts w:hAnsi="宋体" w:cs="宋体"/>
          <w:b/>
          <w:bCs/>
          <w:color w:val="000000"/>
          <w:sz w:val="24"/>
          <w:szCs w:val="24"/>
        </w:rPr>
      </w:pPr>
      <w:r>
        <w:rPr>
          <w:rFonts w:hint="eastAsia" w:hAnsi="宋体" w:cs="宋体"/>
          <w:b/>
          <w:bCs/>
          <w:color w:val="000000"/>
          <w:sz w:val="24"/>
          <w:szCs w:val="24"/>
        </w:rPr>
        <w:t>SRM非生产供应商注册操作手册</w:t>
      </w:r>
    </w:p>
    <w:p w14:paraId="68765BB9">
      <w:pPr>
        <w:pStyle w:val="14"/>
      </w:pPr>
    </w:p>
    <w:p w14:paraId="0E24E503">
      <w:pPr>
        <w:adjustRightInd w:val="0"/>
        <w:snapToGrid w:val="0"/>
        <w:spacing w:line="360" w:lineRule="auto"/>
        <w:jc w:val="left"/>
        <w:rPr>
          <w:rFonts w:ascii="宋体" w:hAnsi="宋体" w:cs="宋体"/>
          <w:sz w:val="24"/>
          <w:szCs w:val="24"/>
        </w:rPr>
      </w:pPr>
      <w:r>
        <w:rPr>
          <w:rFonts w:ascii="宋体" w:hAnsi="宋体" w:cs="宋体"/>
          <w:sz w:val="24"/>
          <w:szCs w:val="24"/>
        </w:rPr>
        <w:t>浏览器中输入地址;</w:t>
      </w:r>
    </w:p>
    <w:p w14:paraId="74FA9387">
      <w:pPr>
        <w:adjustRightInd w:val="0"/>
        <w:snapToGrid w:val="0"/>
        <w:spacing w:line="360" w:lineRule="auto"/>
        <w:jc w:val="left"/>
        <w:rPr>
          <w:rFonts w:ascii="宋体" w:hAnsi="宋体" w:cs="宋体"/>
          <w:sz w:val="24"/>
          <w:szCs w:val="24"/>
        </w:rPr>
      </w:pPr>
      <w:r>
        <w:fldChar w:fldCharType="begin"/>
      </w:r>
      <w:r>
        <w:instrText xml:space="preserve"> HYPERLINK "http://ecaitong.sinotruk.com:8012/" \l "/login" \t "dlt" </w:instrText>
      </w:r>
      <w:r>
        <w:fldChar w:fldCharType="separate"/>
      </w:r>
      <w:r>
        <w:rPr>
          <w:rFonts w:ascii="宋体" w:hAnsi="宋体" w:cs="宋体"/>
          <w:sz w:val="24"/>
          <w:szCs w:val="24"/>
        </w:rPr>
        <w:t>http</w:t>
      </w:r>
      <w:r>
        <w:rPr>
          <w:rFonts w:hint="eastAsia" w:ascii="宋体" w:hAnsi="宋体" w:cs="宋体"/>
          <w:sz w:val="24"/>
          <w:szCs w:val="24"/>
        </w:rPr>
        <w:t>s</w:t>
      </w:r>
      <w:r>
        <w:rPr>
          <w:rFonts w:ascii="宋体" w:hAnsi="宋体" w:cs="宋体"/>
          <w:sz w:val="24"/>
          <w:szCs w:val="24"/>
        </w:rPr>
        <w:t>://ecaitong.sinotruk.com:8012/#/login</w:t>
      </w:r>
      <w:r>
        <w:rPr>
          <w:rFonts w:ascii="宋体" w:hAnsi="宋体" w:cs="宋体"/>
          <w:sz w:val="24"/>
          <w:szCs w:val="24"/>
        </w:rPr>
        <w:fldChar w:fldCharType="end"/>
      </w:r>
    </w:p>
    <w:p w14:paraId="6BB0DFE9">
      <w:pPr>
        <w:adjustRightInd w:val="0"/>
        <w:snapToGrid w:val="0"/>
        <w:spacing w:line="360" w:lineRule="auto"/>
        <w:jc w:val="left"/>
        <w:rPr>
          <w:rFonts w:ascii="宋体" w:hAnsi="宋体" w:cs="宋体"/>
          <w:sz w:val="24"/>
          <w:szCs w:val="24"/>
        </w:rPr>
      </w:pPr>
      <w:r>
        <w:rPr>
          <w:rFonts w:ascii="宋体" w:hAnsi="宋体" w:cs="宋体"/>
          <w:sz w:val="24"/>
          <w:szCs w:val="24"/>
        </w:rPr>
        <w:t>1.点击立即注册</w:t>
      </w:r>
    </w:p>
    <w:p w14:paraId="4D1508E0">
      <w:pPr>
        <w:snapToGrid w:val="0"/>
        <w:spacing w:line="312" w:lineRule="auto"/>
      </w:pPr>
      <w:r>
        <w:drawing>
          <wp:inline distT="0" distB="0" distL="0" distR="0">
            <wp:extent cx="5760085" cy="2933065"/>
            <wp:effectExtent l="0" t="0" r="5715" b="635"/>
            <wp:docPr id="17" name="picture" descr="descript"/>
            <wp:cNvGraphicFramePr/>
            <a:graphic xmlns:a="http://schemas.openxmlformats.org/drawingml/2006/main">
              <a:graphicData uri="http://schemas.openxmlformats.org/drawingml/2006/picture">
                <pic:pic xmlns:pic="http://schemas.openxmlformats.org/drawingml/2006/picture">
                  <pic:nvPicPr>
                    <pic:cNvPr id="17" name="picture" descr="descript"/>
                    <pic:cNvPicPr/>
                  </pic:nvPicPr>
                  <pic:blipFill>
                    <a:blip r:embed="rId12"/>
                    <a:stretch>
                      <a:fillRect/>
                    </a:stretch>
                  </pic:blipFill>
                  <pic:spPr>
                    <a:xfrm>
                      <a:off x="0" y="0"/>
                      <a:ext cx="5760085" cy="2933377"/>
                    </a:xfrm>
                    <a:prstGeom prst="rect">
                      <a:avLst/>
                    </a:prstGeom>
                  </pic:spPr>
                </pic:pic>
              </a:graphicData>
            </a:graphic>
          </wp:inline>
        </w:drawing>
      </w:r>
    </w:p>
    <w:p w14:paraId="19D7CFAC">
      <w:pPr>
        <w:spacing w:line="360" w:lineRule="auto"/>
        <w:rPr>
          <w:rFonts w:ascii="宋体" w:hAnsi="宋体" w:cs="宋体"/>
          <w:sz w:val="24"/>
          <w:szCs w:val="28"/>
        </w:rPr>
      </w:pPr>
      <w:r>
        <w:rPr>
          <w:rFonts w:hint="eastAsia" w:ascii="宋体" w:hAnsi="宋体" w:cs="宋体"/>
          <w:color w:val="000000"/>
          <w:sz w:val="24"/>
          <w:szCs w:val="28"/>
        </w:rPr>
        <w:t>2.</w:t>
      </w:r>
      <w:r>
        <w:rPr>
          <w:rFonts w:ascii="宋体" w:hAnsi="宋体" w:cs="宋体"/>
          <w:color w:val="000000"/>
          <w:sz w:val="24"/>
          <w:szCs w:val="28"/>
        </w:rPr>
        <w:t>填写手机号码（没有注册过的）</w:t>
      </w:r>
    </w:p>
    <w:p w14:paraId="1FEA666F">
      <w:pPr>
        <w:snapToGrid w:val="0"/>
        <w:spacing w:line="312" w:lineRule="auto"/>
      </w:pPr>
      <w:r>
        <w:drawing>
          <wp:inline distT="0" distB="0" distL="0" distR="0">
            <wp:extent cx="5760085" cy="2766695"/>
            <wp:effectExtent l="0" t="0" r="5715" b="1905"/>
            <wp:docPr id="18" name="picture" descr="descript"/>
            <wp:cNvGraphicFramePr/>
            <a:graphic xmlns:a="http://schemas.openxmlformats.org/drawingml/2006/main">
              <a:graphicData uri="http://schemas.openxmlformats.org/drawingml/2006/picture">
                <pic:pic xmlns:pic="http://schemas.openxmlformats.org/drawingml/2006/picture">
                  <pic:nvPicPr>
                    <pic:cNvPr id="18" name="picture" descr="descript"/>
                    <pic:cNvPicPr/>
                  </pic:nvPicPr>
                  <pic:blipFill>
                    <a:blip r:embed="rId13"/>
                    <a:stretch>
                      <a:fillRect/>
                    </a:stretch>
                  </pic:blipFill>
                  <pic:spPr>
                    <a:xfrm>
                      <a:off x="0" y="0"/>
                      <a:ext cx="5760085" cy="2766707"/>
                    </a:xfrm>
                    <a:prstGeom prst="rect">
                      <a:avLst/>
                    </a:prstGeom>
                  </pic:spPr>
                </pic:pic>
              </a:graphicData>
            </a:graphic>
          </wp:inline>
        </w:drawing>
      </w:r>
    </w:p>
    <w:p w14:paraId="0691E3CA">
      <w:pPr>
        <w:spacing w:line="360" w:lineRule="auto"/>
        <w:rPr>
          <w:rFonts w:ascii="宋体" w:hAnsi="宋体" w:cs="宋体"/>
          <w:sz w:val="24"/>
          <w:szCs w:val="28"/>
        </w:rPr>
      </w:pPr>
      <w:r>
        <w:rPr>
          <w:rFonts w:hint="eastAsia" w:ascii="宋体" w:hAnsi="宋体" w:cs="宋体"/>
          <w:color w:val="000000"/>
          <w:sz w:val="24"/>
          <w:szCs w:val="28"/>
        </w:rPr>
        <w:t>3.</w:t>
      </w:r>
      <w:r>
        <w:rPr>
          <w:rFonts w:ascii="宋体" w:hAnsi="宋体" w:cs="宋体"/>
          <w:color w:val="000000"/>
          <w:sz w:val="24"/>
          <w:szCs w:val="28"/>
        </w:rPr>
        <w:t>注册成功登录这个手机号码的账号进入系统，点击供应商注册</w:t>
      </w:r>
    </w:p>
    <w:p w14:paraId="31921633">
      <w:pPr>
        <w:snapToGrid w:val="0"/>
        <w:spacing w:line="312" w:lineRule="auto"/>
      </w:pPr>
      <w:r>
        <w:drawing>
          <wp:inline distT="0" distB="0" distL="0" distR="0">
            <wp:extent cx="5760085" cy="2869565"/>
            <wp:effectExtent l="0" t="0" r="5715" b="635"/>
            <wp:docPr id="19" name="picture" descr="descript"/>
            <wp:cNvGraphicFramePr/>
            <a:graphic xmlns:a="http://schemas.openxmlformats.org/drawingml/2006/main">
              <a:graphicData uri="http://schemas.openxmlformats.org/drawingml/2006/picture">
                <pic:pic xmlns:pic="http://schemas.openxmlformats.org/drawingml/2006/picture">
                  <pic:nvPicPr>
                    <pic:cNvPr id="19" name="picture" descr="descript"/>
                    <pic:cNvPicPr/>
                  </pic:nvPicPr>
                  <pic:blipFill>
                    <a:blip r:embed="rId14"/>
                    <a:stretch>
                      <a:fillRect/>
                    </a:stretch>
                  </pic:blipFill>
                  <pic:spPr>
                    <a:xfrm>
                      <a:off x="0" y="0"/>
                      <a:ext cx="5760085" cy="2870054"/>
                    </a:xfrm>
                    <a:prstGeom prst="rect">
                      <a:avLst/>
                    </a:prstGeom>
                  </pic:spPr>
                </pic:pic>
              </a:graphicData>
            </a:graphic>
          </wp:inline>
        </w:drawing>
      </w:r>
    </w:p>
    <w:p w14:paraId="1D22714A">
      <w:pPr>
        <w:spacing w:line="360" w:lineRule="auto"/>
        <w:rPr>
          <w:rFonts w:ascii="宋体" w:hAnsi="宋体" w:cs="宋体"/>
          <w:sz w:val="24"/>
          <w:szCs w:val="28"/>
        </w:rPr>
      </w:pPr>
      <w:r>
        <w:rPr>
          <w:rFonts w:hint="eastAsia" w:ascii="宋体" w:hAnsi="宋体" w:cs="宋体"/>
          <w:color w:val="000000"/>
          <w:sz w:val="24"/>
          <w:szCs w:val="28"/>
        </w:rPr>
        <w:t>4.</w:t>
      </w:r>
      <w:r>
        <w:rPr>
          <w:rFonts w:ascii="宋体" w:hAnsi="宋体" w:cs="宋体"/>
          <w:color w:val="000000"/>
          <w:sz w:val="24"/>
          <w:szCs w:val="28"/>
        </w:rPr>
        <w:t>点击新增</w:t>
      </w:r>
    </w:p>
    <w:p w14:paraId="29725BB0">
      <w:pPr>
        <w:snapToGrid w:val="0"/>
        <w:spacing w:line="312" w:lineRule="auto"/>
      </w:pPr>
      <w:r>
        <w:drawing>
          <wp:inline distT="0" distB="0" distL="0" distR="0">
            <wp:extent cx="5760085" cy="2853055"/>
            <wp:effectExtent l="0" t="0" r="5715" b="4445"/>
            <wp:docPr id="22" name="picture" descr="descript"/>
            <wp:cNvGraphicFramePr/>
            <a:graphic xmlns:a="http://schemas.openxmlformats.org/drawingml/2006/main">
              <a:graphicData uri="http://schemas.openxmlformats.org/drawingml/2006/picture">
                <pic:pic xmlns:pic="http://schemas.openxmlformats.org/drawingml/2006/picture">
                  <pic:nvPicPr>
                    <pic:cNvPr id="22" name="picture" descr="descript"/>
                    <pic:cNvPicPr/>
                  </pic:nvPicPr>
                  <pic:blipFill>
                    <a:blip r:embed="rId15"/>
                    <a:stretch>
                      <a:fillRect/>
                    </a:stretch>
                  </pic:blipFill>
                  <pic:spPr>
                    <a:xfrm>
                      <a:off x="0" y="0"/>
                      <a:ext cx="5760085" cy="2853375"/>
                    </a:xfrm>
                    <a:prstGeom prst="rect">
                      <a:avLst/>
                    </a:prstGeom>
                  </pic:spPr>
                </pic:pic>
              </a:graphicData>
            </a:graphic>
          </wp:inline>
        </w:drawing>
      </w:r>
    </w:p>
    <w:p w14:paraId="3F134B44">
      <w:pPr>
        <w:spacing w:line="360" w:lineRule="auto"/>
        <w:rPr>
          <w:rFonts w:ascii="宋体" w:hAnsi="宋体" w:cs="宋体"/>
          <w:sz w:val="24"/>
          <w:szCs w:val="28"/>
        </w:rPr>
      </w:pPr>
      <w:r>
        <w:rPr>
          <w:rFonts w:hint="eastAsia" w:ascii="宋体" w:hAnsi="宋体" w:cs="宋体"/>
          <w:sz w:val="24"/>
          <w:szCs w:val="28"/>
        </w:rPr>
        <w:t>5</w:t>
      </w:r>
      <w:r>
        <w:rPr>
          <w:rFonts w:hint="eastAsia" w:ascii="宋体" w:hAnsi="宋体" w:cs="宋体"/>
          <w:color w:val="000000"/>
          <w:sz w:val="24"/>
          <w:szCs w:val="28"/>
        </w:rPr>
        <w:t>.</w:t>
      </w:r>
      <w:r>
        <w:rPr>
          <w:rFonts w:ascii="宋体" w:hAnsi="宋体" w:cs="宋体"/>
          <w:color w:val="000000"/>
          <w:sz w:val="24"/>
          <w:szCs w:val="28"/>
        </w:rPr>
        <w:t>按要求填写所有信息，注意非生产类要填写合作单位，最后提交审批</w:t>
      </w:r>
    </w:p>
    <w:p w14:paraId="2F5034DE">
      <w:pPr>
        <w:pStyle w:val="14"/>
      </w:pPr>
    </w:p>
    <w:p w14:paraId="6C65D4C9">
      <w:r>
        <w:drawing>
          <wp:inline distT="0" distB="0" distL="0" distR="0">
            <wp:extent cx="5760085" cy="2809875"/>
            <wp:effectExtent l="0" t="0" r="5715" b="9525"/>
            <wp:docPr id="23" name="picture" descr="descript"/>
            <wp:cNvGraphicFramePr/>
            <a:graphic xmlns:a="http://schemas.openxmlformats.org/drawingml/2006/main">
              <a:graphicData uri="http://schemas.openxmlformats.org/drawingml/2006/picture">
                <pic:pic xmlns:pic="http://schemas.openxmlformats.org/drawingml/2006/picture">
                  <pic:nvPicPr>
                    <pic:cNvPr id="23" name="picture" descr="descript"/>
                    <pic:cNvPicPr/>
                  </pic:nvPicPr>
                  <pic:blipFill>
                    <a:blip r:embed="rId16"/>
                    <a:stretch>
                      <a:fillRect/>
                    </a:stretch>
                  </pic:blipFill>
                  <pic:spPr>
                    <a:xfrm>
                      <a:off x="0" y="0"/>
                      <a:ext cx="5760085" cy="2810122"/>
                    </a:xfrm>
                    <a:prstGeom prst="rect">
                      <a:avLst/>
                    </a:prstGeom>
                  </pic:spPr>
                </pic:pic>
              </a:graphicData>
            </a:graphic>
          </wp:inline>
        </w:drawing>
      </w:r>
    </w:p>
    <w:p w14:paraId="68C26661">
      <w:pPr>
        <w:pStyle w:val="14"/>
      </w:pPr>
      <w:r>
        <w:drawing>
          <wp:inline distT="0" distB="0" distL="0" distR="0">
            <wp:extent cx="5760085" cy="2820035"/>
            <wp:effectExtent l="0" t="0" r="5715" b="12065"/>
            <wp:docPr id="24" name="picture" descr="descript"/>
            <wp:cNvGraphicFramePr/>
            <a:graphic xmlns:a="http://schemas.openxmlformats.org/drawingml/2006/main">
              <a:graphicData uri="http://schemas.openxmlformats.org/drawingml/2006/picture">
                <pic:pic xmlns:pic="http://schemas.openxmlformats.org/drawingml/2006/picture">
                  <pic:nvPicPr>
                    <pic:cNvPr id="24" name="picture" descr="descript"/>
                    <pic:cNvPicPr/>
                  </pic:nvPicPr>
                  <pic:blipFill>
                    <a:blip r:embed="rId17"/>
                    <a:stretch>
                      <a:fillRect/>
                    </a:stretch>
                  </pic:blipFill>
                  <pic:spPr>
                    <a:xfrm>
                      <a:off x="0" y="0"/>
                      <a:ext cx="5760085" cy="2820042"/>
                    </a:xfrm>
                    <a:prstGeom prst="rect">
                      <a:avLst/>
                    </a:prstGeom>
                  </pic:spPr>
                </pic:pic>
              </a:graphicData>
            </a:graphic>
          </wp:inline>
        </w:drawing>
      </w:r>
    </w:p>
    <w:p w14:paraId="4BC81C19">
      <w:pPr>
        <w:pStyle w:val="14"/>
      </w:pPr>
    </w:p>
    <w:p w14:paraId="066E0F54">
      <w:pPr>
        <w:rPr>
          <w:rFonts w:ascii="宋体" w:hAnsi="宋体" w:cs="宋体"/>
          <w:b/>
          <w:bCs/>
          <w:color w:val="000000"/>
          <w:sz w:val="24"/>
          <w:szCs w:val="28"/>
          <w:highlight w:val="yellow"/>
        </w:rPr>
      </w:pPr>
      <w:r>
        <w:rPr>
          <w:rFonts w:hint="eastAsia" w:ascii="宋体" w:hAnsi="宋体" w:cs="宋体"/>
          <w:b/>
          <w:bCs/>
          <w:color w:val="000000"/>
          <w:sz w:val="24"/>
          <w:szCs w:val="28"/>
          <w:highlight w:val="yellow"/>
        </w:rPr>
        <w:t>注：</w:t>
      </w:r>
    </w:p>
    <w:p w14:paraId="27AAD5E0">
      <w:pPr>
        <w:rPr>
          <w:rFonts w:ascii="宋体" w:hAnsi="宋体" w:cs="宋体"/>
          <w:b/>
          <w:bCs/>
          <w:color w:val="000000"/>
          <w:sz w:val="24"/>
          <w:szCs w:val="28"/>
          <w:highlight w:val="yellow"/>
        </w:rPr>
      </w:pPr>
      <w:r>
        <w:rPr>
          <w:rFonts w:hint="eastAsia" w:ascii="宋体" w:hAnsi="宋体" w:cs="宋体"/>
          <w:b/>
          <w:bCs/>
          <w:color w:val="000000"/>
          <w:sz w:val="24"/>
          <w:szCs w:val="28"/>
          <w:highlight w:val="yellow"/>
        </w:rPr>
        <w:t>1.“项目名称”和“采购形式编号”见投标须知前附表1.1；</w:t>
      </w:r>
    </w:p>
    <w:p w14:paraId="40FAC5B1">
      <w:pPr>
        <w:rPr>
          <w:rFonts w:ascii="宋体" w:hAnsi="宋体" w:cs="宋体"/>
          <w:b/>
          <w:bCs/>
          <w:color w:val="000000"/>
          <w:sz w:val="24"/>
          <w:szCs w:val="24"/>
        </w:rPr>
      </w:pPr>
      <w:r>
        <w:rPr>
          <w:rFonts w:hint="eastAsia" w:ascii="宋体" w:hAnsi="宋体" w:cs="宋体"/>
          <w:b/>
          <w:bCs/>
          <w:color w:val="FF0000"/>
          <w:sz w:val="24"/>
          <w:szCs w:val="28"/>
          <w:highlight w:val="yellow"/>
        </w:rPr>
        <w:t>2.</w:t>
      </w:r>
      <w:r>
        <w:rPr>
          <w:rFonts w:hint="eastAsia" w:hAnsi="宋体" w:cs="宋体"/>
          <w:b/>
          <w:bCs/>
          <w:color w:val="FF0000"/>
          <w:sz w:val="24"/>
          <w:szCs w:val="28"/>
          <w:highlight w:val="yellow"/>
        </w:rPr>
        <w:t>配套能力“供货类别”选“直管单位非生产招标 / 服务 / 环保”，业务主管部门为“安全环保部”。</w:t>
      </w:r>
      <w:r>
        <w:rPr>
          <w:rFonts w:hint="eastAsia" w:ascii="宋体" w:hAnsi="宋体" w:cs="宋体"/>
          <w:b/>
          <w:bCs/>
          <w:color w:val="000000"/>
          <w:sz w:val="24"/>
          <w:szCs w:val="24"/>
        </w:rPr>
        <w:br w:type="page"/>
      </w:r>
    </w:p>
    <w:p w14:paraId="3EF56BD2">
      <w:pPr>
        <w:pStyle w:val="14"/>
        <w:outlineLvl w:val="2"/>
        <w:rPr>
          <w:rFonts w:hAnsi="宋体"/>
          <w:b/>
          <w:color w:val="000000"/>
          <w:sz w:val="24"/>
          <w:szCs w:val="24"/>
        </w:rPr>
      </w:pPr>
      <w:r>
        <w:rPr>
          <w:rFonts w:hint="eastAsia" w:hAnsi="宋体"/>
          <w:b/>
          <w:color w:val="000000"/>
          <w:sz w:val="24"/>
          <w:szCs w:val="24"/>
        </w:rPr>
        <w:t>SRM系统供应商用户手册</w:t>
      </w:r>
    </w:p>
    <w:p w14:paraId="56283A6E">
      <w:pPr>
        <w:spacing w:line="360" w:lineRule="auto"/>
        <w:rPr>
          <w:rFonts w:ascii="宋体" w:hAnsi="宋体" w:cs="宋体"/>
          <w:sz w:val="24"/>
          <w:szCs w:val="24"/>
        </w:rPr>
      </w:pPr>
      <w:r>
        <w:rPr>
          <w:rFonts w:hint="eastAsia" w:ascii="宋体" w:hAnsi="宋体" w:cs="宋体"/>
          <w:color w:val="000000"/>
          <w:sz w:val="24"/>
          <w:szCs w:val="24"/>
        </w:rPr>
        <w:t>系统网址：</w:t>
      </w:r>
      <w:r>
        <w:fldChar w:fldCharType="begin"/>
      </w:r>
      <w:r>
        <w:instrText xml:space="preserve"> HYPERLINK "http://ecaitong.sinotruk.com:8012/" \t "dlt" </w:instrText>
      </w:r>
      <w:r>
        <w:fldChar w:fldCharType="separate"/>
      </w:r>
      <w:r>
        <w:rPr>
          <w:rStyle w:val="37"/>
          <w:rFonts w:hint="eastAsia" w:ascii="宋体" w:hAnsi="宋体" w:cs="宋体"/>
          <w:sz w:val="24"/>
          <w:szCs w:val="24"/>
        </w:rPr>
        <w:t>https://ecaitong.sinotruk.com:8012/</w:t>
      </w:r>
      <w:r>
        <w:rPr>
          <w:rStyle w:val="37"/>
          <w:rFonts w:hint="eastAsia" w:ascii="宋体" w:hAnsi="宋体" w:cs="宋体"/>
          <w:sz w:val="24"/>
          <w:szCs w:val="24"/>
        </w:rPr>
        <w:fldChar w:fldCharType="end"/>
      </w:r>
    </w:p>
    <w:p w14:paraId="7E311810">
      <w:pPr>
        <w:spacing w:line="360" w:lineRule="auto"/>
        <w:rPr>
          <w:rFonts w:ascii="宋体" w:hAnsi="宋体" w:cs="宋体"/>
          <w:sz w:val="24"/>
          <w:szCs w:val="24"/>
        </w:rPr>
      </w:pPr>
      <w:r>
        <w:rPr>
          <w:rFonts w:hint="eastAsia" w:ascii="宋体" w:hAnsi="宋体" w:cs="宋体"/>
          <w:color w:val="000000"/>
          <w:sz w:val="24"/>
          <w:szCs w:val="24"/>
        </w:rPr>
        <w:t>用 户 名：gys+供应商代码（</w:t>
      </w:r>
      <w:r>
        <w:rPr>
          <w:rFonts w:hint="eastAsia" w:ascii="宋体" w:hAnsi="宋体" w:cs="宋体"/>
          <w:color w:val="FF0000"/>
          <w:sz w:val="24"/>
          <w:szCs w:val="24"/>
        </w:rPr>
        <w:t>注意：注册完毕后，用户名不要用手机号登录</w:t>
      </w:r>
      <w:r>
        <w:rPr>
          <w:rFonts w:hint="eastAsia" w:ascii="宋体" w:hAnsi="宋体" w:cs="宋体"/>
          <w:color w:val="000000"/>
          <w:sz w:val="24"/>
          <w:szCs w:val="24"/>
        </w:rPr>
        <w:t>）</w:t>
      </w:r>
    </w:p>
    <w:p w14:paraId="0571182E">
      <w:pPr>
        <w:spacing w:line="360" w:lineRule="auto"/>
        <w:rPr>
          <w:rFonts w:ascii="宋体" w:hAnsi="宋体" w:cs="宋体"/>
          <w:sz w:val="24"/>
          <w:szCs w:val="24"/>
        </w:rPr>
      </w:pPr>
      <w:r>
        <w:rPr>
          <w:rFonts w:hint="eastAsia" w:ascii="宋体" w:hAnsi="宋体" w:cs="宋体"/>
          <w:color w:val="000000"/>
          <w:sz w:val="24"/>
          <w:szCs w:val="24"/>
        </w:rPr>
        <w:t>初始密码：</w:t>
      </w:r>
      <w:r>
        <w:rPr>
          <w:rFonts w:hint="eastAsia" w:ascii="宋体" w:hAnsi="宋体" w:cs="宋体"/>
          <w:color w:val="000000"/>
          <w:sz w:val="24"/>
          <w:szCs w:val="24"/>
          <w:highlight w:val="yellow"/>
        </w:rPr>
        <w:t>scm@2022</w:t>
      </w:r>
    </w:p>
    <w:p w14:paraId="5EAA7313">
      <w:pPr>
        <w:spacing w:line="360" w:lineRule="auto"/>
        <w:rPr>
          <w:rFonts w:ascii="宋体" w:hAnsi="宋体" w:cs="宋体"/>
          <w:b/>
          <w:bCs/>
          <w:color w:val="000000"/>
          <w:sz w:val="24"/>
          <w:szCs w:val="24"/>
        </w:rPr>
      </w:pPr>
      <w:r>
        <w:rPr>
          <w:rFonts w:hint="eastAsia" w:ascii="宋体" w:hAnsi="宋体" w:cs="宋体"/>
          <w:b/>
          <w:bCs/>
          <w:color w:val="000000"/>
          <w:sz w:val="24"/>
          <w:szCs w:val="24"/>
        </w:rPr>
        <w:t>1.供应商应标</w:t>
      </w:r>
    </w:p>
    <w:p w14:paraId="4C3B5D11">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供应商应标</w:t>
      </w:r>
    </w:p>
    <w:p w14:paraId="2752A5A6">
      <w:pPr>
        <w:spacing w:line="360" w:lineRule="auto"/>
        <w:rPr>
          <w:rFonts w:ascii="宋体" w:hAnsi="宋体" w:cs="宋体"/>
          <w:color w:val="000000"/>
          <w:sz w:val="24"/>
          <w:szCs w:val="24"/>
        </w:rPr>
      </w:pPr>
      <w:r>
        <w:rPr>
          <w:rFonts w:ascii="宋体" w:hAnsi="宋体" w:cs="宋体"/>
          <w:color w:val="000000"/>
          <w:sz w:val="24"/>
          <w:szCs w:val="24"/>
        </w:rPr>
        <w:t>点击应标，上传文件之后点击提交。</w:t>
      </w:r>
    </w:p>
    <w:p w14:paraId="6AD4D2CB">
      <w:r>
        <w:drawing>
          <wp:inline distT="0" distB="0" distL="0" distR="0">
            <wp:extent cx="5760085" cy="2269490"/>
            <wp:effectExtent l="0" t="0" r="5715" b="3810"/>
            <wp:docPr id="5" name="picture" descr="descript"/>
            <wp:cNvGraphicFramePr/>
            <a:graphic xmlns:a="http://schemas.openxmlformats.org/drawingml/2006/main">
              <a:graphicData uri="http://schemas.openxmlformats.org/drawingml/2006/picture">
                <pic:pic xmlns:pic="http://schemas.openxmlformats.org/drawingml/2006/picture">
                  <pic:nvPicPr>
                    <pic:cNvPr id="5" name="picture" descr="descript"/>
                    <pic:cNvPicPr/>
                  </pic:nvPicPr>
                  <pic:blipFill>
                    <a:blip r:embed="rId18"/>
                    <a:stretch>
                      <a:fillRect/>
                    </a:stretch>
                  </pic:blipFill>
                  <pic:spPr>
                    <a:xfrm>
                      <a:off x="0" y="0"/>
                      <a:ext cx="5760085" cy="2269864"/>
                    </a:xfrm>
                    <a:prstGeom prst="rect">
                      <a:avLst/>
                    </a:prstGeom>
                  </pic:spPr>
                </pic:pic>
              </a:graphicData>
            </a:graphic>
          </wp:inline>
        </w:drawing>
      </w:r>
    </w:p>
    <w:p w14:paraId="340D32D7"/>
    <w:p w14:paraId="0A9846D6">
      <w:pPr>
        <w:spacing w:line="360" w:lineRule="auto"/>
        <w:rPr>
          <w:rFonts w:ascii="宋体" w:hAnsi="宋体" w:cs="宋体"/>
          <w:b/>
          <w:bCs/>
          <w:color w:val="000000"/>
          <w:sz w:val="24"/>
          <w:szCs w:val="24"/>
        </w:rPr>
      </w:pPr>
      <w:r>
        <w:rPr>
          <w:rFonts w:hint="eastAsia" w:ascii="宋体" w:hAnsi="宋体" w:cs="宋体"/>
          <w:b/>
          <w:bCs/>
          <w:color w:val="000000"/>
          <w:sz w:val="24"/>
          <w:szCs w:val="24"/>
        </w:rPr>
        <w:t>2.供应商投标</w:t>
      </w:r>
    </w:p>
    <w:p w14:paraId="37A95C91">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供应商投标</w:t>
      </w:r>
    </w:p>
    <w:p w14:paraId="19B6EE1C">
      <w:pPr>
        <w:rPr>
          <w:rFonts w:ascii="宋体" w:hAnsi="宋体" w:cs="宋体"/>
          <w:color w:val="000000"/>
        </w:rPr>
      </w:pPr>
      <w:r>
        <w:rPr>
          <w:rFonts w:ascii="宋体" w:hAnsi="宋体" w:cs="宋体"/>
          <w:color w:val="000000"/>
        </w:rPr>
        <w:drawing>
          <wp:inline distT="0" distB="0" distL="0" distR="0">
            <wp:extent cx="5760085" cy="2125345"/>
            <wp:effectExtent l="0" t="0" r="5715" b="8255"/>
            <wp:docPr id="26" name="picture" descr="descript"/>
            <wp:cNvGraphicFramePr/>
            <a:graphic xmlns:a="http://schemas.openxmlformats.org/drawingml/2006/main">
              <a:graphicData uri="http://schemas.openxmlformats.org/drawingml/2006/picture">
                <pic:pic xmlns:pic="http://schemas.openxmlformats.org/drawingml/2006/picture">
                  <pic:nvPicPr>
                    <pic:cNvPr id="26" name="picture" descr="descript"/>
                    <pic:cNvPicPr/>
                  </pic:nvPicPr>
                  <pic:blipFill>
                    <a:blip r:embed="rId19"/>
                    <a:stretch>
                      <a:fillRect/>
                    </a:stretch>
                  </pic:blipFill>
                  <pic:spPr>
                    <a:xfrm>
                      <a:off x="0" y="0"/>
                      <a:ext cx="5760085" cy="2125673"/>
                    </a:xfrm>
                    <a:prstGeom prst="rect">
                      <a:avLst/>
                    </a:prstGeom>
                  </pic:spPr>
                </pic:pic>
              </a:graphicData>
            </a:graphic>
          </wp:inline>
        </w:drawing>
      </w:r>
    </w:p>
    <w:p w14:paraId="5C2A60BF">
      <w:pPr>
        <w:spacing w:line="360" w:lineRule="auto"/>
        <w:rPr>
          <w:rFonts w:ascii="宋体" w:hAnsi="宋体" w:cs="宋体"/>
          <w:color w:val="000000"/>
          <w:sz w:val="24"/>
          <w:szCs w:val="28"/>
        </w:rPr>
      </w:pPr>
      <w:r>
        <w:rPr>
          <w:rFonts w:ascii="宋体" w:hAnsi="宋体" w:cs="宋体"/>
          <w:color w:val="000000"/>
          <w:sz w:val="24"/>
          <w:szCs w:val="28"/>
        </w:rPr>
        <w:t>点击投标按钮，进入详情页，输入投标报价并上传相应的附件。</w:t>
      </w:r>
    </w:p>
    <w:p w14:paraId="1C8F87D8">
      <w:pPr>
        <w:pStyle w:val="14"/>
      </w:pPr>
      <w:r>
        <w:rPr>
          <w:rFonts w:hint="eastAsia" w:hAnsi="宋体" w:cs="宋体"/>
          <w:color w:val="000000"/>
          <w:sz w:val="24"/>
          <w:szCs w:val="28"/>
          <w:highlight w:val="yellow"/>
        </w:rPr>
        <w:t>注意：系统内的投标报价单位为“万元”，如开标现场发现填错报价，即直接淘汰。</w:t>
      </w:r>
    </w:p>
    <w:p w14:paraId="5AF6C707">
      <w:pPr>
        <w:pStyle w:val="5"/>
        <w:ind w:left="425" w:hanging="425"/>
        <w:rPr>
          <w:rFonts w:eastAsia="Arial" w:cs="Arial"/>
          <w:color w:val="000000"/>
        </w:rPr>
      </w:pPr>
      <w:r>
        <w:rPr>
          <w:rFonts w:eastAsia="Arial" w:cs="Arial"/>
          <w:color w:val="000000"/>
        </w:rPr>
        <w:drawing>
          <wp:inline distT="0" distB="0" distL="0" distR="0">
            <wp:extent cx="5490210" cy="2668905"/>
            <wp:effectExtent l="0" t="0" r="8890" b="10795"/>
            <wp:docPr id="27" name="picture" descr="descript"/>
            <wp:cNvGraphicFramePr/>
            <a:graphic xmlns:a="http://schemas.openxmlformats.org/drawingml/2006/main">
              <a:graphicData uri="http://schemas.openxmlformats.org/drawingml/2006/picture">
                <pic:pic xmlns:pic="http://schemas.openxmlformats.org/drawingml/2006/picture">
                  <pic:nvPicPr>
                    <pic:cNvPr id="27" name="picture" descr="descript"/>
                    <pic:cNvPicPr/>
                  </pic:nvPicPr>
                  <pic:blipFill>
                    <a:blip r:embed="rId20"/>
                    <a:stretch>
                      <a:fillRect/>
                    </a:stretch>
                  </pic:blipFill>
                  <pic:spPr>
                    <a:xfrm>
                      <a:off x="0" y="0"/>
                      <a:ext cx="5490210" cy="2669498"/>
                    </a:xfrm>
                    <a:prstGeom prst="rect">
                      <a:avLst/>
                    </a:prstGeom>
                  </pic:spPr>
                </pic:pic>
              </a:graphicData>
            </a:graphic>
          </wp:inline>
        </w:drawing>
      </w:r>
    </w:p>
    <w:p w14:paraId="40B41E73">
      <w:pPr>
        <w:spacing w:line="360" w:lineRule="auto"/>
        <w:rPr>
          <w:rFonts w:ascii="宋体" w:hAnsi="宋体" w:cs="宋体"/>
          <w:b/>
          <w:bCs/>
          <w:color w:val="000000"/>
          <w:sz w:val="24"/>
          <w:szCs w:val="24"/>
        </w:rPr>
      </w:pPr>
      <w:r>
        <w:rPr>
          <w:rFonts w:hint="eastAsia" w:ascii="宋体" w:hAnsi="宋体" w:cs="宋体"/>
          <w:b/>
          <w:bCs/>
          <w:color w:val="000000"/>
          <w:sz w:val="24"/>
          <w:szCs w:val="24"/>
        </w:rPr>
        <w:t>3.供应商技术标澄清函</w:t>
      </w:r>
    </w:p>
    <w:p w14:paraId="45544645">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供应商技术标澄清函</w:t>
      </w:r>
    </w:p>
    <w:p w14:paraId="615DA943">
      <w:pPr>
        <w:spacing w:line="360" w:lineRule="auto"/>
        <w:rPr>
          <w:rFonts w:ascii="宋体" w:hAnsi="宋体" w:cs="宋体"/>
          <w:sz w:val="24"/>
          <w:szCs w:val="24"/>
        </w:rPr>
      </w:pPr>
      <w:r>
        <w:rPr>
          <w:rFonts w:ascii="宋体" w:hAnsi="宋体" w:cs="宋体"/>
          <w:color w:val="000000"/>
          <w:sz w:val="24"/>
          <w:szCs w:val="24"/>
        </w:rPr>
        <w:t>点击编辑按钮进入系统，上传技术标澄清函。</w:t>
      </w:r>
    </w:p>
    <w:p w14:paraId="174D650E">
      <w:pPr>
        <w:spacing w:line="360" w:lineRule="auto"/>
        <w:rPr>
          <w:rFonts w:ascii="Arial" w:hAnsi="Arial" w:eastAsia="Arial" w:cs="Arial"/>
          <w:color w:val="000000"/>
          <w:sz w:val="28"/>
        </w:rPr>
      </w:pPr>
      <w:r>
        <w:rPr>
          <w:rFonts w:ascii="宋体" w:hAnsi="宋体" w:cs="宋体"/>
          <w:color w:val="000000"/>
          <w:sz w:val="24"/>
          <w:szCs w:val="24"/>
        </w:rPr>
        <w:t>开标之后所有投标的供应商都可编辑提交，技术标入围之后</w:t>
      </w:r>
      <w:r>
        <w:rPr>
          <w:rFonts w:hint="eastAsia" w:ascii="宋体" w:hAnsi="宋体" w:cs="宋体"/>
          <w:color w:val="000000"/>
          <w:sz w:val="24"/>
          <w:szCs w:val="24"/>
        </w:rPr>
        <w:t xml:space="preserve"> </w:t>
      </w:r>
      <w:r>
        <w:rPr>
          <w:rFonts w:ascii="宋体" w:hAnsi="宋体" w:cs="宋体"/>
          <w:color w:val="000000"/>
          <w:sz w:val="24"/>
          <w:szCs w:val="24"/>
        </w:rPr>
        <w:t>都不可编辑</w:t>
      </w:r>
      <w:r>
        <w:rPr>
          <w:rFonts w:ascii="Arial" w:hAnsi="Arial" w:eastAsia="Arial" w:cs="Arial"/>
          <w:color w:val="000000"/>
          <w:sz w:val="28"/>
        </w:rPr>
        <w:drawing>
          <wp:inline distT="0" distB="0" distL="0" distR="0">
            <wp:extent cx="5490210" cy="1992630"/>
            <wp:effectExtent l="0" t="0" r="8890" b="1270"/>
            <wp:docPr id="28" name="picture" descr="descript"/>
            <wp:cNvGraphicFramePr/>
            <a:graphic xmlns:a="http://schemas.openxmlformats.org/drawingml/2006/main">
              <a:graphicData uri="http://schemas.openxmlformats.org/drawingml/2006/picture">
                <pic:pic xmlns:pic="http://schemas.openxmlformats.org/drawingml/2006/picture">
                  <pic:nvPicPr>
                    <pic:cNvPr id="28" name="picture" descr="descript"/>
                    <pic:cNvPicPr/>
                  </pic:nvPicPr>
                  <pic:blipFill>
                    <a:blip r:embed="rId21"/>
                    <a:stretch>
                      <a:fillRect/>
                    </a:stretch>
                  </pic:blipFill>
                  <pic:spPr>
                    <a:xfrm>
                      <a:off x="0" y="0"/>
                      <a:ext cx="5490210" cy="1992743"/>
                    </a:xfrm>
                    <a:prstGeom prst="rect">
                      <a:avLst/>
                    </a:prstGeom>
                  </pic:spPr>
                </pic:pic>
              </a:graphicData>
            </a:graphic>
          </wp:inline>
        </w:drawing>
      </w:r>
    </w:p>
    <w:p w14:paraId="1C0DE9DB">
      <w:pPr>
        <w:spacing w:line="360" w:lineRule="auto"/>
        <w:rPr>
          <w:rFonts w:ascii="宋体" w:hAnsi="宋体" w:cs="宋体"/>
          <w:b/>
          <w:bCs/>
          <w:color w:val="000000"/>
          <w:sz w:val="24"/>
          <w:szCs w:val="24"/>
        </w:rPr>
      </w:pPr>
      <w:r>
        <w:rPr>
          <w:rFonts w:hint="eastAsia" w:ascii="宋体" w:hAnsi="宋体" w:cs="宋体"/>
          <w:b/>
          <w:bCs/>
          <w:color w:val="000000"/>
          <w:sz w:val="24"/>
          <w:szCs w:val="24"/>
        </w:rPr>
        <w:t>4.供应商报价</w:t>
      </w:r>
    </w:p>
    <w:p w14:paraId="2605E501">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供应商报价</w:t>
      </w:r>
    </w:p>
    <w:p w14:paraId="6EA9BA94">
      <w:pPr>
        <w:spacing w:line="360" w:lineRule="auto"/>
        <w:rPr>
          <w:rFonts w:ascii="宋体" w:hAnsi="宋体" w:cs="宋体"/>
          <w:sz w:val="24"/>
          <w:szCs w:val="24"/>
        </w:rPr>
      </w:pPr>
      <w:r>
        <w:rPr>
          <w:rFonts w:ascii="宋体" w:hAnsi="宋体" w:cs="宋体"/>
          <w:color w:val="000000"/>
          <w:sz w:val="24"/>
          <w:szCs w:val="24"/>
        </w:rPr>
        <w:t>点击报价按钮进入报价详情界面，请在此轮报价起止时间内报价，否则无法报价。</w:t>
      </w:r>
    </w:p>
    <w:p w14:paraId="554CC952">
      <w:pPr>
        <w:spacing w:line="360" w:lineRule="auto"/>
        <w:rPr>
          <w:rFonts w:ascii="宋体" w:hAnsi="宋体" w:cs="宋体"/>
          <w:b/>
          <w:bCs/>
          <w:color w:val="000000"/>
          <w:sz w:val="24"/>
          <w:szCs w:val="24"/>
        </w:rPr>
      </w:pPr>
      <w:r>
        <w:rPr>
          <w:rFonts w:hint="eastAsia" w:ascii="宋体" w:hAnsi="宋体" w:cs="宋体"/>
          <w:b/>
          <w:bCs/>
          <w:color w:val="000000"/>
          <w:sz w:val="24"/>
          <w:szCs w:val="24"/>
        </w:rPr>
        <w:t>5.供应商澄清报价</w:t>
      </w:r>
    </w:p>
    <w:p w14:paraId="7EC6ED8D">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供应商澄清报价</w:t>
      </w:r>
    </w:p>
    <w:p w14:paraId="7C189B98">
      <w:pPr>
        <w:spacing w:line="360" w:lineRule="auto"/>
        <w:rPr>
          <w:rFonts w:ascii="宋体" w:hAnsi="宋体" w:cs="宋体"/>
          <w:sz w:val="24"/>
          <w:szCs w:val="24"/>
        </w:rPr>
      </w:pPr>
      <w:r>
        <w:rPr>
          <w:rFonts w:ascii="宋体" w:hAnsi="宋体" w:cs="宋体"/>
          <w:color w:val="000000"/>
          <w:sz w:val="24"/>
          <w:szCs w:val="24"/>
        </w:rPr>
        <w:t>招标发起人接收建议价的同时会给供应商发送澄清报价，供应商在此界面进行澄清报价，点击编辑按钮进入澄清报价详细界面，输入价格并上传澄清函，之后点击提交。</w:t>
      </w:r>
    </w:p>
    <w:p w14:paraId="5A5D0ADA">
      <w:pPr>
        <w:pStyle w:val="5"/>
        <w:ind w:left="425" w:hanging="425"/>
        <w:rPr>
          <w:rFonts w:eastAsia="Arial" w:cs="Arial"/>
          <w:color w:val="000000"/>
        </w:rPr>
        <w:sectPr>
          <w:headerReference r:id="rId7" w:type="first"/>
          <w:pgSz w:w="11906" w:h="16838"/>
          <w:pgMar w:top="1701" w:right="1418" w:bottom="1134" w:left="1418" w:header="851" w:footer="992" w:gutter="0"/>
          <w:pgNumType w:fmt="numberInDash"/>
          <w:cols w:space="720" w:num="1"/>
          <w:titlePg/>
          <w:docGrid w:type="lines" w:linePitch="312" w:charSpace="0"/>
        </w:sectPr>
      </w:pPr>
    </w:p>
    <w:p w14:paraId="07B3D6B7">
      <w:pPr>
        <w:pStyle w:val="5"/>
        <w:ind w:left="425" w:hanging="425"/>
        <w:rPr>
          <w:rFonts w:eastAsia="Arial" w:cs="Arial"/>
          <w:color w:val="000000"/>
        </w:rPr>
      </w:pPr>
      <w:r>
        <w:rPr>
          <w:rFonts w:eastAsia="Arial" w:cs="Arial"/>
          <w:color w:val="000000"/>
        </w:rPr>
        <w:drawing>
          <wp:inline distT="0" distB="0" distL="0" distR="0">
            <wp:extent cx="5490210" cy="2544445"/>
            <wp:effectExtent l="0" t="0" r="8890" b="8255"/>
            <wp:docPr id="29" name="picture" descr="descript"/>
            <wp:cNvGraphicFramePr/>
            <a:graphic xmlns:a="http://schemas.openxmlformats.org/drawingml/2006/main">
              <a:graphicData uri="http://schemas.openxmlformats.org/drawingml/2006/picture">
                <pic:pic xmlns:pic="http://schemas.openxmlformats.org/drawingml/2006/picture">
                  <pic:nvPicPr>
                    <pic:cNvPr id="29" name="picture" descr="descript"/>
                    <pic:cNvPicPr/>
                  </pic:nvPicPr>
                  <pic:blipFill>
                    <a:blip r:embed="rId22"/>
                    <a:stretch>
                      <a:fillRect/>
                    </a:stretch>
                  </pic:blipFill>
                  <pic:spPr>
                    <a:xfrm>
                      <a:off x="0" y="0"/>
                      <a:ext cx="5490210" cy="2544669"/>
                    </a:xfrm>
                    <a:prstGeom prst="rect">
                      <a:avLst/>
                    </a:prstGeom>
                  </pic:spPr>
                </pic:pic>
              </a:graphicData>
            </a:graphic>
          </wp:inline>
        </w:drawing>
      </w:r>
    </w:p>
    <w:p w14:paraId="2A290490">
      <w:pPr>
        <w:spacing w:line="360" w:lineRule="auto"/>
        <w:rPr>
          <w:rFonts w:ascii="宋体" w:hAnsi="宋体" w:cs="宋体"/>
          <w:b/>
          <w:bCs/>
          <w:color w:val="000000"/>
          <w:sz w:val="24"/>
          <w:szCs w:val="24"/>
        </w:rPr>
      </w:pPr>
      <w:r>
        <w:rPr>
          <w:rFonts w:hint="eastAsia" w:ascii="宋体" w:hAnsi="宋体" w:cs="宋体"/>
          <w:b/>
          <w:bCs/>
          <w:color w:val="000000"/>
          <w:sz w:val="24"/>
          <w:szCs w:val="24"/>
        </w:rPr>
        <w:t>6.供应商查看中标通知</w:t>
      </w:r>
    </w:p>
    <w:p w14:paraId="7B4AB8D7">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中标项目</w:t>
      </w:r>
    </w:p>
    <w:p w14:paraId="36FF5ECC">
      <w:pPr>
        <w:spacing w:line="360" w:lineRule="auto"/>
        <w:rPr>
          <w:rFonts w:ascii="宋体" w:hAnsi="宋体" w:cs="宋体"/>
          <w:sz w:val="24"/>
          <w:szCs w:val="24"/>
        </w:rPr>
      </w:pPr>
      <w:r>
        <w:rPr>
          <w:rFonts w:ascii="宋体" w:hAnsi="宋体" w:cs="宋体"/>
          <w:color w:val="000000"/>
          <w:sz w:val="24"/>
          <w:szCs w:val="24"/>
        </w:rPr>
        <w:t>点击查看进入查看中标项目详情</w:t>
      </w:r>
    </w:p>
    <w:p w14:paraId="4064784D">
      <w:r>
        <w:drawing>
          <wp:inline distT="0" distB="0" distL="0" distR="0">
            <wp:extent cx="5760085" cy="1956435"/>
            <wp:effectExtent l="0" t="0" r="5715" b="12065"/>
            <wp:docPr id="30" name="picture" descr="descript"/>
            <wp:cNvGraphicFramePr/>
            <a:graphic xmlns:a="http://schemas.openxmlformats.org/drawingml/2006/main">
              <a:graphicData uri="http://schemas.openxmlformats.org/drawingml/2006/picture">
                <pic:pic xmlns:pic="http://schemas.openxmlformats.org/drawingml/2006/picture">
                  <pic:nvPicPr>
                    <pic:cNvPr id="30" name="picture" descr="descript"/>
                    <pic:cNvPicPr/>
                  </pic:nvPicPr>
                  <pic:blipFill>
                    <a:blip r:embed="rId23"/>
                    <a:stretch>
                      <a:fillRect/>
                    </a:stretch>
                  </pic:blipFill>
                  <pic:spPr>
                    <a:xfrm>
                      <a:off x="0" y="0"/>
                      <a:ext cx="5760085" cy="1956600"/>
                    </a:xfrm>
                    <a:prstGeom prst="rect">
                      <a:avLst/>
                    </a:prstGeom>
                  </pic:spPr>
                </pic:pic>
              </a:graphicData>
            </a:graphic>
          </wp:inline>
        </w:drawing>
      </w:r>
    </w:p>
    <w:p w14:paraId="60436E04">
      <w:pPr>
        <w:pStyle w:val="76"/>
        <w:rPr>
          <w:rFonts w:hint="default" w:ascii="宋体" w:hAnsi="宋体" w:eastAsia="宋体" w:cs="宋体"/>
          <w:b/>
          <w:bCs/>
          <w:kern w:val="2"/>
          <w:sz w:val="32"/>
          <w:szCs w:val="32"/>
          <w:lang w:val="en-US" w:eastAsia="zh-CN" w:bidi="ar-SA"/>
        </w:rPr>
      </w:pPr>
    </w:p>
    <w:p w14:paraId="05EDD613">
      <w:pPr>
        <w:pStyle w:val="76"/>
        <w:rPr>
          <w:rFonts w:hint="default" w:ascii="宋体" w:hAnsi="宋体" w:eastAsia="宋体" w:cs="宋体"/>
          <w:b/>
          <w:bCs/>
          <w:kern w:val="2"/>
          <w:sz w:val="32"/>
          <w:szCs w:val="32"/>
          <w:lang w:val="en-US" w:eastAsia="zh-CN" w:bidi="ar-SA"/>
        </w:rPr>
      </w:pPr>
    </w:p>
    <w:p w14:paraId="604B6336">
      <w:pPr>
        <w:pStyle w:val="76"/>
        <w:rPr>
          <w:rFonts w:hint="default" w:hAnsi="宋体"/>
          <w:sz w:val="24"/>
          <w:lang w:val="en-US"/>
        </w:rPr>
      </w:pPr>
    </w:p>
    <w:p w14:paraId="7450A437">
      <w:pPr>
        <w:bidi w:val="0"/>
        <w:jc w:val="left"/>
        <w:rPr>
          <w:rFonts w:hint="default"/>
          <w:lang w:val="en-US"/>
        </w:rPr>
      </w:pPr>
    </w:p>
    <w:p w14:paraId="384119BA">
      <w:pPr>
        <w:rPr>
          <w:rFonts w:hint="eastAsia" w:ascii="仿宋_GB2312" w:eastAsia="仿宋_GB2312"/>
          <w:b/>
          <w:bCs/>
          <w:sz w:val="28"/>
          <w:szCs w:val="28"/>
        </w:rPr>
      </w:pPr>
    </w:p>
    <w:p w14:paraId="25D55886">
      <w:pPr>
        <w:pStyle w:val="76"/>
        <w:rPr>
          <w:rFonts w:hint="default" w:hAnsi="宋体"/>
          <w:sz w:val="24"/>
          <w:lang w:val="en-US"/>
        </w:rPr>
      </w:pPr>
    </w:p>
    <w:sectPr>
      <w:footerReference r:id="rId9" w:type="first"/>
      <w:footerReference r:id="rId8" w:type="default"/>
      <w:pgSz w:w="11906" w:h="16838"/>
      <w:pgMar w:top="1701" w:right="1418" w:bottom="1134" w:left="1418" w:header="851" w:footer="992" w:gutter="0"/>
      <w:pgNumType w:fmt="numberInDash"/>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ˎ̥">
    <w:altName w:val="Times New Roman"/>
    <w:panose1 w:val="00000000000000000000"/>
    <w:charset w:val="00"/>
    <w:family w:val="roman"/>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Microsoft YaHei UI">
    <w:panose1 w:val="020B0503020204020204"/>
    <w:charset w:val="86"/>
    <w:family w:val="swiss"/>
    <w:pitch w:val="default"/>
    <w:sig w:usb0="80000287" w:usb1="2ACF3C50" w:usb2="00000016" w:usb3="00000000" w:csb0="0004001F" w:csb1="00000000"/>
  </w:font>
  <w:font w:name="楷体_GB2312">
    <w:altName w:val="楷体"/>
    <w:panose1 w:val="00000000000000000000"/>
    <w:charset w:val="86"/>
    <w:family w:val="modern"/>
    <w:pitch w:val="default"/>
    <w:sig w:usb0="00000000" w:usb1="00000000" w:usb2="00000016" w:usb3="00000000" w:csb0="00040001" w:csb1="00000000"/>
  </w:font>
  <w:font w:name="楷体">
    <w:panose1 w:val="02010609060101010101"/>
    <w:charset w:val="86"/>
    <w:family w:val="auto"/>
    <w:pitch w:val="default"/>
    <w:sig w:usb0="800002BF" w:usb1="38CF7CFA" w:usb2="00000016" w:usb3="00000000" w:csb0="00040001" w:csb1="00000000"/>
  </w:font>
  <w:font w:name="Microsoft YaHei UI Light">
    <w:panose1 w:val="020B0502040204020203"/>
    <w:charset w:val="86"/>
    <w:family w:val="swiss"/>
    <w:pitch w:val="default"/>
    <w:sig w:usb0="80000287" w:usb1="2ACF0010" w:usb2="00000016" w:usb3="00000000" w:csb0="0004001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98291327"/>
    </w:sdtPr>
    <w:sdtContent>
      <w:p w14:paraId="10E4B243">
        <w:pPr>
          <w:pStyle w:val="18"/>
          <w:jc w:val="center"/>
          <w:rPr>
            <w:sz w:val="21"/>
            <w:szCs w:val="20"/>
          </w:rP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- 18 -</w:t>
        </w:r>
        <w:r>
          <w:rPr>
            <w:lang w:val="zh-CN"/>
          </w:rPr>
          <w:fldChar w:fldCharType="end"/>
        </w:r>
        <w:r>
          <w:rPr>
            <w:rFonts w:hint="eastAsia"/>
            <w:lang w:val="zh-CN"/>
          </w:rPr>
          <w:t>页，共</w:t>
        </w:r>
        <w:r>
          <w:rPr>
            <w:rFonts w:hint="eastAsia"/>
            <w:lang w:val="en-US" w:eastAsia="zh-CN"/>
          </w:rPr>
          <w:t>31</w:t>
        </w:r>
        <w:r>
          <w:rPr>
            <w:rFonts w:hint="eastAsia"/>
            <w:lang w:val="zh-CN"/>
          </w:rPr>
          <w:t>页</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851DC9">
    <w:pPr>
      <w:pStyle w:val="18"/>
      <w:framePr w:wrap="around" w:vAnchor="text" w:hAnchor="margin" w:xAlign="center" w:y="1"/>
      <w:rPr>
        <w:rStyle w:val="34"/>
      </w:rPr>
    </w:pPr>
    <w:r>
      <w:fldChar w:fldCharType="begin"/>
    </w:r>
    <w:r>
      <w:rPr>
        <w:rStyle w:val="34"/>
      </w:rPr>
      <w:instrText xml:space="preserve">PAGE  </w:instrText>
    </w:r>
    <w:r>
      <w:fldChar w:fldCharType="end"/>
    </w:r>
  </w:p>
  <w:p w14:paraId="7AD47F75">
    <w:pPr>
      <w:pStyle w:val="1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481640"/>
    </w:sdtPr>
    <w:sdtContent>
      <w:p w14:paraId="75CDFCBB">
        <w:pPr>
          <w:pStyle w:val="18"/>
          <w:jc w:val="cente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- 18 -</w:t>
        </w:r>
        <w:r>
          <w:rPr>
            <w:lang w:val="zh-CN"/>
          </w:rPr>
          <w:fldChar w:fldCharType="end"/>
        </w:r>
        <w:r>
          <w:rPr>
            <w:rFonts w:hint="eastAsia"/>
            <w:lang w:val="zh-CN"/>
          </w:rPr>
          <w:t>页，共</w:t>
        </w:r>
        <w:r>
          <w:rPr>
            <w:rFonts w:hint="eastAsia"/>
            <w:lang w:val="en-US" w:eastAsia="zh-CN"/>
          </w:rPr>
          <w:t>31</w:t>
        </w:r>
        <w:r>
          <w:rPr>
            <w:rFonts w:hint="eastAsia"/>
            <w:lang w:val="zh-CN"/>
          </w:rPr>
          <w:t>页</w:t>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472758"/>
    </w:sdtPr>
    <w:sdtContent>
      <w:p w14:paraId="14B3B95A">
        <w:pPr>
          <w:pStyle w:val="18"/>
          <w:jc w:val="center"/>
          <w:rPr>
            <w:sz w:val="21"/>
            <w:szCs w:val="20"/>
          </w:rP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- 18 -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32</w:t>
        </w:r>
        <w:r>
          <w:rPr>
            <w:lang w:val="zh-CN"/>
          </w:rPr>
          <w:fldChar w:fldCharType="end"/>
        </w:r>
        <w:r>
          <w:rPr>
            <w:rFonts w:hint="eastAsia"/>
            <w:lang w:val="zh-CN"/>
          </w:rPr>
          <w:t>页</w:t>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481127"/>
    </w:sdtPr>
    <w:sdtContent>
      <w:sdt>
        <w:sdtPr>
          <w:id w:val="147467949"/>
        </w:sdtPr>
        <w:sdtContent>
          <w:p w14:paraId="1EC06A0D">
            <w:pPr>
              <w:pStyle w:val="18"/>
              <w:jc w:val="cente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- 1 -</w:t>
            </w:r>
            <w:r>
              <w:rPr>
                <w:lang w:val="zh-CN"/>
              </w:rPr>
              <w:fldChar w:fldCharType="end"/>
            </w:r>
            <w:r>
              <w:rPr>
                <w:rFonts w:hint="eastAsia"/>
                <w:lang w:val="zh-CN"/>
              </w:rPr>
              <w:t>页，共</w:t>
            </w:r>
            <w:r>
              <w:rPr>
                <w:rFonts w:hint="eastAsia"/>
                <w:lang w:val="en-US" w:eastAsia="zh-CN"/>
              </w:rPr>
              <w:t>31</w:t>
            </w:r>
            <w:r>
              <w:rPr>
                <w:rFonts w:hint="eastAsia"/>
                <w:lang w:val="zh-CN"/>
              </w:rPr>
              <w:t>页</w:t>
            </w:r>
          </w:p>
        </w:sdtContent>
      </w:sdt>
    </w:sdtContent>
  </w:sdt>
  <w:p w14:paraId="40CB57F8">
    <w:pPr>
      <w:pStyle w:val="18"/>
      <w:jc w:val="center"/>
    </w:pPr>
  </w:p>
  <w:p w14:paraId="5642E458"/>
  <w:p w14:paraId="095A1687"/>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8A41F0">
    <w:pPr>
      <w:pStyle w:val="19"/>
      <w:ind w:firstLine="360"/>
      <w:jc w:val="right"/>
    </w:pPr>
    <w:r>
      <w:rPr>
        <w:rFonts w:hint="eastAsia"/>
      </w:rPr>
      <w:t>重汽（济南）车桥有限公司*</w:t>
    </w:r>
    <w:r>
      <w:t>*****</w:t>
    </w:r>
    <w:r>
      <w:rPr>
        <w:rFonts w:hint="eastAsia"/>
      </w:rPr>
      <w:t>采购项目招标书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0C208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70076E"/>
    <w:multiLevelType w:val="singleLevel"/>
    <w:tmpl w:val="8370076E"/>
    <w:lvl w:ilvl="0" w:tentative="0">
      <w:start w:val="1"/>
      <w:numFmt w:val="chineseCounting"/>
      <w:suff w:val="nothing"/>
      <w:lvlText w:val="（%1）"/>
      <w:lvlJc w:val="left"/>
      <w:pPr>
        <w:ind w:left="0" w:firstLine="420"/>
      </w:pPr>
      <w:rPr>
        <w:rFonts w:hint="eastAsia"/>
      </w:rPr>
    </w:lvl>
  </w:abstractNum>
  <w:abstractNum w:abstractNumId="1">
    <w:nsid w:val="863E6579"/>
    <w:multiLevelType w:val="singleLevel"/>
    <w:tmpl w:val="863E6579"/>
    <w:lvl w:ilvl="0" w:tentative="0">
      <w:start w:val="1"/>
      <w:numFmt w:val="decimal"/>
      <w:lvlText w:val="(%1)"/>
      <w:lvlJc w:val="left"/>
      <w:pPr>
        <w:ind w:left="425" w:hanging="425"/>
      </w:pPr>
      <w:rPr>
        <w:rFonts w:hint="default"/>
        <w:b w:val="0"/>
        <w:bCs w:val="0"/>
        <w:color w:val="auto"/>
      </w:rPr>
    </w:lvl>
  </w:abstractNum>
  <w:abstractNum w:abstractNumId="2">
    <w:nsid w:val="86729C71"/>
    <w:multiLevelType w:val="singleLevel"/>
    <w:tmpl w:val="86729C71"/>
    <w:lvl w:ilvl="0" w:tentative="0">
      <w:start w:val="1"/>
      <w:numFmt w:val="decimal"/>
      <w:lvlText w:val="%1."/>
      <w:lvlJc w:val="left"/>
      <w:pPr>
        <w:tabs>
          <w:tab w:val="left" w:pos="312"/>
        </w:tabs>
      </w:pPr>
      <w:rPr>
        <w:rFonts w:hint="default"/>
        <w:b/>
        <w:bCs/>
        <w:highlight w:val="none"/>
      </w:rPr>
    </w:lvl>
  </w:abstractNum>
  <w:abstractNum w:abstractNumId="3">
    <w:nsid w:val="93852671"/>
    <w:multiLevelType w:val="singleLevel"/>
    <w:tmpl w:val="93852671"/>
    <w:lvl w:ilvl="0" w:tentative="0">
      <w:start w:val="1"/>
      <w:numFmt w:val="decimal"/>
      <w:lvlText w:val="%1."/>
      <w:lvlJc w:val="left"/>
      <w:pPr>
        <w:ind w:left="425" w:hanging="425"/>
      </w:pPr>
      <w:rPr>
        <w:rFonts w:hint="default"/>
      </w:rPr>
    </w:lvl>
  </w:abstractNum>
  <w:abstractNum w:abstractNumId="4">
    <w:nsid w:val="9E1BA4F3"/>
    <w:multiLevelType w:val="singleLevel"/>
    <w:tmpl w:val="9E1BA4F3"/>
    <w:lvl w:ilvl="0" w:tentative="0">
      <w:start w:val="1"/>
      <w:numFmt w:val="decimal"/>
      <w:lvlText w:val="%1."/>
      <w:lvlJc w:val="left"/>
      <w:pPr>
        <w:tabs>
          <w:tab w:val="left" w:pos="312"/>
        </w:tabs>
      </w:pPr>
      <w:rPr>
        <w:rFonts w:hint="default" w:ascii="宋体" w:hAnsi="宋体" w:eastAsia="宋体" w:cs="宋体"/>
        <w:sz w:val="21"/>
        <w:szCs w:val="21"/>
      </w:rPr>
    </w:lvl>
  </w:abstractNum>
  <w:abstractNum w:abstractNumId="5">
    <w:nsid w:val="B12C4597"/>
    <w:multiLevelType w:val="singleLevel"/>
    <w:tmpl w:val="B12C4597"/>
    <w:lvl w:ilvl="0" w:tentative="0">
      <w:start w:val="1"/>
      <w:numFmt w:val="decimal"/>
      <w:lvlText w:val="%1."/>
      <w:lvlJc w:val="left"/>
      <w:pPr>
        <w:ind w:left="425" w:hanging="425"/>
      </w:pPr>
      <w:rPr>
        <w:rFonts w:hint="default"/>
      </w:rPr>
    </w:lvl>
  </w:abstractNum>
  <w:abstractNum w:abstractNumId="6">
    <w:nsid w:val="B301A340"/>
    <w:multiLevelType w:val="singleLevel"/>
    <w:tmpl w:val="B301A340"/>
    <w:lvl w:ilvl="0" w:tentative="0">
      <w:start w:val="1"/>
      <w:numFmt w:val="chineseCounting"/>
      <w:suff w:val="nothing"/>
      <w:lvlText w:val="（%1）"/>
      <w:lvlJc w:val="left"/>
      <w:pPr>
        <w:ind w:left="0" w:firstLine="420"/>
      </w:pPr>
      <w:rPr>
        <w:rFonts w:hint="eastAsia"/>
      </w:rPr>
    </w:lvl>
  </w:abstractNum>
  <w:abstractNum w:abstractNumId="7">
    <w:nsid w:val="BD4C6742"/>
    <w:multiLevelType w:val="singleLevel"/>
    <w:tmpl w:val="BD4C6742"/>
    <w:lvl w:ilvl="0" w:tentative="0">
      <w:start w:val="1"/>
      <w:numFmt w:val="decimal"/>
      <w:lvlText w:val="%1."/>
      <w:lvlJc w:val="left"/>
      <w:pPr>
        <w:ind w:left="425" w:hanging="425"/>
      </w:pPr>
      <w:rPr>
        <w:rFonts w:hint="default"/>
      </w:rPr>
    </w:lvl>
  </w:abstractNum>
  <w:abstractNum w:abstractNumId="8">
    <w:nsid w:val="CA70C5AE"/>
    <w:multiLevelType w:val="singleLevel"/>
    <w:tmpl w:val="CA70C5AE"/>
    <w:lvl w:ilvl="0" w:tentative="0">
      <w:start w:val="1"/>
      <w:numFmt w:val="decimal"/>
      <w:lvlText w:val="%1."/>
      <w:lvlJc w:val="left"/>
      <w:pPr>
        <w:ind w:left="425" w:hanging="425"/>
      </w:pPr>
      <w:rPr>
        <w:rFonts w:hint="default"/>
      </w:rPr>
    </w:lvl>
  </w:abstractNum>
  <w:abstractNum w:abstractNumId="9">
    <w:nsid w:val="D9A4530E"/>
    <w:multiLevelType w:val="singleLevel"/>
    <w:tmpl w:val="D9A4530E"/>
    <w:lvl w:ilvl="0" w:tentative="0">
      <w:start w:val="1"/>
      <w:numFmt w:val="decimal"/>
      <w:lvlText w:val="(%1)"/>
      <w:lvlJc w:val="left"/>
      <w:pPr>
        <w:ind w:left="425" w:hanging="425"/>
      </w:pPr>
      <w:rPr>
        <w:rFonts w:hint="default"/>
      </w:rPr>
    </w:lvl>
  </w:abstractNum>
  <w:abstractNum w:abstractNumId="10">
    <w:nsid w:val="DC3F8C8B"/>
    <w:multiLevelType w:val="singleLevel"/>
    <w:tmpl w:val="DC3F8C8B"/>
    <w:lvl w:ilvl="0" w:tentative="0">
      <w:start w:val="1"/>
      <w:numFmt w:val="decimal"/>
      <w:lvlText w:val="%1."/>
      <w:lvlJc w:val="left"/>
      <w:pPr>
        <w:ind w:left="425" w:hanging="425"/>
      </w:pPr>
      <w:rPr>
        <w:rFonts w:hint="default"/>
      </w:rPr>
    </w:lvl>
  </w:abstractNum>
  <w:abstractNum w:abstractNumId="11">
    <w:nsid w:val="FE574647"/>
    <w:multiLevelType w:val="multilevel"/>
    <w:tmpl w:val="FE574647"/>
    <w:lvl w:ilvl="0" w:tentative="0">
      <w:start w:val="1"/>
      <w:numFmt w:val="bullet"/>
      <w:lvlText w:val=""/>
      <w:lvlJc w:val="left"/>
      <w:pPr>
        <w:tabs>
          <w:tab w:val="left" w:pos="-840"/>
        </w:tabs>
        <w:ind w:left="430" w:hanging="420"/>
      </w:pPr>
      <w:rPr>
        <w:rFonts w:hint="default" w:ascii="Wingdings" w:hAnsi="Wingdings"/>
      </w:rPr>
    </w:lvl>
    <w:lvl w:ilvl="1" w:tentative="0">
      <w:start w:val="1"/>
      <w:numFmt w:val="bullet"/>
      <w:lvlText w:val=""/>
      <w:lvlJc w:val="left"/>
      <w:pPr>
        <w:tabs>
          <w:tab w:val="left" w:pos="-840"/>
        </w:tabs>
        <w:ind w:left="850" w:hanging="420"/>
      </w:pPr>
      <w:rPr>
        <w:rFonts w:hint="default" w:ascii="Wingdings" w:hAnsi="Wingdings"/>
      </w:rPr>
    </w:lvl>
    <w:lvl w:ilvl="2" w:tentative="0">
      <w:start w:val="1"/>
      <w:numFmt w:val="bullet"/>
      <w:lvlText w:val=""/>
      <w:lvlJc w:val="left"/>
      <w:pPr>
        <w:tabs>
          <w:tab w:val="left" w:pos="-840"/>
        </w:tabs>
        <w:ind w:left="1270" w:hanging="420"/>
      </w:pPr>
      <w:rPr>
        <w:rFonts w:hint="default" w:ascii="Wingdings" w:hAnsi="Wingdings"/>
      </w:rPr>
    </w:lvl>
    <w:lvl w:ilvl="3" w:tentative="0">
      <w:start w:val="1"/>
      <w:numFmt w:val="bullet"/>
      <w:lvlText w:val=""/>
      <w:lvlJc w:val="left"/>
      <w:pPr>
        <w:tabs>
          <w:tab w:val="left" w:pos="-840"/>
        </w:tabs>
        <w:ind w:left="1690" w:hanging="420"/>
      </w:pPr>
      <w:rPr>
        <w:rFonts w:hint="default" w:ascii="Wingdings" w:hAnsi="Wingdings"/>
      </w:rPr>
    </w:lvl>
    <w:lvl w:ilvl="4" w:tentative="0">
      <w:start w:val="1"/>
      <w:numFmt w:val="bullet"/>
      <w:lvlText w:val=""/>
      <w:lvlJc w:val="left"/>
      <w:pPr>
        <w:tabs>
          <w:tab w:val="left" w:pos="-840"/>
        </w:tabs>
        <w:ind w:left="2110" w:hanging="420"/>
      </w:pPr>
      <w:rPr>
        <w:rFonts w:hint="default" w:ascii="Wingdings" w:hAnsi="Wingdings"/>
      </w:rPr>
    </w:lvl>
    <w:lvl w:ilvl="5" w:tentative="0">
      <w:start w:val="1"/>
      <w:numFmt w:val="bullet"/>
      <w:lvlText w:val=""/>
      <w:lvlJc w:val="left"/>
      <w:pPr>
        <w:tabs>
          <w:tab w:val="left" w:pos="-840"/>
        </w:tabs>
        <w:ind w:left="2530" w:hanging="420"/>
      </w:pPr>
      <w:rPr>
        <w:rFonts w:hint="default" w:ascii="Wingdings" w:hAnsi="Wingdings"/>
      </w:rPr>
    </w:lvl>
    <w:lvl w:ilvl="6" w:tentative="0">
      <w:start w:val="1"/>
      <w:numFmt w:val="bullet"/>
      <w:lvlText w:val=""/>
      <w:lvlJc w:val="left"/>
      <w:pPr>
        <w:tabs>
          <w:tab w:val="left" w:pos="-840"/>
        </w:tabs>
        <w:ind w:left="2950" w:hanging="420"/>
      </w:pPr>
      <w:rPr>
        <w:rFonts w:hint="default" w:ascii="Wingdings" w:hAnsi="Wingdings"/>
      </w:rPr>
    </w:lvl>
    <w:lvl w:ilvl="7" w:tentative="0">
      <w:start w:val="1"/>
      <w:numFmt w:val="bullet"/>
      <w:lvlText w:val=""/>
      <w:lvlJc w:val="left"/>
      <w:pPr>
        <w:tabs>
          <w:tab w:val="left" w:pos="-840"/>
        </w:tabs>
        <w:ind w:left="3370" w:hanging="420"/>
      </w:pPr>
      <w:rPr>
        <w:rFonts w:hint="default" w:ascii="Wingdings" w:hAnsi="Wingdings"/>
      </w:rPr>
    </w:lvl>
    <w:lvl w:ilvl="8" w:tentative="0">
      <w:start w:val="1"/>
      <w:numFmt w:val="bullet"/>
      <w:lvlText w:val=""/>
      <w:lvlJc w:val="left"/>
      <w:pPr>
        <w:tabs>
          <w:tab w:val="left" w:pos="-840"/>
        </w:tabs>
        <w:ind w:left="3790" w:hanging="420"/>
      </w:pPr>
      <w:rPr>
        <w:rFonts w:hint="default" w:ascii="Wingdings" w:hAnsi="Wingdings"/>
      </w:rPr>
    </w:lvl>
  </w:abstractNum>
  <w:abstractNum w:abstractNumId="12">
    <w:nsid w:val="06882CE3"/>
    <w:multiLevelType w:val="multilevel"/>
    <w:tmpl w:val="06882CE3"/>
    <w:lvl w:ilvl="0" w:tentative="0">
      <w:start w:val="1"/>
      <w:numFmt w:val="decimal"/>
      <w:pStyle w:val="75"/>
      <w:suff w:val="nothing"/>
      <w:lvlText w:val="（%1）"/>
      <w:lvlJc w:val="left"/>
      <w:pPr>
        <w:ind w:left="1270" w:hanging="420"/>
      </w:pPr>
      <w:rPr>
        <w:b w:val="0"/>
        <w:bCs w:val="0"/>
        <w:i w:val="0"/>
        <w:iCs w:val="0"/>
        <w:caps w:val="0"/>
        <w:smallCaps w:val="0"/>
        <w:strike w:val="0"/>
        <w:dstrike w:val="0"/>
        <w:outline w:val="0"/>
        <w:shadow w:val="0"/>
        <w:emboss w:val="0"/>
        <w:imprint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lowerLetter"/>
      <w:lvlText w:val="%2)"/>
      <w:lvlJc w:val="left"/>
      <w:pPr>
        <w:ind w:left="1254" w:hanging="420"/>
      </w:pPr>
    </w:lvl>
    <w:lvl w:ilvl="2" w:tentative="0">
      <w:start w:val="1"/>
      <w:numFmt w:val="lowerRoman"/>
      <w:lvlText w:val="%3."/>
      <w:lvlJc w:val="right"/>
      <w:pPr>
        <w:ind w:left="1674" w:hanging="420"/>
      </w:pPr>
    </w:lvl>
    <w:lvl w:ilvl="3" w:tentative="0">
      <w:start w:val="1"/>
      <w:numFmt w:val="decimal"/>
      <w:lvlText w:val="%4."/>
      <w:lvlJc w:val="left"/>
      <w:pPr>
        <w:ind w:left="2094" w:hanging="420"/>
      </w:pPr>
    </w:lvl>
    <w:lvl w:ilvl="4" w:tentative="0">
      <w:start w:val="1"/>
      <w:numFmt w:val="lowerLetter"/>
      <w:lvlText w:val="%5)"/>
      <w:lvlJc w:val="left"/>
      <w:pPr>
        <w:ind w:left="2514" w:hanging="420"/>
      </w:pPr>
    </w:lvl>
    <w:lvl w:ilvl="5" w:tentative="0">
      <w:start w:val="1"/>
      <w:numFmt w:val="lowerRoman"/>
      <w:lvlText w:val="%6."/>
      <w:lvlJc w:val="right"/>
      <w:pPr>
        <w:ind w:left="2934" w:hanging="420"/>
      </w:pPr>
    </w:lvl>
    <w:lvl w:ilvl="6" w:tentative="0">
      <w:start w:val="1"/>
      <w:numFmt w:val="decimal"/>
      <w:lvlText w:val="%7."/>
      <w:lvlJc w:val="left"/>
      <w:pPr>
        <w:ind w:left="3354" w:hanging="420"/>
      </w:pPr>
    </w:lvl>
    <w:lvl w:ilvl="7" w:tentative="0">
      <w:start w:val="1"/>
      <w:numFmt w:val="lowerLetter"/>
      <w:lvlText w:val="%8)"/>
      <w:lvlJc w:val="left"/>
      <w:pPr>
        <w:ind w:left="3774" w:hanging="420"/>
      </w:pPr>
    </w:lvl>
    <w:lvl w:ilvl="8" w:tentative="0">
      <w:start w:val="1"/>
      <w:numFmt w:val="lowerRoman"/>
      <w:lvlText w:val="%9."/>
      <w:lvlJc w:val="right"/>
      <w:pPr>
        <w:ind w:left="4194" w:hanging="420"/>
      </w:pPr>
    </w:lvl>
  </w:abstractNum>
  <w:abstractNum w:abstractNumId="13">
    <w:nsid w:val="07FA6ED8"/>
    <w:multiLevelType w:val="singleLevel"/>
    <w:tmpl w:val="07FA6ED8"/>
    <w:lvl w:ilvl="0" w:tentative="0">
      <w:start w:val="1"/>
      <w:numFmt w:val="decimal"/>
      <w:lvlText w:val="%1."/>
      <w:lvlJc w:val="left"/>
      <w:pPr>
        <w:tabs>
          <w:tab w:val="left" w:pos="732"/>
        </w:tabs>
        <w:ind w:left="420"/>
      </w:pPr>
      <w:rPr>
        <w:rFonts w:hint="default" w:ascii="宋体" w:hAnsi="宋体" w:eastAsia="宋体" w:cs="宋体"/>
        <w:sz w:val="21"/>
        <w:szCs w:val="21"/>
      </w:rPr>
    </w:lvl>
  </w:abstractNum>
  <w:abstractNum w:abstractNumId="14">
    <w:nsid w:val="178D3D0E"/>
    <w:multiLevelType w:val="multilevel"/>
    <w:tmpl w:val="178D3D0E"/>
    <w:lvl w:ilvl="0" w:tentative="0">
      <w:start w:val="1"/>
      <w:numFmt w:val="bullet"/>
      <w:pStyle w:val="91"/>
      <w:lvlText w:val=""/>
      <w:lvlJc w:val="left"/>
      <w:pPr>
        <w:tabs>
          <w:tab w:val="left" w:pos="367"/>
        </w:tabs>
        <w:ind w:left="367" w:hanging="360"/>
      </w:pPr>
      <w:rPr>
        <w:rFonts w:hint="default" w:ascii="Symbol" w:hAnsi="Symbol"/>
      </w:rPr>
    </w:lvl>
    <w:lvl w:ilvl="1" w:tentative="0">
      <w:start w:val="1"/>
      <w:numFmt w:val="bullet"/>
      <w:lvlText w:val="o"/>
      <w:lvlJc w:val="left"/>
      <w:pPr>
        <w:tabs>
          <w:tab w:val="left" w:pos="1087"/>
        </w:tabs>
        <w:ind w:left="1087" w:hanging="360"/>
      </w:pPr>
      <w:rPr>
        <w:rFonts w:hint="default" w:ascii="Courier New" w:hAnsi="Courier New" w:cs="Courier New"/>
      </w:rPr>
    </w:lvl>
    <w:lvl w:ilvl="2" w:tentative="0">
      <w:start w:val="1"/>
      <w:numFmt w:val="bullet"/>
      <w:lvlText w:val=""/>
      <w:lvlJc w:val="left"/>
      <w:pPr>
        <w:tabs>
          <w:tab w:val="left" w:pos="1807"/>
        </w:tabs>
        <w:ind w:left="1807" w:hanging="360"/>
      </w:pPr>
      <w:rPr>
        <w:rFonts w:hint="default" w:ascii="Wingdings" w:hAnsi="Wingdings"/>
      </w:rPr>
    </w:lvl>
    <w:lvl w:ilvl="3" w:tentative="0">
      <w:start w:val="1"/>
      <w:numFmt w:val="bullet"/>
      <w:lvlText w:val=""/>
      <w:lvlJc w:val="left"/>
      <w:pPr>
        <w:tabs>
          <w:tab w:val="left" w:pos="2527"/>
        </w:tabs>
        <w:ind w:left="2527" w:hanging="360"/>
      </w:pPr>
      <w:rPr>
        <w:rFonts w:hint="default" w:ascii="Symbol" w:hAnsi="Symbol"/>
      </w:rPr>
    </w:lvl>
    <w:lvl w:ilvl="4" w:tentative="0">
      <w:start w:val="1"/>
      <w:numFmt w:val="bullet"/>
      <w:lvlText w:val="o"/>
      <w:lvlJc w:val="left"/>
      <w:pPr>
        <w:tabs>
          <w:tab w:val="left" w:pos="3247"/>
        </w:tabs>
        <w:ind w:left="3247" w:hanging="360"/>
      </w:pPr>
      <w:rPr>
        <w:rFonts w:hint="default" w:ascii="Courier New" w:hAnsi="Courier New" w:cs="Courier New"/>
      </w:rPr>
    </w:lvl>
    <w:lvl w:ilvl="5" w:tentative="0">
      <w:start w:val="1"/>
      <w:numFmt w:val="bullet"/>
      <w:lvlText w:val=""/>
      <w:lvlJc w:val="left"/>
      <w:pPr>
        <w:tabs>
          <w:tab w:val="left" w:pos="3967"/>
        </w:tabs>
        <w:ind w:left="3967" w:hanging="360"/>
      </w:pPr>
      <w:rPr>
        <w:rFonts w:hint="default" w:ascii="Wingdings" w:hAnsi="Wingdings"/>
      </w:rPr>
    </w:lvl>
    <w:lvl w:ilvl="6" w:tentative="0">
      <w:start w:val="1"/>
      <w:numFmt w:val="bullet"/>
      <w:lvlText w:val=""/>
      <w:lvlJc w:val="left"/>
      <w:pPr>
        <w:tabs>
          <w:tab w:val="left" w:pos="4687"/>
        </w:tabs>
        <w:ind w:left="4687" w:hanging="360"/>
      </w:pPr>
      <w:rPr>
        <w:rFonts w:hint="default" w:ascii="Symbol" w:hAnsi="Symbol"/>
      </w:rPr>
    </w:lvl>
    <w:lvl w:ilvl="7" w:tentative="0">
      <w:start w:val="1"/>
      <w:numFmt w:val="bullet"/>
      <w:lvlText w:val="o"/>
      <w:lvlJc w:val="left"/>
      <w:pPr>
        <w:tabs>
          <w:tab w:val="left" w:pos="5407"/>
        </w:tabs>
        <w:ind w:left="5407" w:hanging="360"/>
      </w:pPr>
      <w:rPr>
        <w:rFonts w:hint="default" w:ascii="Courier New" w:hAnsi="Courier New" w:cs="Courier New"/>
      </w:rPr>
    </w:lvl>
    <w:lvl w:ilvl="8" w:tentative="0">
      <w:start w:val="1"/>
      <w:numFmt w:val="bullet"/>
      <w:lvlText w:val=""/>
      <w:lvlJc w:val="left"/>
      <w:pPr>
        <w:tabs>
          <w:tab w:val="left" w:pos="6127"/>
        </w:tabs>
        <w:ind w:left="6127" w:hanging="360"/>
      </w:pPr>
      <w:rPr>
        <w:rFonts w:hint="default" w:ascii="Wingdings" w:hAnsi="Wingdings"/>
      </w:rPr>
    </w:lvl>
  </w:abstractNum>
  <w:abstractNum w:abstractNumId="15">
    <w:nsid w:val="1E7B065C"/>
    <w:multiLevelType w:val="multilevel"/>
    <w:tmpl w:val="1E7B065C"/>
    <w:lvl w:ilvl="0" w:tentative="0">
      <w:start w:val="1"/>
      <w:numFmt w:val="decimal"/>
      <w:pStyle w:val="96"/>
      <w:lvlText w:val="%1)"/>
      <w:lvlJc w:val="left"/>
      <w:pPr>
        <w:ind w:left="1695" w:hanging="420"/>
      </w:pPr>
    </w:lvl>
    <w:lvl w:ilvl="1" w:tentative="0">
      <w:start w:val="1"/>
      <w:numFmt w:val="lowerLetter"/>
      <w:lvlText w:val="%2)"/>
      <w:lvlJc w:val="left"/>
      <w:pPr>
        <w:ind w:left="2115" w:hanging="420"/>
      </w:pPr>
    </w:lvl>
    <w:lvl w:ilvl="2" w:tentative="0">
      <w:start w:val="1"/>
      <w:numFmt w:val="lowerRoman"/>
      <w:lvlText w:val="%3."/>
      <w:lvlJc w:val="right"/>
      <w:pPr>
        <w:ind w:left="2535" w:hanging="420"/>
      </w:pPr>
    </w:lvl>
    <w:lvl w:ilvl="3" w:tentative="0">
      <w:start w:val="1"/>
      <w:numFmt w:val="decimal"/>
      <w:lvlText w:val="%4."/>
      <w:lvlJc w:val="left"/>
      <w:pPr>
        <w:ind w:left="2955" w:hanging="420"/>
      </w:pPr>
    </w:lvl>
    <w:lvl w:ilvl="4" w:tentative="0">
      <w:start w:val="1"/>
      <w:numFmt w:val="lowerLetter"/>
      <w:lvlText w:val="%5)"/>
      <w:lvlJc w:val="left"/>
      <w:pPr>
        <w:ind w:left="3375" w:hanging="420"/>
      </w:pPr>
    </w:lvl>
    <w:lvl w:ilvl="5" w:tentative="0">
      <w:start w:val="1"/>
      <w:numFmt w:val="lowerRoman"/>
      <w:lvlText w:val="%6."/>
      <w:lvlJc w:val="right"/>
      <w:pPr>
        <w:ind w:left="3795" w:hanging="420"/>
      </w:pPr>
    </w:lvl>
    <w:lvl w:ilvl="6" w:tentative="0">
      <w:start w:val="1"/>
      <w:numFmt w:val="decimal"/>
      <w:lvlText w:val="%7."/>
      <w:lvlJc w:val="left"/>
      <w:pPr>
        <w:ind w:left="4215" w:hanging="420"/>
      </w:pPr>
    </w:lvl>
    <w:lvl w:ilvl="7" w:tentative="0">
      <w:start w:val="1"/>
      <w:numFmt w:val="lowerLetter"/>
      <w:lvlText w:val="%8)"/>
      <w:lvlJc w:val="left"/>
      <w:pPr>
        <w:ind w:left="4635" w:hanging="420"/>
      </w:pPr>
    </w:lvl>
    <w:lvl w:ilvl="8" w:tentative="0">
      <w:start w:val="1"/>
      <w:numFmt w:val="lowerRoman"/>
      <w:lvlText w:val="%9."/>
      <w:lvlJc w:val="right"/>
      <w:pPr>
        <w:ind w:left="5055" w:hanging="420"/>
      </w:pPr>
    </w:lvl>
  </w:abstractNum>
  <w:abstractNum w:abstractNumId="16">
    <w:nsid w:val="319F083E"/>
    <w:multiLevelType w:val="singleLevel"/>
    <w:tmpl w:val="319F083E"/>
    <w:lvl w:ilvl="0" w:tentative="0">
      <w:start w:val="1"/>
      <w:numFmt w:val="decimal"/>
      <w:lvlText w:val="%1."/>
      <w:lvlJc w:val="left"/>
      <w:pPr>
        <w:tabs>
          <w:tab w:val="left" w:pos="312"/>
        </w:tabs>
      </w:pPr>
    </w:lvl>
  </w:abstractNum>
  <w:abstractNum w:abstractNumId="17">
    <w:nsid w:val="3CF6EF77"/>
    <w:multiLevelType w:val="singleLevel"/>
    <w:tmpl w:val="3CF6EF77"/>
    <w:lvl w:ilvl="0" w:tentative="0">
      <w:start w:val="1"/>
      <w:numFmt w:val="decimal"/>
      <w:lvlText w:val="%1."/>
      <w:lvlJc w:val="left"/>
      <w:pPr>
        <w:ind w:left="425" w:hanging="425"/>
      </w:pPr>
      <w:rPr>
        <w:rFonts w:hint="default"/>
      </w:rPr>
    </w:lvl>
  </w:abstractNum>
  <w:abstractNum w:abstractNumId="18">
    <w:nsid w:val="4A8DA4C5"/>
    <w:multiLevelType w:val="singleLevel"/>
    <w:tmpl w:val="4A8DA4C5"/>
    <w:lvl w:ilvl="0" w:tentative="0">
      <w:start w:val="1"/>
      <w:numFmt w:val="bullet"/>
      <w:lvlText w:val=""/>
      <w:lvlJc w:val="left"/>
      <w:pPr>
        <w:ind w:left="0" w:leftChars="0" w:firstLine="0" w:firstLineChars="0"/>
      </w:pPr>
      <w:rPr>
        <w:rFonts w:hint="default" w:ascii="Wingdings" w:hAnsi="Wingdings"/>
      </w:rPr>
    </w:lvl>
  </w:abstractNum>
  <w:abstractNum w:abstractNumId="19">
    <w:nsid w:val="4CB32FC8"/>
    <w:multiLevelType w:val="multilevel"/>
    <w:tmpl w:val="4CB32FC8"/>
    <w:lvl w:ilvl="0" w:tentative="0">
      <w:start w:val="1"/>
      <w:numFmt w:val="upperLetter"/>
      <w:pStyle w:val="6"/>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0">
    <w:nsid w:val="520018B0"/>
    <w:multiLevelType w:val="multilevel"/>
    <w:tmpl w:val="520018B0"/>
    <w:lvl w:ilvl="0" w:tentative="0">
      <w:start w:val="1"/>
      <w:numFmt w:val="decimal"/>
      <w:pStyle w:val="74"/>
      <w:lvlText w:val="%1."/>
      <w:lvlJc w:val="left"/>
      <w:pPr>
        <w:ind w:left="1260" w:hanging="420"/>
      </w:pPr>
      <w:rPr>
        <w:b w:val="0"/>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1">
    <w:nsid w:val="560F40FB"/>
    <w:multiLevelType w:val="multilevel"/>
    <w:tmpl w:val="560F40FB"/>
    <w:lvl w:ilvl="0" w:tentative="0">
      <w:start w:val="1"/>
      <w:numFmt w:val="lowerLetter"/>
      <w:pStyle w:val="101"/>
      <w:lvlText w:val="%1)"/>
      <w:lvlJc w:val="left"/>
      <w:pPr>
        <w:ind w:left="1260" w:hanging="420"/>
      </w:p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2">
    <w:nsid w:val="56D20133"/>
    <w:multiLevelType w:val="multilevel"/>
    <w:tmpl w:val="56D20133"/>
    <w:lvl w:ilvl="0" w:tentative="0">
      <w:start w:val="1"/>
      <w:numFmt w:val="chineseCountingThousand"/>
      <w:pStyle w:val="73"/>
      <w:lvlText w:val="(%1)"/>
      <w:lvlJc w:val="left"/>
      <w:pPr>
        <w:ind w:left="1130" w:hanging="420"/>
      </w:pPr>
      <w:rPr>
        <w:rFonts w:hint="eastAsia"/>
        <w:b/>
      </w:rPr>
    </w:lvl>
    <w:lvl w:ilvl="1" w:tentative="0">
      <w:start w:val="1"/>
      <w:numFmt w:val="decimal"/>
      <w:lvlText w:val="%2."/>
      <w:lvlJc w:val="left"/>
      <w:pPr>
        <w:ind w:left="1200" w:hanging="360"/>
      </w:pPr>
      <w:rPr>
        <w:rFonts w:hint="default"/>
        <w:b w:val="0"/>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400" w:hanging="720"/>
      </w:pPr>
      <w:rPr>
        <w:rFonts w:hint="default"/>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23">
    <w:nsid w:val="5983D379"/>
    <w:multiLevelType w:val="singleLevel"/>
    <w:tmpl w:val="5983D379"/>
    <w:lvl w:ilvl="0" w:tentative="0">
      <w:start w:val="1"/>
      <w:numFmt w:val="decimal"/>
      <w:lvlText w:val="(%1)"/>
      <w:lvlJc w:val="left"/>
      <w:pPr>
        <w:ind w:left="425" w:hanging="425"/>
      </w:pPr>
      <w:rPr>
        <w:rFonts w:hint="default"/>
      </w:rPr>
    </w:lvl>
  </w:abstractNum>
  <w:abstractNum w:abstractNumId="24">
    <w:nsid w:val="656A6EAE"/>
    <w:multiLevelType w:val="multilevel"/>
    <w:tmpl w:val="656A6EAE"/>
    <w:lvl w:ilvl="0" w:tentative="0">
      <w:start w:val="1"/>
      <w:numFmt w:val="chineseCountingThousand"/>
      <w:pStyle w:val="72"/>
      <w:suff w:val="nothing"/>
      <w:lvlText w:val="%1、"/>
      <w:lvlJc w:val="left"/>
      <w:pPr>
        <w:ind w:left="2972" w:hanging="420"/>
      </w:pPr>
      <w:rPr>
        <w:rFonts w:hint="eastAsia" w:ascii="黑体" w:hAnsi="黑体" w:eastAsia="黑体"/>
        <w:sz w:val="28"/>
        <w:szCs w:val="28"/>
        <w:highlight w:val="none"/>
        <w:lang w:val="en-U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25">
    <w:nsid w:val="7AE44757"/>
    <w:multiLevelType w:val="multilevel"/>
    <w:tmpl w:val="7AE44757"/>
    <w:lvl w:ilvl="0" w:tentative="0">
      <w:start w:val="1"/>
      <w:numFmt w:val="bullet"/>
      <w:lvlText w:val=""/>
      <w:lvlJc w:val="left"/>
      <w:pPr>
        <w:tabs>
          <w:tab w:val="left" w:pos="-840"/>
        </w:tabs>
        <w:ind w:left="430" w:hanging="420"/>
      </w:pPr>
      <w:rPr>
        <w:rFonts w:hint="default" w:ascii="Wingdings" w:hAnsi="Wingdings"/>
      </w:rPr>
    </w:lvl>
    <w:lvl w:ilvl="1" w:tentative="0">
      <w:start w:val="1"/>
      <w:numFmt w:val="bullet"/>
      <w:lvlText w:val=""/>
      <w:lvlJc w:val="left"/>
      <w:pPr>
        <w:tabs>
          <w:tab w:val="left" w:pos="-840"/>
        </w:tabs>
        <w:ind w:left="850" w:hanging="420"/>
      </w:pPr>
      <w:rPr>
        <w:rFonts w:hint="default" w:ascii="Wingdings" w:hAnsi="Wingdings"/>
      </w:rPr>
    </w:lvl>
    <w:lvl w:ilvl="2" w:tentative="0">
      <w:start w:val="1"/>
      <w:numFmt w:val="bullet"/>
      <w:lvlText w:val=""/>
      <w:lvlJc w:val="left"/>
      <w:pPr>
        <w:tabs>
          <w:tab w:val="left" w:pos="-840"/>
        </w:tabs>
        <w:ind w:left="1270" w:hanging="420"/>
      </w:pPr>
      <w:rPr>
        <w:rFonts w:hint="default" w:ascii="Wingdings" w:hAnsi="Wingdings"/>
      </w:rPr>
    </w:lvl>
    <w:lvl w:ilvl="3" w:tentative="0">
      <w:start w:val="1"/>
      <w:numFmt w:val="bullet"/>
      <w:lvlText w:val=""/>
      <w:lvlJc w:val="left"/>
      <w:pPr>
        <w:tabs>
          <w:tab w:val="left" w:pos="-840"/>
        </w:tabs>
        <w:ind w:left="1690" w:hanging="420"/>
      </w:pPr>
      <w:rPr>
        <w:rFonts w:hint="default" w:ascii="Wingdings" w:hAnsi="Wingdings"/>
      </w:rPr>
    </w:lvl>
    <w:lvl w:ilvl="4" w:tentative="0">
      <w:start w:val="1"/>
      <w:numFmt w:val="bullet"/>
      <w:lvlText w:val=""/>
      <w:lvlJc w:val="left"/>
      <w:pPr>
        <w:tabs>
          <w:tab w:val="left" w:pos="-840"/>
        </w:tabs>
        <w:ind w:left="2110" w:hanging="420"/>
      </w:pPr>
      <w:rPr>
        <w:rFonts w:hint="default" w:ascii="Wingdings" w:hAnsi="Wingdings"/>
      </w:rPr>
    </w:lvl>
    <w:lvl w:ilvl="5" w:tentative="0">
      <w:start w:val="1"/>
      <w:numFmt w:val="bullet"/>
      <w:lvlText w:val=""/>
      <w:lvlJc w:val="left"/>
      <w:pPr>
        <w:tabs>
          <w:tab w:val="left" w:pos="-840"/>
        </w:tabs>
        <w:ind w:left="2530" w:hanging="420"/>
      </w:pPr>
      <w:rPr>
        <w:rFonts w:hint="default" w:ascii="Wingdings" w:hAnsi="Wingdings"/>
      </w:rPr>
    </w:lvl>
    <w:lvl w:ilvl="6" w:tentative="0">
      <w:start w:val="1"/>
      <w:numFmt w:val="bullet"/>
      <w:lvlText w:val=""/>
      <w:lvlJc w:val="left"/>
      <w:pPr>
        <w:tabs>
          <w:tab w:val="left" w:pos="-840"/>
        </w:tabs>
        <w:ind w:left="2950" w:hanging="420"/>
      </w:pPr>
      <w:rPr>
        <w:rFonts w:hint="default" w:ascii="Wingdings" w:hAnsi="Wingdings"/>
      </w:rPr>
    </w:lvl>
    <w:lvl w:ilvl="7" w:tentative="0">
      <w:start w:val="1"/>
      <w:numFmt w:val="bullet"/>
      <w:lvlText w:val=""/>
      <w:lvlJc w:val="left"/>
      <w:pPr>
        <w:tabs>
          <w:tab w:val="left" w:pos="-840"/>
        </w:tabs>
        <w:ind w:left="3370" w:hanging="420"/>
      </w:pPr>
      <w:rPr>
        <w:rFonts w:hint="default" w:ascii="Wingdings" w:hAnsi="Wingdings"/>
      </w:rPr>
    </w:lvl>
    <w:lvl w:ilvl="8" w:tentative="0">
      <w:start w:val="1"/>
      <w:numFmt w:val="bullet"/>
      <w:lvlText w:val=""/>
      <w:lvlJc w:val="left"/>
      <w:pPr>
        <w:tabs>
          <w:tab w:val="left" w:pos="-840"/>
        </w:tabs>
        <w:ind w:left="3790" w:hanging="420"/>
      </w:pPr>
      <w:rPr>
        <w:rFonts w:hint="default" w:ascii="Wingdings" w:hAnsi="Wingdings"/>
      </w:rPr>
    </w:lvl>
  </w:abstractNum>
  <w:num w:numId="1">
    <w:abstractNumId w:val="19"/>
  </w:num>
  <w:num w:numId="2">
    <w:abstractNumId w:val="24"/>
  </w:num>
  <w:num w:numId="3">
    <w:abstractNumId w:val="22"/>
  </w:num>
  <w:num w:numId="4">
    <w:abstractNumId w:val="20"/>
  </w:num>
  <w:num w:numId="5">
    <w:abstractNumId w:val="12"/>
  </w:num>
  <w:num w:numId="6">
    <w:abstractNumId w:val="14"/>
  </w:num>
  <w:num w:numId="7">
    <w:abstractNumId w:val="15"/>
  </w:num>
  <w:num w:numId="8">
    <w:abstractNumId w:val="21"/>
  </w:num>
  <w:num w:numId="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13"/>
  </w:num>
  <w:num w:numId="1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5"/>
  </w:num>
  <w:num w:numId="15">
    <w:abstractNumId w:val="0"/>
  </w:num>
  <w:num w:numId="16">
    <w:abstractNumId w:val="3"/>
  </w:num>
  <w:num w:numId="17">
    <w:abstractNumId w:val="23"/>
  </w:num>
  <w:num w:numId="18">
    <w:abstractNumId w:val="25"/>
  </w:num>
  <w:num w:numId="19">
    <w:abstractNumId w:val="9"/>
  </w:num>
  <w:num w:numId="20">
    <w:abstractNumId w:val="8"/>
  </w:num>
  <w:num w:numId="21">
    <w:abstractNumId w:val="4"/>
  </w:num>
  <w:num w:numId="22">
    <w:abstractNumId w:val="1"/>
  </w:num>
  <w:num w:numId="23">
    <w:abstractNumId w:val="6"/>
  </w:num>
  <w:num w:numId="24">
    <w:abstractNumId w:val="11"/>
  </w:num>
  <w:num w:numId="25">
    <w:abstractNumId w:val="10"/>
  </w:num>
  <w:num w:numId="26">
    <w:abstractNumId w:val="18"/>
  </w:num>
  <w:num w:numId="27">
    <w:abstractNumId w:val="16"/>
  </w:num>
  <w:num w:numId="28">
    <w:abstractNumId w:val="17"/>
  </w:num>
  <w:num w:numId="2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hlYzA2M2U3YjFkYWEwOWE3MmFiNGEzODVjMGM5M2YifQ=="/>
  </w:docVars>
  <w:rsids>
    <w:rsidRoot w:val="003447BF"/>
    <w:rsid w:val="0000027A"/>
    <w:rsid w:val="00000F16"/>
    <w:rsid w:val="00001A3D"/>
    <w:rsid w:val="00002019"/>
    <w:rsid w:val="00002207"/>
    <w:rsid w:val="0000340B"/>
    <w:rsid w:val="000035F7"/>
    <w:rsid w:val="00003F46"/>
    <w:rsid w:val="000048DB"/>
    <w:rsid w:val="00005610"/>
    <w:rsid w:val="000056AD"/>
    <w:rsid w:val="00006391"/>
    <w:rsid w:val="000066B1"/>
    <w:rsid w:val="00007938"/>
    <w:rsid w:val="000109D5"/>
    <w:rsid w:val="000126A7"/>
    <w:rsid w:val="00013B94"/>
    <w:rsid w:val="00013CCE"/>
    <w:rsid w:val="00013EAD"/>
    <w:rsid w:val="000140D2"/>
    <w:rsid w:val="00015473"/>
    <w:rsid w:val="00015598"/>
    <w:rsid w:val="00016598"/>
    <w:rsid w:val="00016CB2"/>
    <w:rsid w:val="000176E1"/>
    <w:rsid w:val="00017D18"/>
    <w:rsid w:val="0002035A"/>
    <w:rsid w:val="000203CA"/>
    <w:rsid w:val="00022189"/>
    <w:rsid w:val="000226D8"/>
    <w:rsid w:val="00022BFC"/>
    <w:rsid w:val="000235F1"/>
    <w:rsid w:val="00027A64"/>
    <w:rsid w:val="000305C9"/>
    <w:rsid w:val="000307EF"/>
    <w:rsid w:val="00030FFD"/>
    <w:rsid w:val="0003105F"/>
    <w:rsid w:val="00031718"/>
    <w:rsid w:val="0003264D"/>
    <w:rsid w:val="0003278E"/>
    <w:rsid w:val="00033243"/>
    <w:rsid w:val="00033657"/>
    <w:rsid w:val="00033970"/>
    <w:rsid w:val="00034F4C"/>
    <w:rsid w:val="00035188"/>
    <w:rsid w:val="00035689"/>
    <w:rsid w:val="00035E1B"/>
    <w:rsid w:val="0003685E"/>
    <w:rsid w:val="000368DB"/>
    <w:rsid w:val="000370BC"/>
    <w:rsid w:val="00037DE7"/>
    <w:rsid w:val="00041058"/>
    <w:rsid w:val="0004181F"/>
    <w:rsid w:val="000418B4"/>
    <w:rsid w:val="000423FB"/>
    <w:rsid w:val="00042463"/>
    <w:rsid w:val="00042AB2"/>
    <w:rsid w:val="000433A7"/>
    <w:rsid w:val="00043A88"/>
    <w:rsid w:val="00043CE0"/>
    <w:rsid w:val="00043FE0"/>
    <w:rsid w:val="00045598"/>
    <w:rsid w:val="00045889"/>
    <w:rsid w:val="00046197"/>
    <w:rsid w:val="00046326"/>
    <w:rsid w:val="0004713F"/>
    <w:rsid w:val="0005010C"/>
    <w:rsid w:val="00050BF7"/>
    <w:rsid w:val="00050FAE"/>
    <w:rsid w:val="0005230D"/>
    <w:rsid w:val="00052373"/>
    <w:rsid w:val="0005298D"/>
    <w:rsid w:val="00052C94"/>
    <w:rsid w:val="00053A3B"/>
    <w:rsid w:val="00054226"/>
    <w:rsid w:val="000547D0"/>
    <w:rsid w:val="000551E5"/>
    <w:rsid w:val="00055490"/>
    <w:rsid w:val="00057C2D"/>
    <w:rsid w:val="000602B2"/>
    <w:rsid w:val="0006147C"/>
    <w:rsid w:val="0006230D"/>
    <w:rsid w:val="000629E2"/>
    <w:rsid w:val="00062D25"/>
    <w:rsid w:val="00064E83"/>
    <w:rsid w:val="000656D0"/>
    <w:rsid w:val="00066685"/>
    <w:rsid w:val="00066946"/>
    <w:rsid w:val="000702C7"/>
    <w:rsid w:val="0007042D"/>
    <w:rsid w:val="00070E1E"/>
    <w:rsid w:val="000711E0"/>
    <w:rsid w:val="000711E8"/>
    <w:rsid w:val="00071B86"/>
    <w:rsid w:val="00072BC3"/>
    <w:rsid w:val="00073F28"/>
    <w:rsid w:val="00074924"/>
    <w:rsid w:val="000752C4"/>
    <w:rsid w:val="00075794"/>
    <w:rsid w:val="00075EE4"/>
    <w:rsid w:val="00076460"/>
    <w:rsid w:val="000769C0"/>
    <w:rsid w:val="0008030B"/>
    <w:rsid w:val="00080724"/>
    <w:rsid w:val="0008074A"/>
    <w:rsid w:val="00080AC1"/>
    <w:rsid w:val="00080FDE"/>
    <w:rsid w:val="00080FEA"/>
    <w:rsid w:val="0008127C"/>
    <w:rsid w:val="00081392"/>
    <w:rsid w:val="00081757"/>
    <w:rsid w:val="000825CD"/>
    <w:rsid w:val="00082C65"/>
    <w:rsid w:val="00082E41"/>
    <w:rsid w:val="00083710"/>
    <w:rsid w:val="00083B90"/>
    <w:rsid w:val="00083C90"/>
    <w:rsid w:val="00083F30"/>
    <w:rsid w:val="00084463"/>
    <w:rsid w:val="00084746"/>
    <w:rsid w:val="000850E9"/>
    <w:rsid w:val="000859E7"/>
    <w:rsid w:val="00085F92"/>
    <w:rsid w:val="00086313"/>
    <w:rsid w:val="00086CF7"/>
    <w:rsid w:val="00086DF0"/>
    <w:rsid w:val="000903E0"/>
    <w:rsid w:val="00090426"/>
    <w:rsid w:val="0009085D"/>
    <w:rsid w:val="000915B5"/>
    <w:rsid w:val="0009177F"/>
    <w:rsid w:val="000924E1"/>
    <w:rsid w:val="00092ABD"/>
    <w:rsid w:val="00093597"/>
    <w:rsid w:val="00093F23"/>
    <w:rsid w:val="000940E3"/>
    <w:rsid w:val="0009563B"/>
    <w:rsid w:val="00095825"/>
    <w:rsid w:val="000977D2"/>
    <w:rsid w:val="00097E39"/>
    <w:rsid w:val="000A23F5"/>
    <w:rsid w:val="000A2765"/>
    <w:rsid w:val="000A424B"/>
    <w:rsid w:val="000A477E"/>
    <w:rsid w:val="000A5072"/>
    <w:rsid w:val="000A5F66"/>
    <w:rsid w:val="000A6D9E"/>
    <w:rsid w:val="000A6ED8"/>
    <w:rsid w:val="000A70C0"/>
    <w:rsid w:val="000A76FF"/>
    <w:rsid w:val="000B005C"/>
    <w:rsid w:val="000B08E0"/>
    <w:rsid w:val="000B0F49"/>
    <w:rsid w:val="000B1025"/>
    <w:rsid w:val="000B1727"/>
    <w:rsid w:val="000B1922"/>
    <w:rsid w:val="000B2779"/>
    <w:rsid w:val="000B47AD"/>
    <w:rsid w:val="000B6146"/>
    <w:rsid w:val="000B663B"/>
    <w:rsid w:val="000B6DD8"/>
    <w:rsid w:val="000C0825"/>
    <w:rsid w:val="000C17A9"/>
    <w:rsid w:val="000C3ED3"/>
    <w:rsid w:val="000C530E"/>
    <w:rsid w:val="000C542C"/>
    <w:rsid w:val="000C6390"/>
    <w:rsid w:val="000C6793"/>
    <w:rsid w:val="000C6B8A"/>
    <w:rsid w:val="000C7700"/>
    <w:rsid w:val="000C775D"/>
    <w:rsid w:val="000C79E7"/>
    <w:rsid w:val="000C7F80"/>
    <w:rsid w:val="000D0155"/>
    <w:rsid w:val="000D01FA"/>
    <w:rsid w:val="000D07ED"/>
    <w:rsid w:val="000D14A9"/>
    <w:rsid w:val="000D191B"/>
    <w:rsid w:val="000D1930"/>
    <w:rsid w:val="000D2866"/>
    <w:rsid w:val="000D2F21"/>
    <w:rsid w:val="000D3FBC"/>
    <w:rsid w:val="000D402B"/>
    <w:rsid w:val="000D486A"/>
    <w:rsid w:val="000D486E"/>
    <w:rsid w:val="000D4B05"/>
    <w:rsid w:val="000D4D7C"/>
    <w:rsid w:val="000D4D91"/>
    <w:rsid w:val="000D4EA2"/>
    <w:rsid w:val="000D55C4"/>
    <w:rsid w:val="000D696D"/>
    <w:rsid w:val="000D6EF1"/>
    <w:rsid w:val="000D6F72"/>
    <w:rsid w:val="000D7392"/>
    <w:rsid w:val="000D789A"/>
    <w:rsid w:val="000D7A5B"/>
    <w:rsid w:val="000E0577"/>
    <w:rsid w:val="000E0D71"/>
    <w:rsid w:val="000E2607"/>
    <w:rsid w:val="000E353F"/>
    <w:rsid w:val="000E3A8A"/>
    <w:rsid w:val="000E406C"/>
    <w:rsid w:val="000E444B"/>
    <w:rsid w:val="000E5428"/>
    <w:rsid w:val="000E5A9F"/>
    <w:rsid w:val="000F02A3"/>
    <w:rsid w:val="000F0526"/>
    <w:rsid w:val="000F1557"/>
    <w:rsid w:val="000F16A9"/>
    <w:rsid w:val="000F1864"/>
    <w:rsid w:val="000F259B"/>
    <w:rsid w:val="000F42DF"/>
    <w:rsid w:val="000F4402"/>
    <w:rsid w:val="000F4554"/>
    <w:rsid w:val="000F456F"/>
    <w:rsid w:val="000F47D9"/>
    <w:rsid w:val="000F513A"/>
    <w:rsid w:val="000F53D5"/>
    <w:rsid w:val="000F59FE"/>
    <w:rsid w:val="000F653C"/>
    <w:rsid w:val="000F7555"/>
    <w:rsid w:val="001005DF"/>
    <w:rsid w:val="00100B27"/>
    <w:rsid w:val="00102526"/>
    <w:rsid w:val="0010264B"/>
    <w:rsid w:val="00102A52"/>
    <w:rsid w:val="001043B1"/>
    <w:rsid w:val="00104A1E"/>
    <w:rsid w:val="00104B25"/>
    <w:rsid w:val="001057C3"/>
    <w:rsid w:val="00105D37"/>
    <w:rsid w:val="00106C22"/>
    <w:rsid w:val="00107537"/>
    <w:rsid w:val="001112B1"/>
    <w:rsid w:val="0011183F"/>
    <w:rsid w:val="00112A18"/>
    <w:rsid w:val="00112B20"/>
    <w:rsid w:val="00112C44"/>
    <w:rsid w:val="0011354F"/>
    <w:rsid w:val="00113C11"/>
    <w:rsid w:val="00114457"/>
    <w:rsid w:val="00114A6A"/>
    <w:rsid w:val="00114E84"/>
    <w:rsid w:val="00115384"/>
    <w:rsid w:val="0011558A"/>
    <w:rsid w:val="001158C7"/>
    <w:rsid w:val="001160D8"/>
    <w:rsid w:val="00117FBD"/>
    <w:rsid w:val="00120F1C"/>
    <w:rsid w:val="001222AB"/>
    <w:rsid w:val="001228DF"/>
    <w:rsid w:val="00123312"/>
    <w:rsid w:val="00123E58"/>
    <w:rsid w:val="00125049"/>
    <w:rsid w:val="001258FA"/>
    <w:rsid w:val="001263DC"/>
    <w:rsid w:val="0012656C"/>
    <w:rsid w:val="001277F0"/>
    <w:rsid w:val="001302A7"/>
    <w:rsid w:val="001302DE"/>
    <w:rsid w:val="001306E4"/>
    <w:rsid w:val="00131E0F"/>
    <w:rsid w:val="001328C8"/>
    <w:rsid w:val="0013423B"/>
    <w:rsid w:val="00134F74"/>
    <w:rsid w:val="00136356"/>
    <w:rsid w:val="0013681A"/>
    <w:rsid w:val="001369FF"/>
    <w:rsid w:val="00136D53"/>
    <w:rsid w:val="00140089"/>
    <w:rsid w:val="0014056C"/>
    <w:rsid w:val="001408DD"/>
    <w:rsid w:val="00140987"/>
    <w:rsid w:val="001410DE"/>
    <w:rsid w:val="00142434"/>
    <w:rsid w:val="00144EE4"/>
    <w:rsid w:val="001450B9"/>
    <w:rsid w:val="00146A76"/>
    <w:rsid w:val="00146B9A"/>
    <w:rsid w:val="001471B2"/>
    <w:rsid w:val="001471D4"/>
    <w:rsid w:val="00147997"/>
    <w:rsid w:val="0015024C"/>
    <w:rsid w:val="00152E22"/>
    <w:rsid w:val="0015365C"/>
    <w:rsid w:val="00154D0D"/>
    <w:rsid w:val="0015566D"/>
    <w:rsid w:val="001560B9"/>
    <w:rsid w:val="00156A1E"/>
    <w:rsid w:val="00156FFD"/>
    <w:rsid w:val="00157933"/>
    <w:rsid w:val="001608A1"/>
    <w:rsid w:val="00160CA8"/>
    <w:rsid w:val="00160CB4"/>
    <w:rsid w:val="00161267"/>
    <w:rsid w:val="00161531"/>
    <w:rsid w:val="001616BC"/>
    <w:rsid w:val="00161CFF"/>
    <w:rsid w:val="00161D40"/>
    <w:rsid w:val="00161DA3"/>
    <w:rsid w:val="00162435"/>
    <w:rsid w:val="00162D8B"/>
    <w:rsid w:val="001637D7"/>
    <w:rsid w:val="00163D64"/>
    <w:rsid w:val="0016432A"/>
    <w:rsid w:val="0016482D"/>
    <w:rsid w:val="00164ED6"/>
    <w:rsid w:val="001652C8"/>
    <w:rsid w:val="00165631"/>
    <w:rsid w:val="001656BB"/>
    <w:rsid w:val="001670D7"/>
    <w:rsid w:val="001708B6"/>
    <w:rsid w:val="00171392"/>
    <w:rsid w:val="00171559"/>
    <w:rsid w:val="00172ADC"/>
    <w:rsid w:val="001730A9"/>
    <w:rsid w:val="00175B6B"/>
    <w:rsid w:val="00176026"/>
    <w:rsid w:val="001764BB"/>
    <w:rsid w:val="00177487"/>
    <w:rsid w:val="001778BA"/>
    <w:rsid w:val="00177CEC"/>
    <w:rsid w:val="001801B1"/>
    <w:rsid w:val="00180DE7"/>
    <w:rsid w:val="001813B3"/>
    <w:rsid w:val="00181668"/>
    <w:rsid w:val="00181780"/>
    <w:rsid w:val="0018208D"/>
    <w:rsid w:val="001825E7"/>
    <w:rsid w:val="0018438A"/>
    <w:rsid w:val="0018443E"/>
    <w:rsid w:val="00184A4E"/>
    <w:rsid w:val="001851E0"/>
    <w:rsid w:val="001853C2"/>
    <w:rsid w:val="00185A05"/>
    <w:rsid w:val="00185FEE"/>
    <w:rsid w:val="001864A2"/>
    <w:rsid w:val="001866B6"/>
    <w:rsid w:val="00187848"/>
    <w:rsid w:val="00187F43"/>
    <w:rsid w:val="00190182"/>
    <w:rsid w:val="0019057F"/>
    <w:rsid w:val="00191F3F"/>
    <w:rsid w:val="0019365A"/>
    <w:rsid w:val="001953D9"/>
    <w:rsid w:val="00196915"/>
    <w:rsid w:val="001A0476"/>
    <w:rsid w:val="001A0538"/>
    <w:rsid w:val="001A0FCA"/>
    <w:rsid w:val="001A15A7"/>
    <w:rsid w:val="001A3DE7"/>
    <w:rsid w:val="001A65C4"/>
    <w:rsid w:val="001A703C"/>
    <w:rsid w:val="001A70BD"/>
    <w:rsid w:val="001A7DCC"/>
    <w:rsid w:val="001A7F57"/>
    <w:rsid w:val="001B00E7"/>
    <w:rsid w:val="001B1B87"/>
    <w:rsid w:val="001B26F2"/>
    <w:rsid w:val="001B6A93"/>
    <w:rsid w:val="001B7533"/>
    <w:rsid w:val="001C109C"/>
    <w:rsid w:val="001C31F0"/>
    <w:rsid w:val="001C3E8E"/>
    <w:rsid w:val="001C67D3"/>
    <w:rsid w:val="001C70F9"/>
    <w:rsid w:val="001C7893"/>
    <w:rsid w:val="001C7D91"/>
    <w:rsid w:val="001D06C5"/>
    <w:rsid w:val="001D0776"/>
    <w:rsid w:val="001D09BD"/>
    <w:rsid w:val="001D1CE6"/>
    <w:rsid w:val="001D1DF0"/>
    <w:rsid w:val="001D2121"/>
    <w:rsid w:val="001D3404"/>
    <w:rsid w:val="001D5539"/>
    <w:rsid w:val="001D59EF"/>
    <w:rsid w:val="001D6A5D"/>
    <w:rsid w:val="001D71CD"/>
    <w:rsid w:val="001D7B27"/>
    <w:rsid w:val="001E0B5C"/>
    <w:rsid w:val="001E174C"/>
    <w:rsid w:val="001E1FE5"/>
    <w:rsid w:val="001E2AFF"/>
    <w:rsid w:val="001E345D"/>
    <w:rsid w:val="001E39F6"/>
    <w:rsid w:val="001E3C1B"/>
    <w:rsid w:val="001E4164"/>
    <w:rsid w:val="001E4691"/>
    <w:rsid w:val="001E516F"/>
    <w:rsid w:val="001E5607"/>
    <w:rsid w:val="001E5675"/>
    <w:rsid w:val="001E5BFD"/>
    <w:rsid w:val="001E70F0"/>
    <w:rsid w:val="001E79B9"/>
    <w:rsid w:val="001F0C45"/>
    <w:rsid w:val="001F0E74"/>
    <w:rsid w:val="001F139E"/>
    <w:rsid w:val="001F245F"/>
    <w:rsid w:val="001F2532"/>
    <w:rsid w:val="001F25F8"/>
    <w:rsid w:val="001F2BB0"/>
    <w:rsid w:val="001F2BB6"/>
    <w:rsid w:val="001F337F"/>
    <w:rsid w:val="001F3A41"/>
    <w:rsid w:val="001F421A"/>
    <w:rsid w:val="001F46E7"/>
    <w:rsid w:val="001F6864"/>
    <w:rsid w:val="001F7DFE"/>
    <w:rsid w:val="002008FE"/>
    <w:rsid w:val="00201AF3"/>
    <w:rsid w:val="00203CF7"/>
    <w:rsid w:val="00203E0E"/>
    <w:rsid w:val="002047D2"/>
    <w:rsid w:val="002049D9"/>
    <w:rsid w:val="00205850"/>
    <w:rsid w:val="00206BBC"/>
    <w:rsid w:val="002071C3"/>
    <w:rsid w:val="002106C9"/>
    <w:rsid w:val="00210E98"/>
    <w:rsid w:val="00211EEF"/>
    <w:rsid w:val="00212730"/>
    <w:rsid w:val="00213214"/>
    <w:rsid w:val="002140B9"/>
    <w:rsid w:val="00214855"/>
    <w:rsid w:val="00215B5E"/>
    <w:rsid w:val="0021691A"/>
    <w:rsid w:val="00216AA3"/>
    <w:rsid w:val="00221870"/>
    <w:rsid w:val="002230A3"/>
    <w:rsid w:val="00223BB6"/>
    <w:rsid w:val="00223BD3"/>
    <w:rsid w:val="00223D75"/>
    <w:rsid w:val="00225886"/>
    <w:rsid w:val="00225B3C"/>
    <w:rsid w:val="002272FC"/>
    <w:rsid w:val="00227783"/>
    <w:rsid w:val="00227E8F"/>
    <w:rsid w:val="0023041A"/>
    <w:rsid w:val="002332EF"/>
    <w:rsid w:val="00233517"/>
    <w:rsid w:val="00233CAC"/>
    <w:rsid w:val="00234927"/>
    <w:rsid w:val="00234ABD"/>
    <w:rsid w:val="00234FBE"/>
    <w:rsid w:val="00234FC1"/>
    <w:rsid w:val="00235792"/>
    <w:rsid w:val="00236056"/>
    <w:rsid w:val="002363AE"/>
    <w:rsid w:val="0023657F"/>
    <w:rsid w:val="00236F49"/>
    <w:rsid w:val="00237B23"/>
    <w:rsid w:val="00237E16"/>
    <w:rsid w:val="002401A4"/>
    <w:rsid w:val="002404EF"/>
    <w:rsid w:val="00240742"/>
    <w:rsid w:val="00240890"/>
    <w:rsid w:val="0024103C"/>
    <w:rsid w:val="002418C4"/>
    <w:rsid w:val="00241F46"/>
    <w:rsid w:val="0024334D"/>
    <w:rsid w:val="002437BF"/>
    <w:rsid w:val="00243ABB"/>
    <w:rsid w:val="00243AF4"/>
    <w:rsid w:val="002444B8"/>
    <w:rsid w:val="00244CAA"/>
    <w:rsid w:val="00245A2F"/>
    <w:rsid w:val="00245CCD"/>
    <w:rsid w:val="00245E2D"/>
    <w:rsid w:val="00245F4A"/>
    <w:rsid w:val="00246113"/>
    <w:rsid w:val="00247266"/>
    <w:rsid w:val="00247518"/>
    <w:rsid w:val="002479FB"/>
    <w:rsid w:val="002504AA"/>
    <w:rsid w:val="002504C0"/>
    <w:rsid w:val="002515E1"/>
    <w:rsid w:val="002516D9"/>
    <w:rsid w:val="0025278D"/>
    <w:rsid w:val="002536E2"/>
    <w:rsid w:val="00253B8D"/>
    <w:rsid w:val="0025474D"/>
    <w:rsid w:val="0025548A"/>
    <w:rsid w:val="00256532"/>
    <w:rsid w:val="00256680"/>
    <w:rsid w:val="00256758"/>
    <w:rsid w:val="002575B7"/>
    <w:rsid w:val="00257BC9"/>
    <w:rsid w:val="0026150E"/>
    <w:rsid w:val="00261D7B"/>
    <w:rsid w:val="00261FDD"/>
    <w:rsid w:val="0026276C"/>
    <w:rsid w:val="00262D2F"/>
    <w:rsid w:val="00263675"/>
    <w:rsid w:val="002638BB"/>
    <w:rsid w:val="0026442A"/>
    <w:rsid w:val="0026483C"/>
    <w:rsid w:val="002650E7"/>
    <w:rsid w:val="002664F7"/>
    <w:rsid w:val="0026753F"/>
    <w:rsid w:val="002678C2"/>
    <w:rsid w:val="00270292"/>
    <w:rsid w:val="00270705"/>
    <w:rsid w:val="00271240"/>
    <w:rsid w:val="002718A9"/>
    <w:rsid w:val="00271A2C"/>
    <w:rsid w:val="002726E6"/>
    <w:rsid w:val="00273123"/>
    <w:rsid w:val="0027316E"/>
    <w:rsid w:val="002740CA"/>
    <w:rsid w:val="00274153"/>
    <w:rsid w:val="00274683"/>
    <w:rsid w:val="0027477C"/>
    <w:rsid w:val="00274F6E"/>
    <w:rsid w:val="002758D8"/>
    <w:rsid w:val="00275B67"/>
    <w:rsid w:val="00276A6F"/>
    <w:rsid w:val="00277AAF"/>
    <w:rsid w:val="00277FD4"/>
    <w:rsid w:val="002806B7"/>
    <w:rsid w:val="00281775"/>
    <w:rsid w:val="0028179E"/>
    <w:rsid w:val="00281AA6"/>
    <w:rsid w:val="002833D0"/>
    <w:rsid w:val="00285C1C"/>
    <w:rsid w:val="00285CB2"/>
    <w:rsid w:val="00285D9D"/>
    <w:rsid w:val="002860C6"/>
    <w:rsid w:val="00286D70"/>
    <w:rsid w:val="00287E26"/>
    <w:rsid w:val="002908CC"/>
    <w:rsid w:val="00290995"/>
    <w:rsid w:val="002922B8"/>
    <w:rsid w:val="00292AAB"/>
    <w:rsid w:val="00292AEF"/>
    <w:rsid w:val="00292CAA"/>
    <w:rsid w:val="00293545"/>
    <w:rsid w:val="00293E14"/>
    <w:rsid w:val="00295456"/>
    <w:rsid w:val="00296619"/>
    <w:rsid w:val="00296699"/>
    <w:rsid w:val="00297CE2"/>
    <w:rsid w:val="002A00A4"/>
    <w:rsid w:val="002A00F9"/>
    <w:rsid w:val="002A2078"/>
    <w:rsid w:val="002A2153"/>
    <w:rsid w:val="002A2208"/>
    <w:rsid w:val="002A2AAF"/>
    <w:rsid w:val="002A310F"/>
    <w:rsid w:val="002A3BF8"/>
    <w:rsid w:val="002A3F0B"/>
    <w:rsid w:val="002A3FFA"/>
    <w:rsid w:val="002A421A"/>
    <w:rsid w:val="002A564E"/>
    <w:rsid w:val="002A5D95"/>
    <w:rsid w:val="002A5DB0"/>
    <w:rsid w:val="002A63F2"/>
    <w:rsid w:val="002A7007"/>
    <w:rsid w:val="002B01E2"/>
    <w:rsid w:val="002B09DE"/>
    <w:rsid w:val="002B12F1"/>
    <w:rsid w:val="002B18B8"/>
    <w:rsid w:val="002B1CE6"/>
    <w:rsid w:val="002B2899"/>
    <w:rsid w:val="002B4D3C"/>
    <w:rsid w:val="002B5016"/>
    <w:rsid w:val="002B5135"/>
    <w:rsid w:val="002B5881"/>
    <w:rsid w:val="002B5BE4"/>
    <w:rsid w:val="002B6529"/>
    <w:rsid w:val="002B6E49"/>
    <w:rsid w:val="002C05CA"/>
    <w:rsid w:val="002C0B22"/>
    <w:rsid w:val="002C1DA8"/>
    <w:rsid w:val="002C243C"/>
    <w:rsid w:val="002C296F"/>
    <w:rsid w:val="002C2972"/>
    <w:rsid w:val="002C364F"/>
    <w:rsid w:val="002C4010"/>
    <w:rsid w:val="002C44D2"/>
    <w:rsid w:val="002C4507"/>
    <w:rsid w:val="002C48E5"/>
    <w:rsid w:val="002C4A24"/>
    <w:rsid w:val="002C662D"/>
    <w:rsid w:val="002C6DD5"/>
    <w:rsid w:val="002C7038"/>
    <w:rsid w:val="002C7783"/>
    <w:rsid w:val="002D037B"/>
    <w:rsid w:val="002D046C"/>
    <w:rsid w:val="002D15B4"/>
    <w:rsid w:val="002D185A"/>
    <w:rsid w:val="002D1D78"/>
    <w:rsid w:val="002D1F57"/>
    <w:rsid w:val="002D2A91"/>
    <w:rsid w:val="002D32FC"/>
    <w:rsid w:val="002D34FF"/>
    <w:rsid w:val="002D3628"/>
    <w:rsid w:val="002D3F28"/>
    <w:rsid w:val="002D4284"/>
    <w:rsid w:val="002D478F"/>
    <w:rsid w:val="002D50D1"/>
    <w:rsid w:val="002D5583"/>
    <w:rsid w:val="002D5723"/>
    <w:rsid w:val="002D59E9"/>
    <w:rsid w:val="002D5AF4"/>
    <w:rsid w:val="002D700F"/>
    <w:rsid w:val="002D79E9"/>
    <w:rsid w:val="002D7D93"/>
    <w:rsid w:val="002E123C"/>
    <w:rsid w:val="002E1A3C"/>
    <w:rsid w:val="002E206E"/>
    <w:rsid w:val="002E24B9"/>
    <w:rsid w:val="002E2A22"/>
    <w:rsid w:val="002E3F33"/>
    <w:rsid w:val="002E4AB6"/>
    <w:rsid w:val="002E50E3"/>
    <w:rsid w:val="002E556A"/>
    <w:rsid w:val="002E7155"/>
    <w:rsid w:val="002F0C2A"/>
    <w:rsid w:val="002F1CFC"/>
    <w:rsid w:val="002F36BB"/>
    <w:rsid w:val="002F48AA"/>
    <w:rsid w:val="002F48AC"/>
    <w:rsid w:val="002F4AC5"/>
    <w:rsid w:val="002F4DAA"/>
    <w:rsid w:val="002F4F1E"/>
    <w:rsid w:val="002F5213"/>
    <w:rsid w:val="002F7B85"/>
    <w:rsid w:val="002F7BA7"/>
    <w:rsid w:val="002F7CFF"/>
    <w:rsid w:val="0030183C"/>
    <w:rsid w:val="00301F28"/>
    <w:rsid w:val="00302ADA"/>
    <w:rsid w:val="00303AD0"/>
    <w:rsid w:val="0030419C"/>
    <w:rsid w:val="00304399"/>
    <w:rsid w:val="0030440D"/>
    <w:rsid w:val="00304740"/>
    <w:rsid w:val="00304D04"/>
    <w:rsid w:val="0030503D"/>
    <w:rsid w:val="003058C6"/>
    <w:rsid w:val="003058F1"/>
    <w:rsid w:val="003059FD"/>
    <w:rsid w:val="0030792A"/>
    <w:rsid w:val="00311F53"/>
    <w:rsid w:val="00312AD3"/>
    <w:rsid w:val="00312C29"/>
    <w:rsid w:val="00313E78"/>
    <w:rsid w:val="00313F9C"/>
    <w:rsid w:val="00314F83"/>
    <w:rsid w:val="003154DE"/>
    <w:rsid w:val="0031577A"/>
    <w:rsid w:val="00316501"/>
    <w:rsid w:val="0031711A"/>
    <w:rsid w:val="0031770E"/>
    <w:rsid w:val="003210EA"/>
    <w:rsid w:val="0032300C"/>
    <w:rsid w:val="00323607"/>
    <w:rsid w:val="00323CEF"/>
    <w:rsid w:val="00323D93"/>
    <w:rsid w:val="00324522"/>
    <w:rsid w:val="00324AF8"/>
    <w:rsid w:val="00324E43"/>
    <w:rsid w:val="003250CA"/>
    <w:rsid w:val="003257B8"/>
    <w:rsid w:val="003275B3"/>
    <w:rsid w:val="003275C9"/>
    <w:rsid w:val="003276D0"/>
    <w:rsid w:val="00327747"/>
    <w:rsid w:val="00327831"/>
    <w:rsid w:val="00327895"/>
    <w:rsid w:val="00327E98"/>
    <w:rsid w:val="00330680"/>
    <w:rsid w:val="00330689"/>
    <w:rsid w:val="00331F81"/>
    <w:rsid w:val="00332BD5"/>
    <w:rsid w:val="00332D92"/>
    <w:rsid w:val="003331CD"/>
    <w:rsid w:val="00333EF5"/>
    <w:rsid w:val="00334FCD"/>
    <w:rsid w:val="00335731"/>
    <w:rsid w:val="00335BD2"/>
    <w:rsid w:val="00335CFC"/>
    <w:rsid w:val="00335FDD"/>
    <w:rsid w:val="00336698"/>
    <w:rsid w:val="0033708F"/>
    <w:rsid w:val="003372AA"/>
    <w:rsid w:val="00337328"/>
    <w:rsid w:val="003379B7"/>
    <w:rsid w:val="00337C82"/>
    <w:rsid w:val="00337D1A"/>
    <w:rsid w:val="00340410"/>
    <w:rsid w:val="00341DDB"/>
    <w:rsid w:val="003439EC"/>
    <w:rsid w:val="003447BF"/>
    <w:rsid w:val="00344B0C"/>
    <w:rsid w:val="003453AC"/>
    <w:rsid w:val="003453B7"/>
    <w:rsid w:val="003456EA"/>
    <w:rsid w:val="00347301"/>
    <w:rsid w:val="003509D8"/>
    <w:rsid w:val="003513DF"/>
    <w:rsid w:val="003517BF"/>
    <w:rsid w:val="003517E2"/>
    <w:rsid w:val="00353563"/>
    <w:rsid w:val="003539CF"/>
    <w:rsid w:val="003539D5"/>
    <w:rsid w:val="00354518"/>
    <w:rsid w:val="003548F6"/>
    <w:rsid w:val="00354936"/>
    <w:rsid w:val="00355F34"/>
    <w:rsid w:val="00360B4A"/>
    <w:rsid w:val="0036161B"/>
    <w:rsid w:val="003620EE"/>
    <w:rsid w:val="00362A01"/>
    <w:rsid w:val="00362AA0"/>
    <w:rsid w:val="00363894"/>
    <w:rsid w:val="0036441D"/>
    <w:rsid w:val="003670E6"/>
    <w:rsid w:val="003673B8"/>
    <w:rsid w:val="00367488"/>
    <w:rsid w:val="003704BC"/>
    <w:rsid w:val="003705D4"/>
    <w:rsid w:val="003712A8"/>
    <w:rsid w:val="00371C55"/>
    <w:rsid w:val="0037221C"/>
    <w:rsid w:val="00372CDD"/>
    <w:rsid w:val="00372F98"/>
    <w:rsid w:val="003730E5"/>
    <w:rsid w:val="0037345E"/>
    <w:rsid w:val="0037431E"/>
    <w:rsid w:val="0037444F"/>
    <w:rsid w:val="0037492B"/>
    <w:rsid w:val="00376454"/>
    <w:rsid w:val="00376E6B"/>
    <w:rsid w:val="00377C5E"/>
    <w:rsid w:val="00380AC9"/>
    <w:rsid w:val="00380F99"/>
    <w:rsid w:val="0038148A"/>
    <w:rsid w:val="003814D2"/>
    <w:rsid w:val="0038248B"/>
    <w:rsid w:val="00382E34"/>
    <w:rsid w:val="00385AF6"/>
    <w:rsid w:val="00385B5E"/>
    <w:rsid w:val="00385DB1"/>
    <w:rsid w:val="003865BF"/>
    <w:rsid w:val="00387BFB"/>
    <w:rsid w:val="003903BA"/>
    <w:rsid w:val="0039049F"/>
    <w:rsid w:val="00391251"/>
    <w:rsid w:val="00391CBF"/>
    <w:rsid w:val="00391FA7"/>
    <w:rsid w:val="00392271"/>
    <w:rsid w:val="0039243F"/>
    <w:rsid w:val="00393515"/>
    <w:rsid w:val="003936E5"/>
    <w:rsid w:val="00394FDC"/>
    <w:rsid w:val="00395111"/>
    <w:rsid w:val="00396005"/>
    <w:rsid w:val="003962B6"/>
    <w:rsid w:val="00396471"/>
    <w:rsid w:val="00397485"/>
    <w:rsid w:val="003A0D2D"/>
    <w:rsid w:val="003A157A"/>
    <w:rsid w:val="003A1CA9"/>
    <w:rsid w:val="003A22A0"/>
    <w:rsid w:val="003A238B"/>
    <w:rsid w:val="003A31B0"/>
    <w:rsid w:val="003A4916"/>
    <w:rsid w:val="003A4B24"/>
    <w:rsid w:val="003A5AB3"/>
    <w:rsid w:val="003A616E"/>
    <w:rsid w:val="003A6EA0"/>
    <w:rsid w:val="003A7020"/>
    <w:rsid w:val="003B0112"/>
    <w:rsid w:val="003B030C"/>
    <w:rsid w:val="003B0768"/>
    <w:rsid w:val="003B12E1"/>
    <w:rsid w:val="003B12F5"/>
    <w:rsid w:val="003B155E"/>
    <w:rsid w:val="003B2025"/>
    <w:rsid w:val="003B403D"/>
    <w:rsid w:val="003B4186"/>
    <w:rsid w:val="003B43AE"/>
    <w:rsid w:val="003B4A6D"/>
    <w:rsid w:val="003B554A"/>
    <w:rsid w:val="003B5EAE"/>
    <w:rsid w:val="003B6086"/>
    <w:rsid w:val="003B6F25"/>
    <w:rsid w:val="003B707F"/>
    <w:rsid w:val="003B7877"/>
    <w:rsid w:val="003C0548"/>
    <w:rsid w:val="003C0D3E"/>
    <w:rsid w:val="003C1101"/>
    <w:rsid w:val="003C1A89"/>
    <w:rsid w:val="003C1FDE"/>
    <w:rsid w:val="003C2ADE"/>
    <w:rsid w:val="003C2FD4"/>
    <w:rsid w:val="003C43BB"/>
    <w:rsid w:val="003C4BB9"/>
    <w:rsid w:val="003C51CE"/>
    <w:rsid w:val="003C5891"/>
    <w:rsid w:val="003C5CB8"/>
    <w:rsid w:val="003C5EE4"/>
    <w:rsid w:val="003C7426"/>
    <w:rsid w:val="003C78AD"/>
    <w:rsid w:val="003C7AC5"/>
    <w:rsid w:val="003D06B5"/>
    <w:rsid w:val="003D0FAC"/>
    <w:rsid w:val="003D24E4"/>
    <w:rsid w:val="003D3562"/>
    <w:rsid w:val="003D35E4"/>
    <w:rsid w:val="003D3921"/>
    <w:rsid w:val="003D427E"/>
    <w:rsid w:val="003D5694"/>
    <w:rsid w:val="003D5D8B"/>
    <w:rsid w:val="003D5F94"/>
    <w:rsid w:val="003D627C"/>
    <w:rsid w:val="003D692F"/>
    <w:rsid w:val="003D6C0E"/>
    <w:rsid w:val="003D77DF"/>
    <w:rsid w:val="003D7BF1"/>
    <w:rsid w:val="003D7CB5"/>
    <w:rsid w:val="003D7FC8"/>
    <w:rsid w:val="003E079B"/>
    <w:rsid w:val="003E104B"/>
    <w:rsid w:val="003E1132"/>
    <w:rsid w:val="003E13BA"/>
    <w:rsid w:val="003E23C3"/>
    <w:rsid w:val="003E2B07"/>
    <w:rsid w:val="003E2CD9"/>
    <w:rsid w:val="003E2F40"/>
    <w:rsid w:val="003E499F"/>
    <w:rsid w:val="003E4CFF"/>
    <w:rsid w:val="003E5280"/>
    <w:rsid w:val="003E61F1"/>
    <w:rsid w:val="003E7138"/>
    <w:rsid w:val="003E7A55"/>
    <w:rsid w:val="003F01B1"/>
    <w:rsid w:val="003F1410"/>
    <w:rsid w:val="003F1823"/>
    <w:rsid w:val="003F18EF"/>
    <w:rsid w:val="003F2A8C"/>
    <w:rsid w:val="003F3000"/>
    <w:rsid w:val="003F336E"/>
    <w:rsid w:val="003F698E"/>
    <w:rsid w:val="003F6A26"/>
    <w:rsid w:val="003F7389"/>
    <w:rsid w:val="00400481"/>
    <w:rsid w:val="00400E6A"/>
    <w:rsid w:val="00402622"/>
    <w:rsid w:val="00402B19"/>
    <w:rsid w:val="00404624"/>
    <w:rsid w:val="00404B70"/>
    <w:rsid w:val="00405CED"/>
    <w:rsid w:val="00405DA3"/>
    <w:rsid w:val="00405ED8"/>
    <w:rsid w:val="004060A3"/>
    <w:rsid w:val="00406610"/>
    <w:rsid w:val="004066C6"/>
    <w:rsid w:val="00406D84"/>
    <w:rsid w:val="00407ECD"/>
    <w:rsid w:val="004103AB"/>
    <w:rsid w:val="00410A29"/>
    <w:rsid w:val="00410BB9"/>
    <w:rsid w:val="00411996"/>
    <w:rsid w:val="00411CDC"/>
    <w:rsid w:val="00412DC6"/>
    <w:rsid w:val="00413830"/>
    <w:rsid w:val="00413CB8"/>
    <w:rsid w:val="00413DB2"/>
    <w:rsid w:val="00413FEB"/>
    <w:rsid w:val="00414A75"/>
    <w:rsid w:val="0041517A"/>
    <w:rsid w:val="00417894"/>
    <w:rsid w:val="00417AE1"/>
    <w:rsid w:val="0042005F"/>
    <w:rsid w:val="004202F8"/>
    <w:rsid w:val="00420A69"/>
    <w:rsid w:val="004210D1"/>
    <w:rsid w:val="00421609"/>
    <w:rsid w:val="00421618"/>
    <w:rsid w:val="00422C17"/>
    <w:rsid w:val="00422E18"/>
    <w:rsid w:val="00425505"/>
    <w:rsid w:val="00425890"/>
    <w:rsid w:val="00425B13"/>
    <w:rsid w:val="0042623C"/>
    <w:rsid w:val="004267EC"/>
    <w:rsid w:val="00426915"/>
    <w:rsid w:val="00426AFE"/>
    <w:rsid w:val="004275E9"/>
    <w:rsid w:val="00427859"/>
    <w:rsid w:val="0042794B"/>
    <w:rsid w:val="00427FCD"/>
    <w:rsid w:val="0043102F"/>
    <w:rsid w:val="00431625"/>
    <w:rsid w:val="004318F8"/>
    <w:rsid w:val="00431BD5"/>
    <w:rsid w:val="00432D73"/>
    <w:rsid w:val="00432D9A"/>
    <w:rsid w:val="00432F85"/>
    <w:rsid w:val="004331B4"/>
    <w:rsid w:val="004338F3"/>
    <w:rsid w:val="004339F6"/>
    <w:rsid w:val="00433B7C"/>
    <w:rsid w:val="00434598"/>
    <w:rsid w:val="0043469A"/>
    <w:rsid w:val="00434883"/>
    <w:rsid w:val="00434B58"/>
    <w:rsid w:val="0043550A"/>
    <w:rsid w:val="00435A74"/>
    <w:rsid w:val="00435C8F"/>
    <w:rsid w:val="00436CD2"/>
    <w:rsid w:val="004374EB"/>
    <w:rsid w:val="00437FAC"/>
    <w:rsid w:val="00440142"/>
    <w:rsid w:val="004408FF"/>
    <w:rsid w:val="00440B29"/>
    <w:rsid w:val="00441522"/>
    <w:rsid w:val="004419A1"/>
    <w:rsid w:val="00441A97"/>
    <w:rsid w:val="00441CBC"/>
    <w:rsid w:val="00441EA6"/>
    <w:rsid w:val="004438E7"/>
    <w:rsid w:val="004439A5"/>
    <w:rsid w:val="00443C70"/>
    <w:rsid w:val="00443ED8"/>
    <w:rsid w:val="004442B5"/>
    <w:rsid w:val="004443B1"/>
    <w:rsid w:val="00444776"/>
    <w:rsid w:val="00445021"/>
    <w:rsid w:val="00445613"/>
    <w:rsid w:val="004465C6"/>
    <w:rsid w:val="00447DCD"/>
    <w:rsid w:val="004502D4"/>
    <w:rsid w:val="00450742"/>
    <w:rsid w:val="0045099D"/>
    <w:rsid w:val="0045181F"/>
    <w:rsid w:val="004525CF"/>
    <w:rsid w:val="00452AF5"/>
    <w:rsid w:val="00453A33"/>
    <w:rsid w:val="0045478F"/>
    <w:rsid w:val="00454AB3"/>
    <w:rsid w:val="00454E8E"/>
    <w:rsid w:val="00454EE0"/>
    <w:rsid w:val="00455615"/>
    <w:rsid w:val="004558A9"/>
    <w:rsid w:val="0045620D"/>
    <w:rsid w:val="004563BF"/>
    <w:rsid w:val="00456A3C"/>
    <w:rsid w:val="004577FB"/>
    <w:rsid w:val="0046137C"/>
    <w:rsid w:val="00461CDA"/>
    <w:rsid w:val="00461D9C"/>
    <w:rsid w:val="00461E1E"/>
    <w:rsid w:val="00462BD9"/>
    <w:rsid w:val="00463340"/>
    <w:rsid w:val="00463F84"/>
    <w:rsid w:val="00464298"/>
    <w:rsid w:val="00464654"/>
    <w:rsid w:val="004650B1"/>
    <w:rsid w:val="00465860"/>
    <w:rsid w:val="004661C7"/>
    <w:rsid w:val="004661E3"/>
    <w:rsid w:val="00466E68"/>
    <w:rsid w:val="00467023"/>
    <w:rsid w:val="004673B9"/>
    <w:rsid w:val="0046758A"/>
    <w:rsid w:val="00471B0F"/>
    <w:rsid w:val="0047223E"/>
    <w:rsid w:val="00472462"/>
    <w:rsid w:val="0047256B"/>
    <w:rsid w:val="00472EA5"/>
    <w:rsid w:val="00473468"/>
    <w:rsid w:val="00474213"/>
    <w:rsid w:val="004742E3"/>
    <w:rsid w:val="004748B0"/>
    <w:rsid w:val="00474F95"/>
    <w:rsid w:val="004752F0"/>
    <w:rsid w:val="00475809"/>
    <w:rsid w:val="00480D01"/>
    <w:rsid w:val="00482D97"/>
    <w:rsid w:val="004841A4"/>
    <w:rsid w:val="004843CF"/>
    <w:rsid w:val="00484890"/>
    <w:rsid w:val="00484D5F"/>
    <w:rsid w:val="004859B1"/>
    <w:rsid w:val="00485C5C"/>
    <w:rsid w:val="00486281"/>
    <w:rsid w:val="00486766"/>
    <w:rsid w:val="00487AA4"/>
    <w:rsid w:val="00487DEE"/>
    <w:rsid w:val="00490A89"/>
    <w:rsid w:val="00492103"/>
    <w:rsid w:val="00492A36"/>
    <w:rsid w:val="00492C5C"/>
    <w:rsid w:val="00493A11"/>
    <w:rsid w:val="004940D8"/>
    <w:rsid w:val="00494697"/>
    <w:rsid w:val="00494E61"/>
    <w:rsid w:val="00495B7E"/>
    <w:rsid w:val="00495CBA"/>
    <w:rsid w:val="00495DBB"/>
    <w:rsid w:val="00496126"/>
    <w:rsid w:val="00496877"/>
    <w:rsid w:val="004A023A"/>
    <w:rsid w:val="004A0562"/>
    <w:rsid w:val="004A142B"/>
    <w:rsid w:val="004A2863"/>
    <w:rsid w:val="004A2FE3"/>
    <w:rsid w:val="004A362C"/>
    <w:rsid w:val="004A67D7"/>
    <w:rsid w:val="004A6A34"/>
    <w:rsid w:val="004A78E9"/>
    <w:rsid w:val="004A7E98"/>
    <w:rsid w:val="004B0197"/>
    <w:rsid w:val="004B07C3"/>
    <w:rsid w:val="004B09C6"/>
    <w:rsid w:val="004B2233"/>
    <w:rsid w:val="004B2F5D"/>
    <w:rsid w:val="004B31F9"/>
    <w:rsid w:val="004B3759"/>
    <w:rsid w:val="004B4033"/>
    <w:rsid w:val="004B486A"/>
    <w:rsid w:val="004B58F5"/>
    <w:rsid w:val="004B64AF"/>
    <w:rsid w:val="004B691A"/>
    <w:rsid w:val="004B787F"/>
    <w:rsid w:val="004B7898"/>
    <w:rsid w:val="004B7CFB"/>
    <w:rsid w:val="004C0025"/>
    <w:rsid w:val="004C096A"/>
    <w:rsid w:val="004C0D82"/>
    <w:rsid w:val="004C15BD"/>
    <w:rsid w:val="004C1798"/>
    <w:rsid w:val="004C36C6"/>
    <w:rsid w:val="004C3EB7"/>
    <w:rsid w:val="004C41CE"/>
    <w:rsid w:val="004C443E"/>
    <w:rsid w:val="004C485E"/>
    <w:rsid w:val="004C5A4B"/>
    <w:rsid w:val="004C5B41"/>
    <w:rsid w:val="004C5B91"/>
    <w:rsid w:val="004C654B"/>
    <w:rsid w:val="004C6AA1"/>
    <w:rsid w:val="004C6D3B"/>
    <w:rsid w:val="004C7285"/>
    <w:rsid w:val="004D12A5"/>
    <w:rsid w:val="004D1C44"/>
    <w:rsid w:val="004D22A8"/>
    <w:rsid w:val="004D26A6"/>
    <w:rsid w:val="004D278C"/>
    <w:rsid w:val="004D286B"/>
    <w:rsid w:val="004D38CE"/>
    <w:rsid w:val="004D3E8B"/>
    <w:rsid w:val="004D52BE"/>
    <w:rsid w:val="004D5F57"/>
    <w:rsid w:val="004D6094"/>
    <w:rsid w:val="004D753B"/>
    <w:rsid w:val="004D7EB9"/>
    <w:rsid w:val="004E130F"/>
    <w:rsid w:val="004E237E"/>
    <w:rsid w:val="004E277C"/>
    <w:rsid w:val="004E2F31"/>
    <w:rsid w:val="004E3AEB"/>
    <w:rsid w:val="004E3BE8"/>
    <w:rsid w:val="004E4538"/>
    <w:rsid w:val="004E5730"/>
    <w:rsid w:val="004E66C9"/>
    <w:rsid w:val="004E7146"/>
    <w:rsid w:val="004E7463"/>
    <w:rsid w:val="004E77B6"/>
    <w:rsid w:val="004E7C0A"/>
    <w:rsid w:val="004F087B"/>
    <w:rsid w:val="004F08D6"/>
    <w:rsid w:val="004F1E74"/>
    <w:rsid w:val="004F2FD2"/>
    <w:rsid w:val="004F3524"/>
    <w:rsid w:val="004F36AB"/>
    <w:rsid w:val="004F47A8"/>
    <w:rsid w:val="004F50BC"/>
    <w:rsid w:val="004F521E"/>
    <w:rsid w:val="004F5278"/>
    <w:rsid w:val="004F5630"/>
    <w:rsid w:val="004F6792"/>
    <w:rsid w:val="004F726A"/>
    <w:rsid w:val="004F78CE"/>
    <w:rsid w:val="004F7A1A"/>
    <w:rsid w:val="00500066"/>
    <w:rsid w:val="00502165"/>
    <w:rsid w:val="0050287F"/>
    <w:rsid w:val="005038C5"/>
    <w:rsid w:val="00503E88"/>
    <w:rsid w:val="00505669"/>
    <w:rsid w:val="00505C66"/>
    <w:rsid w:val="005076C6"/>
    <w:rsid w:val="00507DB0"/>
    <w:rsid w:val="00510353"/>
    <w:rsid w:val="005104ED"/>
    <w:rsid w:val="005108DF"/>
    <w:rsid w:val="00510ABF"/>
    <w:rsid w:val="0051210D"/>
    <w:rsid w:val="005129D7"/>
    <w:rsid w:val="00512A10"/>
    <w:rsid w:val="00513345"/>
    <w:rsid w:val="0051428E"/>
    <w:rsid w:val="00514AE0"/>
    <w:rsid w:val="00514C00"/>
    <w:rsid w:val="0051575E"/>
    <w:rsid w:val="00516023"/>
    <w:rsid w:val="0051656A"/>
    <w:rsid w:val="005207CB"/>
    <w:rsid w:val="00520A52"/>
    <w:rsid w:val="005212AA"/>
    <w:rsid w:val="005215CB"/>
    <w:rsid w:val="005225BE"/>
    <w:rsid w:val="00522791"/>
    <w:rsid w:val="005233CF"/>
    <w:rsid w:val="00523559"/>
    <w:rsid w:val="005235C5"/>
    <w:rsid w:val="00523C97"/>
    <w:rsid w:val="00524D3B"/>
    <w:rsid w:val="005258B1"/>
    <w:rsid w:val="00527CA1"/>
    <w:rsid w:val="005303F9"/>
    <w:rsid w:val="00530470"/>
    <w:rsid w:val="0053060F"/>
    <w:rsid w:val="00530F7A"/>
    <w:rsid w:val="00531335"/>
    <w:rsid w:val="005317B8"/>
    <w:rsid w:val="00531E60"/>
    <w:rsid w:val="00532530"/>
    <w:rsid w:val="00532678"/>
    <w:rsid w:val="00532796"/>
    <w:rsid w:val="00534FD6"/>
    <w:rsid w:val="00535A9E"/>
    <w:rsid w:val="00536068"/>
    <w:rsid w:val="00537577"/>
    <w:rsid w:val="005377B7"/>
    <w:rsid w:val="0053797B"/>
    <w:rsid w:val="00537F86"/>
    <w:rsid w:val="00540261"/>
    <w:rsid w:val="005404C5"/>
    <w:rsid w:val="00540D46"/>
    <w:rsid w:val="00541DDC"/>
    <w:rsid w:val="005429E3"/>
    <w:rsid w:val="005435FD"/>
    <w:rsid w:val="00543615"/>
    <w:rsid w:val="00544E08"/>
    <w:rsid w:val="0054574F"/>
    <w:rsid w:val="00545999"/>
    <w:rsid w:val="00545A8F"/>
    <w:rsid w:val="00545F07"/>
    <w:rsid w:val="0054704E"/>
    <w:rsid w:val="0055043D"/>
    <w:rsid w:val="00550692"/>
    <w:rsid w:val="005508DB"/>
    <w:rsid w:val="00550970"/>
    <w:rsid w:val="00550B76"/>
    <w:rsid w:val="00550E03"/>
    <w:rsid w:val="00551123"/>
    <w:rsid w:val="00551492"/>
    <w:rsid w:val="005515D7"/>
    <w:rsid w:val="00551C4B"/>
    <w:rsid w:val="00551D52"/>
    <w:rsid w:val="005525F3"/>
    <w:rsid w:val="00552812"/>
    <w:rsid w:val="00552A81"/>
    <w:rsid w:val="00552C0C"/>
    <w:rsid w:val="005536C6"/>
    <w:rsid w:val="0055399F"/>
    <w:rsid w:val="00553E3D"/>
    <w:rsid w:val="005540F3"/>
    <w:rsid w:val="00554926"/>
    <w:rsid w:val="00555A6F"/>
    <w:rsid w:val="0055661F"/>
    <w:rsid w:val="00556897"/>
    <w:rsid w:val="0055796F"/>
    <w:rsid w:val="005606F1"/>
    <w:rsid w:val="00560818"/>
    <w:rsid w:val="00560ED1"/>
    <w:rsid w:val="00561B00"/>
    <w:rsid w:val="0056246A"/>
    <w:rsid w:val="00562D9E"/>
    <w:rsid w:val="00562F3F"/>
    <w:rsid w:val="00563A17"/>
    <w:rsid w:val="00563BAB"/>
    <w:rsid w:val="005642BB"/>
    <w:rsid w:val="0056430D"/>
    <w:rsid w:val="00564CDE"/>
    <w:rsid w:val="00565140"/>
    <w:rsid w:val="00565D70"/>
    <w:rsid w:val="00566160"/>
    <w:rsid w:val="00566328"/>
    <w:rsid w:val="005666BC"/>
    <w:rsid w:val="005676C4"/>
    <w:rsid w:val="00567A36"/>
    <w:rsid w:val="00567B6C"/>
    <w:rsid w:val="00567EE7"/>
    <w:rsid w:val="00570A08"/>
    <w:rsid w:val="00570BBF"/>
    <w:rsid w:val="00571094"/>
    <w:rsid w:val="00571437"/>
    <w:rsid w:val="0057183A"/>
    <w:rsid w:val="00571945"/>
    <w:rsid w:val="00572B4B"/>
    <w:rsid w:val="005737B4"/>
    <w:rsid w:val="00573965"/>
    <w:rsid w:val="00573BFD"/>
    <w:rsid w:val="00573C89"/>
    <w:rsid w:val="0057441F"/>
    <w:rsid w:val="00574F36"/>
    <w:rsid w:val="0057534A"/>
    <w:rsid w:val="00575765"/>
    <w:rsid w:val="0058006A"/>
    <w:rsid w:val="005802C4"/>
    <w:rsid w:val="00580BF4"/>
    <w:rsid w:val="00580F44"/>
    <w:rsid w:val="005819DF"/>
    <w:rsid w:val="00581E43"/>
    <w:rsid w:val="00582FC4"/>
    <w:rsid w:val="0058351A"/>
    <w:rsid w:val="00584F84"/>
    <w:rsid w:val="0058593C"/>
    <w:rsid w:val="005859B5"/>
    <w:rsid w:val="00585AB5"/>
    <w:rsid w:val="005868BF"/>
    <w:rsid w:val="00586EF8"/>
    <w:rsid w:val="0058737F"/>
    <w:rsid w:val="005877F8"/>
    <w:rsid w:val="005901DD"/>
    <w:rsid w:val="00591322"/>
    <w:rsid w:val="005917D3"/>
    <w:rsid w:val="005918E8"/>
    <w:rsid w:val="00591B98"/>
    <w:rsid w:val="00591E24"/>
    <w:rsid w:val="00591FD1"/>
    <w:rsid w:val="005922A3"/>
    <w:rsid w:val="00593200"/>
    <w:rsid w:val="005933B6"/>
    <w:rsid w:val="0059434F"/>
    <w:rsid w:val="00594B8F"/>
    <w:rsid w:val="005955F4"/>
    <w:rsid w:val="0059710B"/>
    <w:rsid w:val="005971A5"/>
    <w:rsid w:val="00597424"/>
    <w:rsid w:val="005A04F4"/>
    <w:rsid w:val="005A08C5"/>
    <w:rsid w:val="005A0B88"/>
    <w:rsid w:val="005A0FC3"/>
    <w:rsid w:val="005A2A58"/>
    <w:rsid w:val="005A2B90"/>
    <w:rsid w:val="005A2FF5"/>
    <w:rsid w:val="005A3047"/>
    <w:rsid w:val="005A30F1"/>
    <w:rsid w:val="005A3131"/>
    <w:rsid w:val="005A31D6"/>
    <w:rsid w:val="005A3A67"/>
    <w:rsid w:val="005A3C1F"/>
    <w:rsid w:val="005A473D"/>
    <w:rsid w:val="005A54E1"/>
    <w:rsid w:val="005A58E1"/>
    <w:rsid w:val="005A5BE6"/>
    <w:rsid w:val="005A686F"/>
    <w:rsid w:val="005A78A8"/>
    <w:rsid w:val="005A7B11"/>
    <w:rsid w:val="005B02C8"/>
    <w:rsid w:val="005B141F"/>
    <w:rsid w:val="005B1743"/>
    <w:rsid w:val="005B186A"/>
    <w:rsid w:val="005B2A43"/>
    <w:rsid w:val="005B3F35"/>
    <w:rsid w:val="005B46F9"/>
    <w:rsid w:val="005B4853"/>
    <w:rsid w:val="005B4FD5"/>
    <w:rsid w:val="005B5057"/>
    <w:rsid w:val="005B51F9"/>
    <w:rsid w:val="005B5FC6"/>
    <w:rsid w:val="005B7D81"/>
    <w:rsid w:val="005C0453"/>
    <w:rsid w:val="005C1667"/>
    <w:rsid w:val="005C223C"/>
    <w:rsid w:val="005C2A65"/>
    <w:rsid w:val="005C3B53"/>
    <w:rsid w:val="005C3EBF"/>
    <w:rsid w:val="005C4288"/>
    <w:rsid w:val="005C43D6"/>
    <w:rsid w:val="005C4A27"/>
    <w:rsid w:val="005C4AA7"/>
    <w:rsid w:val="005C4BDB"/>
    <w:rsid w:val="005C54EC"/>
    <w:rsid w:val="005C5A7A"/>
    <w:rsid w:val="005C65A5"/>
    <w:rsid w:val="005C79E0"/>
    <w:rsid w:val="005D0AFD"/>
    <w:rsid w:val="005D27F2"/>
    <w:rsid w:val="005D2F1F"/>
    <w:rsid w:val="005D304D"/>
    <w:rsid w:val="005D31AB"/>
    <w:rsid w:val="005D3783"/>
    <w:rsid w:val="005D3809"/>
    <w:rsid w:val="005D41F5"/>
    <w:rsid w:val="005D4C08"/>
    <w:rsid w:val="005D59EF"/>
    <w:rsid w:val="005D5A14"/>
    <w:rsid w:val="005D7040"/>
    <w:rsid w:val="005D7CEF"/>
    <w:rsid w:val="005D7E2E"/>
    <w:rsid w:val="005E0319"/>
    <w:rsid w:val="005E0C36"/>
    <w:rsid w:val="005E1353"/>
    <w:rsid w:val="005E1ABD"/>
    <w:rsid w:val="005E1C06"/>
    <w:rsid w:val="005E32F1"/>
    <w:rsid w:val="005E37E2"/>
    <w:rsid w:val="005E3B99"/>
    <w:rsid w:val="005E4D0A"/>
    <w:rsid w:val="005E5036"/>
    <w:rsid w:val="005E50FA"/>
    <w:rsid w:val="005E57C8"/>
    <w:rsid w:val="005E5937"/>
    <w:rsid w:val="005E61B5"/>
    <w:rsid w:val="005E636C"/>
    <w:rsid w:val="005E77EC"/>
    <w:rsid w:val="005F05B6"/>
    <w:rsid w:val="005F1885"/>
    <w:rsid w:val="005F2F25"/>
    <w:rsid w:val="005F3361"/>
    <w:rsid w:val="005F397E"/>
    <w:rsid w:val="005F42ED"/>
    <w:rsid w:val="005F4439"/>
    <w:rsid w:val="005F4C33"/>
    <w:rsid w:val="005F6EEB"/>
    <w:rsid w:val="005F707C"/>
    <w:rsid w:val="005F76A1"/>
    <w:rsid w:val="005F77FD"/>
    <w:rsid w:val="005F79B1"/>
    <w:rsid w:val="005F7C8D"/>
    <w:rsid w:val="0060404B"/>
    <w:rsid w:val="00604DCF"/>
    <w:rsid w:val="00606725"/>
    <w:rsid w:val="0060689B"/>
    <w:rsid w:val="00607354"/>
    <w:rsid w:val="006073AC"/>
    <w:rsid w:val="00607BA1"/>
    <w:rsid w:val="00607CCE"/>
    <w:rsid w:val="0061010C"/>
    <w:rsid w:val="00610EC5"/>
    <w:rsid w:val="00611095"/>
    <w:rsid w:val="00611561"/>
    <w:rsid w:val="006115ED"/>
    <w:rsid w:val="00611D3E"/>
    <w:rsid w:val="00612974"/>
    <w:rsid w:val="0061511E"/>
    <w:rsid w:val="00615FE1"/>
    <w:rsid w:val="00616005"/>
    <w:rsid w:val="00616BE1"/>
    <w:rsid w:val="006171F2"/>
    <w:rsid w:val="0061769B"/>
    <w:rsid w:val="00617B4C"/>
    <w:rsid w:val="0062044E"/>
    <w:rsid w:val="006204A3"/>
    <w:rsid w:val="006208FC"/>
    <w:rsid w:val="006225D9"/>
    <w:rsid w:val="00623088"/>
    <w:rsid w:val="00623524"/>
    <w:rsid w:val="00623739"/>
    <w:rsid w:val="00623FFA"/>
    <w:rsid w:val="00624CCB"/>
    <w:rsid w:val="00624DA3"/>
    <w:rsid w:val="0062511A"/>
    <w:rsid w:val="006256B2"/>
    <w:rsid w:val="00625D86"/>
    <w:rsid w:val="0062612A"/>
    <w:rsid w:val="00626988"/>
    <w:rsid w:val="0062699C"/>
    <w:rsid w:val="00627615"/>
    <w:rsid w:val="006278E0"/>
    <w:rsid w:val="00627B82"/>
    <w:rsid w:val="00630A88"/>
    <w:rsid w:val="00630EA1"/>
    <w:rsid w:val="00631290"/>
    <w:rsid w:val="00631628"/>
    <w:rsid w:val="006320CB"/>
    <w:rsid w:val="006322A6"/>
    <w:rsid w:val="00632470"/>
    <w:rsid w:val="006329B9"/>
    <w:rsid w:val="00632AFC"/>
    <w:rsid w:val="00632CE5"/>
    <w:rsid w:val="006335AA"/>
    <w:rsid w:val="00633942"/>
    <w:rsid w:val="006348DA"/>
    <w:rsid w:val="00634CD6"/>
    <w:rsid w:val="00634E9E"/>
    <w:rsid w:val="00635B90"/>
    <w:rsid w:val="006377D1"/>
    <w:rsid w:val="00637C80"/>
    <w:rsid w:val="00640339"/>
    <w:rsid w:val="006411A5"/>
    <w:rsid w:val="006422D1"/>
    <w:rsid w:val="0064270E"/>
    <w:rsid w:val="00642AEC"/>
    <w:rsid w:val="00645A30"/>
    <w:rsid w:val="00645FB2"/>
    <w:rsid w:val="0064671A"/>
    <w:rsid w:val="00646B13"/>
    <w:rsid w:val="00647A96"/>
    <w:rsid w:val="0065024D"/>
    <w:rsid w:val="0065035C"/>
    <w:rsid w:val="0065073C"/>
    <w:rsid w:val="00652F0A"/>
    <w:rsid w:val="0065326C"/>
    <w:rsid w:val="00653556"/>
    <w:rsid w:val="00654495"/>
    <w:rsid w:val="00654BCD"/>
    <w:rsid w:val="00654FBC"/>
    <w:rsid w:val="00654FCF"/>
    <w:rsid w:val="006551F0"/>
    <w:rsid w:val="006561E0"/>
    <w:rsid w:val="00656294"/>
    <w:rsid w:val="006563CD"/>
    <w:rsid w:val="006568EC"/>
    <w:rsid w:val="006570AD"/>
    <w:rsid w:val="00657E11"/>
    <w:rsid w:val="00660640"/>
    <w:rsid w:val="006606B7"/>
    <w:rsid w:val="00660D47"/>
    <w:rsid w:val="0066104F"/>
    <w:rsid w:val="00661A49"/>
    <w:rsid w:val="00661EC3"/>
    <w:rsid w:val="00661FD9"/>
    <w:rsid w:val="00662FC8"/>
    <w:rsid w:val="006639D2"/>
    <w:rsid w:val="00664009"/>
    <w:rsid w:val="006643FA"/>
    <w:rsid w:val="00664D09"/>
    <w:rsid w:val="006657CE"/>
    <w:rsid w:val="00670650"/>
    <w:rsid w:val="00670AB2"/>
    <w:rsid w:val="00670BFF"/>
    <w:rsid w:val="00670CC8"/>
    <w:rsid w:val="0067145D"/>
    <w:rsid w:val="00671B76"/>
    <w:rsid w:val="00671BAD"/>
    <w:rsid w:val="00672FCF"/>
    <w:rsid w:val="00673303"/>
    <w:rsid w:val="0067471C"/>
    <w:rsid w:val="00674A33"/>
    <w:rsid w:val="00674DF7"/>
    <w:rsid w:val="006754D0"/>
    <w:rsid w:val="00675C96"/>
    <w:rsid w:val="006764A1"/>
    <w:rsid w:val="006777B0"/>
    <w:rsid w:val="006778F7"/>
    <w:rsid w:val="00677917"/>
    <w:rsid w:val="0067795A"/>
    <w:rsid w:val="0068028B"/>
    <w:rsid w:val="006802D8"/>
    <w:rsid w:val="00680874"/>
    <w:rsid w:val="006812D6"/>
    <w:rsid w:val="00682257"/>
    <w:rsid w:val="00682704"/>
    <w:rsid w:val="00682F96"/>
    <w:rsid w:val="006843E4"/>
    <w:rsid w:val="006844FF"/>
    <w:rsid w:val="00684EAF"/>
    <w:rsid w:val="006867B2"/>
    <w:rsid w:val="00687348"/>
    <w:rsid w:val="00687798"/>
    <w:rsid w:val="00687AA3"/>
    <w:rsid w:val="00687ED7"/>
    <w:rsid w:val="00692355"/>
    <w:rsid w:val="006928A7"/>
    <w:rsid w:val="00692FF4"/>
    <w:rsid w:val="006933AB"/>
    <w:rsid w:val="00693B5D"/>
    <w:rsid w:val="00693E1F"/>
    <w:rsid w:val="00694336"/>
    <w:rsid w:val="00694A98"/>
    <w:rsid w:val="00695182"/>
    <w:rsid w:val="006956DB"/>
    <w:rsid w:val="00695B26"/>
    <w:rsid w:val="00695E62"/>
    <w:rsid w:val="00696044"/>
    <w:rsid w:val="006A098A"/>
    <w:rsid w:val="006A0A46"/>
    <w:rsid w:val="006A0FAC"/>
    <w:rsid w:val="006A2304"/>
    <w:rsid w:val="006A2CF2"/>
    <w:rsid w:val="006A449C"/>
    <w:rsid w:val="006A4BA4"/>
    <w:rsid w:val="006A4EC8"/>
    <w:rsid w:val="006A4EE1"/>
    <w:rsid w:val="006A599B"/>
    <w:rsid w:val="006A650D"/>
    <w:rsid w:val="006A6D40"/>
    <w:rsid w:val="006A75D9"/>
    <w:rsid w:val="006A7DC9"/>
    <w:rsid w:val="006B0EAF"/>
    <w:rsid w:val="006B1377"/>
    <w:rsid w:val="006B1B44"/>
    <w:rsid w:val="006B1B64"/>
    <w:rsid w:val="006B1E24"/>
    <w:rsid w:val="006B1F50"/>
    <w:rsid w:val="006B2BA2"/>
    <w:rsid w:val="006B5949"/>
    <w:rsid w:val="006B5DCE"/>
    <w:rsid w:val="006B61CC"/>
    <w:rsid w:val="006B633A"/>
    <w:rsid w:val="006B6C1C"/>
    <w:rsid w:val="006B6FA0"/>
    <w:rsid w:val="006B705D"/>
    <w:rsid w:val="006B79DF"/>
    <w:rsid w:val="006C0AEC"/>
    <w:rsid w:val="006C0D33"/>
    <w:rsid w:val="006C0FA6"/>
    <w:rsid w:val="006C14A8"/>
    <w:rsid w:val="006C1FAC"/>
    <w:rsid w:val="006C348B"/>
    <w:rsid w:val="006C4C60"/>
    <w:rsid w:val="006C5839"/>
    <w:rsid w:val="006C5C0F"/>
    <w:rsid w:val="006C5FAA"/>
    <w:rsid w:val="006C63BD"/>
    <w:rsid w:val="006C72FE"/>
    <w:rsid w:val="006C770D"/>
    <w:rsid w:val="006D267D"/>
    <w:rsid w:val="006D2BDC"/>
    <w:rsid w:val="006D2F9F"/>
    <w:rsid w:val="006D3D16"/>
    <w:rsid w:val="006D4A2F"/>
    <w:rsid w:val="006D4C8C"/>
    <w:rsid w:val="006D4D08"/>
    <w:rsid w:val="006D57CF"/>
    <w:rsid w:val="006D585E"/>
    <w:rsid w:val="006D6545"/>
    <w:rsid w:val="006D6805"/>
    <w:rsid w:val="006D68B9"/>
    <w:rsid w:val="006D6F56"/>
    <w:rsid w:val="006D7E84"/>
    <w:rsid w:val="006E09A9"/>
    <w:rsid w:val="006E1A8E"/>
    <w:rsid w:val="006E31B2"/>
    <w:rsid w:val="006E335D"/>
    <w:rsid w:val="006E3733"/>
    <w:rsid w:val="006E4C5B"/>
    <w:rsid w:val="006E5AF1"/>
    <w:rsid w:val="006E5FAC"/>
    <w:rsid w:val="006E5FB1"/>
    <w:rsid w:val="006E672C"/>
    <w:rsid w:val="006E71B4"/>
    <w:rsid w:val="006F0180"/>
    <w:rsid w:val="006F19B5"/>
    <w:rsid w:val="006F1AD4"/>
    <w:rsid w:val="006F1DCB"/>
    <w:rsid w:val="006F2514"/>
    <w:rsid w:val="006F29BA"/>
    <w:rsid w:val="006F2AC1"/>
    <w:rsid w:val="006F2AEB"/>
    <w:rsid w:val="006F2B22"/>
    <w:rsid w:val="006F2DCB"/>
    <w:rsid w:val="006F440A"/>
    <w:rsid w:val="006F4BA1"/>
    <w:rsid w:val="006F6435"/>
    <w:rsid w:val="006F71DC"/>
    <w:rsid w:val="00700AED"/>
    <w:rsid w:val="00700FAB"/>
    <w:rsid w:val="00700FBD"/>
    <w:rsid w:val="00701357"/>
    <w:rsid w:val="007014C1"/>
    <w:rsid w:val="007014D0"/>
    <w:rsid w:val="007015F7"/>
    <w:rsid w:val="00701A83"/>
    <w:rsid w:val="007028F0"/>
    <w:rsid w:val="00702A54"/>
    <w:rsid w:val="007033C6"/>
    <w:rsid w:val="00703D2C"/>
    <w:rsid w:val="007046E9"/>
    <w:rsid w:val="007047A8"/>
    <w:rsid w:val="007049FC"/>
    <w:rsid w:val="00705252"/>
    <w:rsid w:val="00705463"/>
    <w:rsid w:val="00705D6E"/>
    <w:rsid w:val="00706257"/>
    <w:rsid w:val="00706391"/>
    <w:rsid w:val="007066D7"/>
    <w:rsid w:val="00707A02"/>
    <w:rsid w:val="00710395"/>
    <w:rsid w:val="00710D1D"/>
    <w:rsid w:val="00710EF6"/>
    <w:rsid w:val="00711B2C"/>
    <w:rsid w:val="007139F3"/>
    <w:rsid w:val="00715110"/>
    <w:rsid w:val="00715291"/>
    <w:rsid w:val="007159A1"/>
    <w:rsid w:val="00715A95"/>
    <w:rsid w:val="0071715C"/>
    <w:rsid w:val="007172A3"/>
    <w:rsid w:val="007202E6"/>
    <w:rsid w:val="00721369"/>
    <w:rsid w:val="007213C6"/>
    <w:rsid w:val="0072186C"/>
    <w:rsid w:val="00721C57"/>
    <w:rsid w:val="0072229A"/>
    <w:rsid w:val="00722583"/>
    <w:rsid w:val="00722943"/>
    <w:rsid w:val="00722F42"/>
    <w:rsid w:val="007234BC"/>
    <w:rsid w:val="0072361D"/>
    <w:rsid w:val="00723CE5"/>
    <w:rsid w:val="00724048"/>
    <w:rsid w:val="007243B3"/>
    <w:rsid w:val="00724BDF"/>
    <w:rsid w:val="00725C8B"/>
    <w:rsid w:val="00725FFD"/>
    <w:rsid w:val="00726A37"/>
    <w:rsid w:val="00727219"/>
    <w:rsid w:val="00727292"/>
    <w:rsid w:val="00731C91"/>
    <w:rsid w:val="00731CD9"/>
    <w:rsid w:val="0073305A"/>
    <w:rsid w:val="0073383C"/>
    <w:rsid w:val="00733E32"/>
    <w:rsid w:val="0073400C"/>
    <w:rsid w:val="00734420"/>
    <w:rsid w:val="00734438"/>
    <w:rsid w:val="007344E4"/>
    <w:rsid w:val="00735288"/>
    <w:rsid w:val="00736683"/>
    <w:rsid w:val="00736948"/>
    <w:rsid w:val="00736DC6"/>
    <w:rsid w:val="00737DCF"/>
    <w:rsid w:val="00741323"/>
    <w:rsid w:val="007419A1"/>
    <w:rsid w:val="007420B8"/>
    <w:rsid w:val="00742441"/>
    <w:rsid w:val="0074303D"/>
    <w:rsid w:val="00743989"/>
    <w:rsid w:val="00743A46"/>
    <w:rsid w:val="0074486C"/>
    <w:rsid w:val="00745C2B"/>
    <w:rsid w:val="00746D34"/>
    <w:rsid w:val="00746EB4"/>
    <w:rsid w:val="00747503"/>
    <w:rsid w:val="00747509"/>
    <w:rsid w:val="007478E4"/>
    <w:rsid w:val="00750C90"/>
    <w:rsid w:val="00750F9D"/>
    <w:rsid w:val="007514B1"/>
    <w:rsid w:val="007521DE"/>
    <w:rsid w:val="00752343"/>
    <w:rsid w:val="007529ED"/>
    <w:rsid w:val="00752A6F"/>
    <w:rsid w:val="0075441B"/>
    <w:rsid w:val="00755D8C"/>
    <w:rsid w:val="0075663D"/>
    <w:rsid w:val="0075664F"/>
    <w:rsid w:val="0075702C"/>
    <w:rsid w:val="00757361"/>
    <w:rsid w:val="00760129"/>
    <w:rsid w:val="007613C3"/>
    <w:rsid w:val="00761627"/>
    <w:rsid w:val="00761C59"/>
    <w:rsid w:val="00762F64"/>
    <w:rsid w:val="00763967"/>
    <w:rsid w:val="007645E6"/>
    <w:rsid w:val="00764DE0"/>
    <w:rsid w:val="00765AEA"/>
    <w:rsid w:val="00766186"/>
    <w:rsid w:val="00767AE4"/>
    <w:rsid w:val="00767DA2"/>
    <w:rsid w:val="00770BCA"/>
    <w:rsid w:val="007721EB"/>
    <w:rsid w:val="0077270C"/>
    <w:rsid w:val="00772940"/>
    <w:rsid w:val="00772C38"/>
    <w:rsid w:val="00772D31"/>
    <w:rsid w:val="007731F9"/>
    <w:rsid w:val="00773342"/>
    <w:rsid w:val="007734B2"/>
    <w:rsid w:val="0077359E"/>
    <w:rsid w:val="0077395B"/>
    <w:rsid w:val="00773C81"/>
    <w:rsid w:val="00774D7C"/>
    <w:rsid w:val="00775CAE"/>
    <w:rsid w:val="00780F75"/>
    <w:rsid w:val="00782EC5"/>
    <w:rsid w:val="007832E9"/>
    <w:rsid w:val="0078345D"/>
    <w:rsid w:val="00785332"/>
    <w:rsid w:val="00785913"/>
    <w:rsid w:val="00786520"/>
    <w:rsid w:val="00791A1F"/>
    <w:rsid w:val="00791C48"/>
    <w:rsid w:val="00792011"/>
    <w:rsid w:val="007928D1"/>
    <w:rsid w:val="00793075"/>
    <w:rsid w:val="00794093"/>
    <w:rsid w:val="007945B4"/>
    <w:rsid w:val="007953CF"/>
    <w:rsid w:val="00795CA8"/>
    <w:rsid w:val="00795FC3"/>
    <w:rsid w:val="00796D24"/>
    <w:rsid w:val="007A1AFC"/>
    <w:rsid w:val="007A1B56"/>
    <w:rsid w:val="007A1C10"/>
    <w:rsid w:val="007A2423"/>
    <w:rsid w:val="007A2B32"/>
    <w:rsid w:val="007A34DF"/>
    <w:rsid w:val="007A4315"/>
    <w:rsid w:val="007A588A"/>
    <w:rsid w:val="007A59E0"/>
    <w:rsid w:val="007A5DEE"/>
    <w:rsid w:val="007A6B23"/>
    <w:rsid w:val="007A6E22"/>
    <w:rsid w:val="007A6E58"/>
    <w:rsid w:val="007A6EB4"/>
    <w:rsid w:val="007A7E14"/>
    <w:rsid w:val="007B0DB0"/>
    <w:rsid w:val="007B14F3"/>
    <w:rsid w:val="007B15CB"/>
    <w:rsid w:val="007B17F7"/>
    <w:rsid w:val="007B2ABF"/>
    <w:rsid w:val="007B30C9"/>
    <w:rsid w:val="007B4695"/>
    <w:rsid w:val="007B4862"/>
    <w:rsid w:val="007B4BE4"/>
    <w:rsid w:val="007B54FD"/>
    <w:rsid w:val="007B719E"/>
    <w:rsid w:val="007B7A90"/>
    <w:rsid w:val="007C32E0"/>
    <w:rsid w:val="007C54A3"/>
    <w:rsid w:val="007C60C1"/>
    <w:rsid w:val="007C76C4"/>
    <w:rsid w:val="007C7FA8"/>
    <w:rsid w:val="007D0B58"/>
    <w:rsid w:val="007D1F80"/>
    <w:rsid w:val="007D1FB0"/>
    <w:rsid w:val="007D2B27"/>
    <w:rsid w:val="007D3717"/>
    <w:rsid w:val="007D3DD0"/>
    <w:rsid w:val="007D4261"/>
    <w:rsid w:val="007D46BA"/>
    <w:rsid w:val="007D5010"/>
    <w:rsid w:val="007D537C"/>
    <w:rsid w:val="007D5D03"/>
    <w:rsid w:val="007D6102"/>
    <w:rsid w:val="007D6BE3"/>
    <w:rsid w:val="007D7AD5"/>
    <w:rsid w:val="007D7CD0"/>
    <w:rsid w:val="007E0ABF"/>
    <w:rsid w:val="007E0DED"/>
    <w:rsid w:val="007E13EB"/>
    <w:rsid w:val="007E195E"/>
    <w:rsid w:val="007E2B7E"/>
    <w:rsid w:val="007E3074"/>
    <w:rsid w:val="007E4A70"/>
    <w:rsid w:val="007E5894"/>
    <w:rsid w:val="007E5A42"/>
    <w:rsid w:val="007E645B"/>
    <w:rsid w:val="007E727A"/>
    <w:rsid w:val="007E7672"/>
    <w:rsid w:val="007F0378"/>
    <w:rsid w:val="007F039D"/>
    <w:rsid w:val="007F1875"/>
    <w:rsid w:val="007F18C4"/>
    <w:rsid w:val="007F3D7D"/>
    <w:rsid w:val="007F5CF7"/>
    <w:rsid w:val="007F6C54"/>
    <w:rsid w:val="007F7017"/>
    <w:rsid w:val="007F712D"/>
    <w:rsid w:val="007F7E0E"/>
    <w:rsid w:val="00800195"/>
    <w:rsid w:val="00801A37"/>
    <w:rsid w:val="008043A3"/>
    <w:rsid w:val="00804F5F"/>
    <w:rsid w:val="00804FAA"/>
    <w:rsid w:val="008058C3"/>
    <w:rsid w:val="00805D62"/>
    <w:rsid w:val="00806A08"/>
    <w:rsid w:val="00806BE7"/>
    <w:rsid w:val="00810754"/>
    <w:rsid w:val="00810E5C"/>
    <w:rsid w:val="00811EBD"/>
    <w:rsid w:val="00812745"/>
    <w:rsid w:val="008135EC"/>
    <w:rsid w:val="008135F1"/>
    <w:rsid w:val="00814026"/>
    <w:rsid w:val="0081428A"/>
    <w:rsid w:val="0081437F"/>
    <w:rsid w:val="008144C4"/>
    <w:rsid w:val="00815640"/>
    <w:rsid w:val="008161F5"/>
    <w:rsid w:val="008173A7"/>
    <w:rsid w:val="00817B12"/>
    <w:rsid w:val="00817C2C"/>
    <w:rsid w:val="00817D81"/>
    <w:rsid w:val="00820578"/>
    <w:rsid w:val="00820930"/>
    <w:rsid w:val="00820B1F"/>
    <w:rsid w:val="00821169"/>
    <w:rsid w:val="00821A87"/>
    <w:rsid w:val="00821E1C"/>
    <w:rsid w:val="00821EC4"/>
    <w:rsid w:val="008226B6"/>
    <w:rsid w:val="00823398"/>
    <w:rsid w:val="0082380D"/>
    <w:rsid w:val="00823992"/>
    <w:rsid w:val="00823C50"/>
    <w:rsid w:val="00825C78"/>
    <w:rsid w:val="00826F1F"/>
    <w:rsid w:val="00827065"/>
    <w:rsid w:val="00827EAD"/>
    <w:rsid w:val="0083074A"/>
    <w:rsid w:val="008313DA"/>
    <w:rsid w:val="00831A8B"/>
    <w:rsid w:val="00832E7E"/>
    <w:rsid w:val="00833EB9"/>
    <w:rsid w:val="00834014"/>
    <w:rsid w:val="0083468B"/>
    <w:rsid w:val="008349E6"/>
    <w:rsid w:val="008355E0"/>
    <w:rsid w:val="00836411"/>
    <w:rsid w:val="00836D9B"/>
    <w:rsid w:val="00836DC4"/>
    <w:rsid w:val="00836ED6"/>
    <w:rsid w:val="00837705"/>
    <w:rsid w:val="00840B0A"/>
    <w:rsid w:val="00840B93"/>
    <w:rsid w:val="00840E23"/>
    <w:rsid w:val="00841845"/>
    <w:rsid w:val="008418F3"/>
    <w:rsid w:val="008418F6"/>
    <w:rsid w:val="00841A0A"/>
    <w:rsid w:val="00841F85"/>
    <w:rsid w:val="00842C3C"/>
    <w:rsid w:val="0084302A"/>
    <w:rsid w:val="0084385B"/>
    <w:rsid w:val="00843D9C"/>
    <w:rsid w:val="00845605"/>
    <w:rsid w:val="008466E3"/>
    <w:rsid w:val="008475DC"/>
    <w:rsid w:val="00847752"/>
    <w:rsid w:val="00847ECD"/>
    <w:rsid w:val="00850544"/>
    <w:rsid w:val="00850734"/>
    <w:rsid w:val="00851CDF"/>
    <w:rsid w:val="00851F33"/>
    <w:rsid w:val="00851F89"/>
    <w:rsid w:val="00853A37"/>
    <w:rsid w:val="00853D14"/>
    <w:rsid w:val="00853EB3"/>
    <w:rsid w:val="00854656"/>
    <w:rsid w:val="008546D7"/>
    <w:rsid w:val="00854AAB"/>
    <w:rsid w:val="00854CA5"/>
    <w:rsid w:val="00856017"/>
    <w:rsid w:val="00856280"/>
    <w:rsid w:val="00856574"/>
    <w:rsid w:val="00857551"/>
    <w:rsid w:val="00857BB1"/>
    <w:rsid w:val="00862591"/>
    <w:rsid w:val="00863647"/>
    <w:rsid w:val="00863C8E"/>
    <w:rsid w:val="00863D5B"/>
    <w:rsid w:val="0086411E"/>
    <w:rsid w:val="00864252"/>
    <w:rsid w:val="00864314"/>
    <w:rsid w:val="008649D1"/>
    <w:rsid w:val="00864DDF"/>
    <w:rsid w:val="008660B9"/>
    <w:rsid w:val="00866DA7"/>
    <w:rsid w:val="00866DCB"/>
    <w:rsid w:val="0086754D"/>
    <w:rsid w:val="00867D6E"/>
    <w:rsid w:val="00870FB7"/>
    <w:rsid w:val="008710E9"/>
    <w:rsid w:val="00871774"/>
    <w:rsid w:val="00871CA0"/>
    <w:rsid w:val="008720E5"/>
    <w:rsid w:val="00872E67"/>
    <w:rsid w:val="00874949"/>
    <w:rsid w:val="00881569"/>
    <w:rsid w:val="008819D4"/>
    <w:rsid w:val="00882A65"/>
    <w:rsid w:val="00883BE6"/>
    <w:rsid w:val="008846ED"/>
    <w:rsid w:val="0088470B"/>
    <w:rsid w:val="00884B0B"/>
    <w:rsid w:val="00886123"/>
    <w:rsid w:val="008869C4"/>
    <w:rsid w:val="00886B8B"/>
    <w:rsid w:val="008871CF"/>
    <w:rsid w:val="008878FC"/>
    <w:rsid w:val="00890573"/>
    <w:rsid w:val="00890E92"/>
    <w:rsid w:val="00892132"/>
    <w:rsid w:val="00892470"/>
    <w:rsid w:val="0089388E"/>
    <w:rsid w:val="00893DA9"/>
    <w:rsid w:val="00894478"/>
    <w:rsid w:val="008945F8"/>
    <w:rsid w:val="00896120"/>
    <w:rsid w:val="0089676C"/>
    <w:rsid w:val="00897863"/>
    <w:rsid w:val="00897D64"/>
    <w:rsid w:val="008A2477"/>
    <w:rsid w:val="008A262F"/>
    <w:rsid w:val="008A28A2"/>
    <w:rsid w:val="008A5AB9"/>
    <w:rsid w:val="008A7463"/>
    <w:rsid w:val="008A748C"/>
    <w:rsid w:val="008A760C"/>
    <w:rsid w:val="008A763D"/>
    <w:rsid w:val="008A7E4D"/>
    <w:rsid w:val="008B0219"/>
    <w:rsid w:val="008B1291"/>
    <w:rsid w:val="008B181D"/>
    <w:rsid w:val="008B19A9"/>
    <w:rsid w:val="008B2A73"/>
    <w:rsid w:val="008B32C3"/>
    <w:rsid w:val="008B4B06"/>
    <w:rsid w:val="008B5338"/>
    <w:rsid w:val="008B5537"/>
    <w:rsid w:val="008B5BEF"/>
    <w:rsid w:val="008B6640"/>
    <w:rsid w:val="008B6803"/>
    <w:rsid w:val="008B6BFF"/>
    <w:rsid w:val="008B7267"/>
    <w:rsid w:val="008B77F9"/>
    <w:rsid w:val="008B7E6B"/>
    <w:rsid w:val="008C0184"/>
    <w:rsid w:val="008C10A9"/>
    <w:rsid w:val="008C35F5"/>
    <w:rsid w:val="008C40DD"/>
    <w:rsid w:val="008C5320"/>
    <w:rsid w:val="008C5715"/>
    <w:rsid w:val="008C5747"/>
    <w:rsid w:val="008C639B"/>
    <w:rsid w:val="008C6D25"/>
    <w:rsid w:val="008C7F15"/>
    <w:rsid w:val="008D001E"/>
    <w:rsid w:val="008D0337"/>
    <w:rsid w:val="008D0BA8"/>
    <w:rsid w:val="008D1856"/>
    <w:rsid w:val="008D277C"/>
    <w:rsid w:val="008D2B91"/>
    <w:rsid w:val="008D36FA"/>
    <w:rsid w:val="008D4549"/>
    <w:rsid w:val="008D45C6"/>
    <w:rsid w:val="008D4870"/>
    <w:rsid w:val="008D4E64"/>
    <w:rsid w:val="008D5C3F"/>
    <w:rsid w:val="008D667E"/>
    <w:rsid w:val="008D6821"/>
    <w:rsid w:val="008D6C84"/>
    <w:rsid w:val="008D76C0"/>
    <w:rsid w:val="008D7D37"/>
    <w:rsid w:val="008D7D6B"/>
    <w:rsid w:val="008D7FC7"/>
    <w:rsid w:val="008E04BD"/>
    <w:rsid w:val="008E09E7"/>
    <w:rsid w:val="008E0B9D"/>
    <w:rsid w:val="008E0CB3"/>
    <w:rsid w:val="008E1610"/>
    <w:rsid w:val="008E271A"/>
    <w:rsid w:val="008E28DD"/>
    <w:rsid w:val="008E32E0"/>
    <w:rsid w:val="008E3A6F"/>
    <w:rsid w:val="008E3AFB"/>
    <w:rsid w:val="008E3E38"/>
    <w:rsid w:val="008E3FDF"/>
    <w:rsid w:val="008E4839"/>
    <w:rsid w:val="008E490E"/>
    <w:rsid w:val="008E7B9F"/>
    <w:rsid w:val="008F0684"/>
    <w:rsid w:val="008F0BD1"/>
    <w:rsid w:val="008F0BD8"/>
    <w:rsid w:val="008F2568"/>
    <w:rsid w:val="008F3745"/>
    <w:rsid w:val="008F3D10"/>
    <w:rsid w:val="008F4913"/>
    <w:rsid w:val="008F4CA7"/>
    <w:rsid w:val="008F589F"/>
    <w:rsid w:val="008F5A62"/>
    <w:rsid w:val="008F601C"/>
    <w:rsid w:val="008F71B0"/>
    <w:rsid w:val="008F7C77"/>
    <w:rsid w:val="00900943"/>
    <w:rsid w:val="00900C82"/>
    <w:rsid w:val="00901E23"/>
    <w:rsid w:val="0090388F"/>
    <w:rsid w:val="00904BBE"/>
    <w:rsid w:val="00904DC5"/>
    <w:rsid w:val="009050AB"/>
    <w:rsid w:val="009066A7"/>
    <w:rsid w:val="00906D53"/>
    <w:rsid w:val="00910B9F"/>
    <w:rsid w:val="00910D53"/>
    <w:rsid w:val="00910E7B"/>
    <w:rsid w:val="00912051"/>
    <w:rsid w:val="00913832"/>
    <w:rsid w:val="00913B00"/>
    <w:rsid w:val="00913CDD"/>
    <w:rsid w:val="00914208"/>
    <w:rsid w:val="00914B8E"/>
    <w:rsid w:val="00914EFB"/>
    <w:rsid w:val="00916C78"/>
    <w:rsid w:val="00916D39"/>
    <w:rsid w:val="00917494"/>
    <w:rsid w:val="00920A48"/>
    <w:rsid w:val="00920C37"/>
    <w:rsid w:val="00921F68"/>
    <w:rsid w:val="00923766"/>
    <w:rsid w:val="009237D0"/>
    <w:rsid w:val="00923A3D"/>
    <w:rsid w:val="00924020"/>
    <w:rsid w:val="009246A9"/>
    <w:rsid w:val="00924DC1"/>
    <w:rsid w:val="00924E39"/>
    <w:rsid w:val="009254EB"/>
    <w:rsid w:val="00925A38"/>
    <w:rsid w:val="00925B08"/>
    <w:rsid w:val="00930410"/>
    <w:rsid w:val="00930E5C"/>
    <w:rsid w:val="009312DB"/>
    <w:rsid w:val="00931AFB"/>
    <w:rsid w:val="0093236D"/>
    <w:rsid w:val="00932D8E"/>
    <w:rsid w:val="00933B7C"/>
    <w:rsid w:val="0093415D"/>
    <w:rsid w:val="009341A1"/>
    <w:rsid w:val="0093430C"/>
    <w:rsid w:val="0093494E"/>
    <w:rsid w:val="00934DA3"/>
    <w:rsid w:val="00934E0E"/>
    <w:rsid w:val="00935C03"/>
    <w:rsid w:val="0093626C"/>
    <w:rsid w:val="009369B6"/>
    <w:rsid w:val="00936C4D"/>
    <w:rsid w:val="009370FD"/>
    <w:rsid w:val="00937720"/>
    <w:rsid w:val="0094039C"/>
    <w:rsid w:val="0094095B"/>
    <w:rsid w:val="0094128F"/>
    <w:rsid w:val="00941AC2"/>
    <w:rsid w:val="00941CDC"/>
    <w:rsid w:val="00941FF1"/>
    <w:rsid w:val="00942484"/>
    <w:rsid w:val="00943372"/>
    <w:rsid w:val="0094355C"/>
    <w:rsid w:val="0094424A"/>
    <w:rsid w:val="00944CC7"/>
    <w:rsid w:val="00946F98"/>
    <w:rsid w:val="0094771A"/>
    <w:rsid w:val="0095000B"/>
    <w:rsid w:val="009506F3"/>
    <w:rsid w:val="00950B08"/>
    <w:rsid w:val="009526DC"/>
    <w:rsid w:val="00953334"/>
    <w:rsid w:val="009545A8"/>
    <w:rsid w:val="00954AB8"/>
    <w:rsid w:val="00954B1E"/>
    <w:rsid w:val="00954EE9"/>
    <w:rsid w:val="009551F5"/>
    <w:rsid w:val="00955DE9"/>
    <w:rsid w:val="00956F4B"/>
    <w:rsid w:val="009572D5"/>
    <w:rsid w:val="00957BF2"/>
    <w:rsid w:val="00957C6E"/>
    <w:rsid w:val="00957D0C"/>
    <w:rsid w:val="0096038F"/>
    <w:rsid w:val="00960A7B"/>
    <w:rsid w:val="00960BD6"/>
    <w:rsid w:val="00961D6A"/>
    <w:rsid w:val="00961DDE"/>
    <w:rsid w:val="00962652"/>
    <w:rsid w:val="0096282A"/>
    <w:rsid w:val="009633D2"/>
    <w:rsid w:val="00963731"/>
    <w:rsid w:val="00964C9C"/>
    <w:rsid w:val="00965250"/>
    <w:rsid w:val="009653DD"/>
    <w:rsid w:val="00965792"/>
    <w:rsid w:val="0097098E"/>
    <w:rsid w:val="00970FEC"/>
    <w:rsid w:val="0097140A"/>
    <w:rsid w:val="00971BC1"/>
    <w:rsid w:val="00972617"/>
    <w:rsid w:val="0097318E"/>
    <w:rsid w:val="00973331"/>
    <w:rsid w:val="00973485"/>
    <w:rsid w:val="0097563E"/>
    <w:rsid w:val="00976078"/>
    <w:rsid w:val="00976125"/>
    <w:rsid w:val="009765A3"/>
    <w:rsid w:val="00977FAD"/>
    <w:rsid w:val="009805DB"/>
    <w:rsid w:val="00980AEC"/>
    <w:rsid w:val="009837D4"/>
    <w:rsid w:val="00984A7D"/>
    <w:rsid w:val="00984B9E"/>
    <w:rsid w:val="00985108"/>
    <w:rsid w:val="00986781"/>
    <w:rsid w:val="0098692D"/>
    <w:rsid w:val="0098708A"/>
    <w:rsid w:val="0098762D"/>
    <w:rsid w:val="00987C8D"/>
    <w:rsid w:val="009908F8"/>
    <w:rsid w:val="00990B62"/>
    <w:rsid w:val="00991056"/>
    <w:rsid w:val="00991477"/>
    <w:rsid w:val="009915C1"/>
    <w:rsid w:val="00991B10"/>
    <w:rsid w:val="0099211A"/>
    <w:rsid w:val="00992A60"/>
    <w:rsid w:val="00993001"/>
    <w:rsid w:val="00993A84"/>
    <w:rsid w:val="00993DC9"/>
    <w:rsid w:val="00994339"/>
    <w:rsid w:val="0099453A"/>
    <w:rsid w:val="00994F12"/>
    <w:rsid w:val="009950F1"/>
    <w:rsid w:val="00995887"/>
    <w:rsid w:val="0099636D"/>
    <w:rsid w:val="0099670B"/>
    <w:rsid w:val="00997610"/>
    <w:rsid w:val="009A029B"/>
    <w:rsid w:val="009A11C0"/>
    <w:rsid w:val="009A31B6"/>
    <w:rsid w:val="009A4A95"/>
    <w:rsid w:val="009A4DF0"/>
    <w:rsid w:val="009A5398"/>
    <w:rsid w:val="009B0CA1"/>
    <w:rsid w:val="009B2138"/>
    <w:rsid w:val="009B254B"/>
    <w:rsid w:val="009B29B7"/>
    <w:rsid w:val="009B29F9"/>
    <w:rsid w:val="009B2E92"/>
    <w:rsid w:val="009B35B4"/>
    <w:rsid w:val="009B367D"/>
    <w:rsid w:val="009B43C5"/>
    <w:rsid w:val="009B49DA"/>
    <w:rsid w:val="009B562F"/>
    <w:rsid w:val="009B56BA"/>
    <w:rsid w:val="009B6926"/>
    <w:rsid w:val="009B6E6B"/>
    <w:rsid w:val="009B73EA"/>
    <w:rsid w:val="009B7423"/>
    <w:rsid w:val="009B778D"/>
    <w:rsid w:val="009B7B42"/>
    <w:rsid w:val="009C1668"/>
    <w:rsid w:val="009C1A89"/>
    <w:rsid w:val="009C1B39"/>
    <w:rsid w:val="009C2FAB"/>
    <w:rsid w:val="009C3350"/>
    <w:rsid w:val="009C379F"/>
    <w:rsid w:val="009C570A"/>
    <w:rsid w:val="009C71E4"/>
    <w:rsid w:val="009C72E6"/>
    <w:rsid w:val="009D09F2"/>
    <w:rsid w:val="009D0DB0"/>
    <w:rsid w:val="009D185E"/>
    <w:rsid w:val="009D228D"/>
    <w:rsid w:val="009D2A95"/>
    <w:rsid w:val="009D4F7D"/>
    <w:rsid w:val="009D6653"/>
    <w:rsid w:val="009D7465"/>
    <w:rsid w:val="009D783C"/>
    <w:rsid w:val="009E1067"/>
    <w:rsid w:val="009E13B1"/>
    <w:rsid w:val="009E1AC3"/>
    <w:rsid w:val="009E263C"/>
    <w:rsid w:val="009E2842"/>
    <w:rsid w:val="009E28FF"/>
    <w:rsid w:val="009E2F43"/>
    <w:rsid w:val="009E2FDB"/>
    <w:rsid w:val="009E340B"/>
    <w:rsid w:val="009E3437"/>
    <w:rsid w:val="009E35A5"/>
    <w:rsid w:val="009E4EAE"/>
    <w:rsid w:val="009E6567"/>
    <w:rsid w:val="009E6865"/>
    <w:rsid w:val="009E6F8B"/>
    <w:rsid w:val="009F0847"/>
    <w:rsid w:val="009F09CB"/>
    <w:rsid w:val="009F0E15"/>
    <w:rsid w:val="009F2084"/>
    <w:rsid w:val="009F25B4"/>
    <w:rsid w:val="009F2FE9"/>
    <w:rsid w:val="009F36FA"/>
    <w:rsid w:val="009F4034"/>
    <w:rsid w:val="009F41E6"/>
    <w:rsid w:val="009F5980"/>
    <w:rsid w:val="009F5A22"/>
    <w:rsid w:val="009F6A28"/>
    <w:rsid w:val="009F72FF"/>
    <w:rsid w:val="009F731B"/>
    <w:rsid w:val="009F7566"/>
    <w:rsid w:val="009F7635"/>
    <w:rsid w:val="009F7713"/>
    <w:rsid w:val="009F77D9"/>
    <w:rsid w:val="00A0031F"/>
    <w:rsid w:val="00A0050C"/>
    <w:rsid w:val="00A00575"/>
    <w:rsid w:val="00A00F0F"/>
    <w:rsid w:val="00A021F4"/>
    <w:rsid w:val="00A0228D"/>
    <w:rsid w:val="00A02679"/>
    <w:rsid w:val="00A03234"/>
    <w:rsid w:val="00A037BC"/>
    <w:rsid w:val="00A0381F"/>
    <w:rsid w:val="00A03A32"/>
    <w:rsid w:val="00A042EA"/>
    <w:rsid w:val="00A056D2"/>
    <w:rsid w:val="00A060B8"/>
    <w:rsid w:val="00A06E63"/>
    <w:rsid w:val="00A103D2"/>
    <w:rsid w:val="00A10406"/>
    <w:rsid w:val="00A117D9"/>
    <w:rsid w:val="00A11942"/>
    <w:rsid w:val="00A11A2C"/>
    <w:rsid w:val="00A120D4"/>
    <w:rsid w:val="00A1339A"/>
    <w:rsid w:val="00A14DA0"/>
    <w:rsid w:val="00A15669"/>
    <w:rsid w:val="00A15917"/>
    <w:rsid w:val="00A16B92"/>
    <w:rsid w:val="00A16BFF"/>
    <w:rsid w:val="00A16D2A"/>
    <w:rsid w:val="00A17D91"/>
    <w:rsid w:val="00A17FBD"/>
    <w:rsid w:val="00A20586"/>
    <w:rsid w:val="00A20695"/>
    <w:rsid w:val="00A20DE3"/>
    <w:rsid w:val="00A21A57"/>
    <w:rsid w:val="00A22AF7"/>
    <w:rsid w:val="00A22D79"/>
    <w:rsid w:val="00A232FA"/>
    <w:rsid w:val="00A237CC"/>
    <w:rsid w:val="00A23D56"/>
    <w:rsid w:val="00A23ED3"/>
    <w:rsid w:val="00A24369"/>
    <w:rsid w:val="00A2480A"/>
    <w:rsid w:val="00A24A85"/>
    <w:rsid w:val="00A25659"/>
    <w:rsid w:val="00A26EE4"/>
    <w:rsid w:val="00A27740"/>
    <w:rsid w:val="00A279B7"/>
    <w:rsid w:val="00A31314"/>
    <w:rsid w:val="00A3191C"/>
    <w:rsid w:val="00A31948"/>
    <w:rsid w:val="00A325E6"/>
    <w:rsid w:val="00A346A6"/>
    <w:rsid w:val="00A34781"/>
    <w:rsid w:val="00A3479B"/>
    <w:rsid w:val="00A34E1A"/>
    <w:rsid w:val="00A35336"/>
    <w:rsid w:val="00A35568"/>
    <w:rsid w:val="00A35978"/>
    <w:rsid w:val="00A36E4F"/>
    <w:rsid w:val="00A37AF2"/>
    <w:rsid w:val="00A37BCD"/>
    <w:rsid w:val="00A40512"/>
    <w:rsid w:val="00A41DA1"/>
    <w:rsid w:val="00A41FA3"/>
    <w:rsid w:val="00A4220E"/>
    <w:rsid w:val="00A4241C"/>
    <w:rsid w:val="00A425B3"/>
    <w:rsid w:val="00A42998"/>
    <w:rsid w:val="00A436ED"/>
    <w:rsid w:val="00A43788"/>
    <w:rsid w:val="00A437F7"/>
    <w:rsid w:val="00A45ACB"/>
    <w:rsid w:val="00A45F55"/>
    <w:rsid w:val="00A4693F"/>
    <w:rsid w:val="00A470DF"/>
    <w:rsid w:val="00A47C42"/>
    <w:rsid w:val="00A50229"/>
    <w:rsid w:val="00A505CD"/>
    <w:rsid w:val="00A50908"/>
    <w:rsid w:val="00A51FEB"/>
    <w:rsid w:val="00A52319"/>
    <w:rsid w:val="00A52A50"/>
    <w:rsid w:val="00A530DE"/>
    <w:rsid w:val="00A5373E"/>
    <w:rsid w:val="00A55AB9"/>
    <w:rsid w:val="00A55CD0"/>
    <w:rsid w:val="00A55D75"/>
    <w:rsid w:val="00A56014"/>
    <w:rsid w:val="00A56A81"/>
    <w:rsid w:val="00A571B1"/>
    <w:rsid w:val="00A571DA"/>
    <w:rsid w:val="00A576BB"/>
    <w:rsid w:val="00A6033F"/>
    <w:rsid w:val="00A60B74"/>
    <w:rsid w:val="00A60FCE"/>
    <w:rsid w:val="00A615A1"/>
    <w:rsid w:val="00A617C1"/>
    <w:rsid w:val="00A61BE1"/>
    <w:rsid w:val="00A62309"/>
    <w:rsid w:val="00A6538B"/>
    <w:rsid w:val="00A65FBD"/>
    <w:rsid w:val="00A669EE"/>
    <w:rsid w:val="00A67071"/>
    <w:rsid w:val="00A67E94"/>
    <w:rsid w:val="00A70351"/>
    <w:rsid w:val="00A710AF"/>
    <w:rsid w:val="00A71628"/>
    <w:rsid w:val="00A71AB6"/>
    <w:rsid w:val="00A71E14"/>
    <w:rsid w:val="00A7264E"/>
    <w:rsid w:val="00A72971"/>
    <w:rsid w:val="00A7320B"/>
    <w:rsid w:val="00A73B8B"/>
    <w:rsid w:val="00A74562"/>
    <w:rsid w:val="00A74821"/>
    <w:rsid w:val="00A748B3"/>
    <w:rsid w:val="00A74A24"/>
    <w:rsid w:val="00A74A9A"/>
    <w:rsid w:val="00A759A8"/>
    <w:rsid w:val="00A75D97"/>
    <w:rsid w:val="00A76FB3"/>
    <w:rsid w:val="00A80D39"/>
    <w:rsid w:val="00A8229F"/>
    <w:rsid w:val="00A823DD"/>
    <w:rsid w:val="00A83F41"/>
    <w:rsid w:val="00A842C4"/>
    <w:rsid w:val="00A853EB"/>
    <w:rsid w:val="00A85FC3"/>
    <w:rsid w:val="00A91014"/>
    <w:rsid w:val="00A927BD"/>
    <w:rsid w:val="00A93466"/>
    <w:rsid w:val="00A93EA8"/>
    <w:rsid w:val="00A94373"/>
    <w:rsid w:val="00A9481E"/>
    <w:rsid w:val="00A94BD5"/>
    <w:rsid w:val="00A968B6"/>
    <w:rsid w:val="00A97D7D"/>
    <w:rsid w:val="00AA1A3D"/>
    <w:rsid w:val="00AA35A8"/>
    <w:rsid w:val="00AA36A7"/>
    <w:rsid w:val="00AA3E93"/>
    <w:rsid w:val="00AA504B"/>
    <w:rsid w:val="00AA5EF1"/>
    <w:rsid w:val="00AA7AB0"/>
    <w:rsid w:val="00AB09C5"/>
    <w:rsid w:val="00AB221E"/>
    <w:rsid w:val="00AB237A"/>
    <w:rsid w:val="00AB240E"/>
    <w:rsid w:val="00AB258C"/>
    <w:rsid w:val="00AB3540"/>
    <w:rsid w:val="00AB44C2"/>
    <w:rsid w:val="00AB57CC"/>
    <w:rsid w:val="00AB61C9"/>
    <w:rsid w:val="00AB6288"/>
    <w:rsid w:val="00AB64EF"/>
    <w:rsid w:val="00AB6E22"/>
    <w:rsid w:val="00AB7211"/>
    <w:rsid w:val="00AB7B0B"/>
    <w:rsid w:val="00AC0FDB"/>
    <w:rsid w:val="00AC1331"/>
    <w:rsid w:val="00AC29FD"/>
    <w:rsid w:val="00AC2F51"/>
    <w:rsid w:val="00AC3388"/>
    <w:rsid w:val="00AC37F2"/>
    <w:rsid w:val="00AC3F21"/>
    <w:rsid w:val="00AC4FA8"/>
    <w:rsid w:val="00AC5BFA"/>
    <w:rsid w:val="00AC654A"/>
    <w:rsid w:val="00AC6D2A"/>
    <w:rsid w:val="00AC7055"/>
    <w:rsid w:val="00AC7851"/>
    <w:rsid w:val="00AC7B4D"/>
    <w:rsid w:val="00AC7B7D"/>
    <w:rsid w:val="00AD0A32"/>
    <w:rsid w:val="00AD1D61"/>
    <w:rsid w:val="00AD27C3"/>
    <w:rsid w:val="00AD3735"/>
    <w:rsid w:val="00AD4212"/>
    <w:rsid w:val="00AE0EB1"/>
    <w:rsid w:val="00AE11EF"/>
    <w:rsid w:val="00AE16E7"/>
    <w:rsid w:val="00AE2D33"/>
    <w:rsid w:val="00AE2FFB"/>
    <w:rsid w:val="00AE34A3"/>
    <w:rsid w:val="00AE3D49"/>
    <w:rsid w:val="00AE5CF6"/>
    <w:rsid w:val="00AE683D"/>
    <w:rsid w:val="00AE7310"/>
    <w:rsid w:val="00AE73E3"/>
    <w:rsid w:val="00AE79CB"/>
    <w:rsid w:val="00AE7E4B"/>
    <w:rsid w:val="00AE7EE0"/>
    <w:rsid w:val="00AF00AB"/>
    <w:rsid w:val="00AF01A9"/>
    <w:rsid w:val="00AF0489"/>
    <w:rsid w:val="00AF0D76"/>
    <w:rsid w:val="00AF0F68"/>
    <w:rsid w:val="00AF13D5"/>
    <w:rsid w:val="00AF15C9"/>
    <w:rsid w:val="00AF485B"/>
    <w:rsid w:val="00AF4C11"/>
    <w:rsid w:val="00AF4C38"/>
    <w:rsid w:val="00AF5418"/>
    <w:rsid w:val="00AF573C"/>
    <w:rsid w:val="00AF6057"/>
    <w:rsid w:val="00AF63CD"/>
    <w:rsid w:val="00AF65EB"/>
    <w:rsid w:val="00AF6F18"/>
    <w:rsid w:val="00AF7E4D"/>
    <w:rsid w:val="00B000DB"/>
    <w:rsid w:val="00B000E1"/>
    <w:rsid w:val="00B009C7"/>
    <w:rsid w:val="00B0138C"/>
    <w:rsid w:val="00B01966"/>
    <w:rsid w:val="00B02217"/>
    <w:rsid w:val="00B02301"/>
    <w:rsid w:val="00B0261C"/>
    <w:rsid w:val="00B0564A"/>
    <w:rsid w:val="00B0593C"/>
    <w:rsid w:val="00B061EE"/>
    <w:rsid w:val="00B07A4D"/>
    <w:rsid w:val="00B07C22"/>
    <w:rsid w:val="00B10197"/>
    <w:rsid w:val="00B10C31"/>
    <w:rsid w:val="00B11720"/>
    <w:rsid w:val="00B11819"/>
    <w:rsid w:val="00B11FBD"/>
    <w:rsid w:val="00B12878"/>
    <w:rsid w:val="00B13884"/>
    <w:rsid w:val="00B14AAA"/>
    <w:rsid w:val="00B14B74"/>
    <w:rsid w:val="00B15B75"/>
    <w:rsid w:val="00B16689"/>
    <w:rsid w:val="00B1713A"/>
    <w:rsid w:val="00B171F3"/>
    <w:rsid w:val="00B17249"/>
    <w:rsid w:val="00B17538"/>
    <w:rsid w:val="00B203E4"/>
    <w:rsid w:val="00B203F5"/>
    <w:rsid w:val="00B222E7"/>
    <w:rsid w:val="00B22702"/>
    <w:rsid w:val="00B22BDB"/>
    <w:rsid w:val="00B23FCB"/>
    <w:rsid w:val="00B242A9"/>
    <w:rsid w:val="00B25777"/>
    <w:rsid w:val="00B25883"/>
    <w:rsid w:val="00B25F25"/>
    <w:rsid w:val="00B26002"/>
    <w:rsid w:val="00B263D3"/>
    <w:rsid w:val="00B26B32"/>
    <w:rsid w:val="00B271A7"/>
    <w:rsid w:val="00B27965"/>
    <w:rsid w:val="00B3048E"/>
    <w:rsid w:val="00B309D6"/>
    <w:rsid w:val="00B30BC8"/>
    <w:rsid w:val="00B30F71"/>
    <w:rsid w:val="00B31091"/>
    <w:rsid w:val="00B32086"/>
    <w:rsid w:val="00B32262"/>
    <w:rsid w:val="00B3361B"/>
    <w:rsid w:val="00B33D1A"/>
    <w:rsid w:val="00B34764"/>
    <w:rsid w:val="00B34D43"/>
    <w:rsid w:val="00B34DDD"/>
    <w:rsid w:val="00B351E2"/>
    <w:rsid w:val="00B35B9E"/>
    <w:rsid w:val="00B36087"/>
    <w:rsid w:val="00B361F0"/>
    <w:rsid w:val="00B365DF"/>
    <w:rsid w:val="00B36B09"/>
    <w:rsid w:val="00B36EBB"/>
    <w:rsid w:val="00B37290"/>
    <w:rsid w:val="00B37847"/>
    <w:rsid w:val="00B4056E"/>
    <w:rsid w:val="00B40AD8"/>
    <w:rsid w:val="00B41891"/>
    <w:rsid w:val="00B422BD"/>
    <w:rsid w:val="00B43A57"/>
    <w:rsid w:val="00B443CA"/>
    <w:rsid w:val="00B44D1D"/>
    <w:rsid w:val="00B456BC"/>
    <w:rsid w:val="00B46353"/>
    <w:rsid w:val="00B5076D"/>
    <w:rsid w:val="00B50BA8"/>
    <w:rsid w:val="00B50E23"/>
    <w:rsid w:val="00B5117D"/>
    <w:rsid w:val="00B51EA6"/>
    <w:rsid w:val="00B538D3"/>
    <w:rsid w:val="00B5530F"/>
    <w:rsid w:val="00B554DD"/>
    <w:rsid w:val="00B56214"/>
    <w:rsid w:val="00B56C8F"/>
    <w:rsid w:val="00B57484"/>
    <w:rsid w:val="00B60460"/>
    <w:rsid w:val="00B6108F"/>
    <w:rsid w:val="00B615BB"/>
    <w:rsid w:val="00B62336"/>
    <w:rsid w:val="00B628D5"/>
    <w:rsid w:val="00B62AF4"/>
    <w:rsid w:val="00B63B06"/>
    <w:rsid w:val="00B64077"/>
    <w:rsid w:val="00B6429A"/>
    <w:rsid w:val="00B6448C"/>
    <w:rsid w:val="00B6487F"/>
    <w:rsid w:val="00B64CB4"/>
    <w:rsid w:val="00B6519A"/>
    <w:rsid w:val="00B6620B"/>
    <w:rsid w:val="00B6651B"/>
    <w:rsid w:val="00B66B44"/>
    <w:rsid w:val="00B673A8"/>
    <w:rsid w:val="00B67504"/>
    <w:rsid w:val="00B71FF2"/>
    <w:rsid w:val="00B725A4"/>
    <w:rsid w:val="00B72E7C"/>
    <w:rsid w:val="00B72F32"/>
    <w:rsid w:val="00B72F78"/>
    <w:rsid w:val="00B731F2"/>
    <w:rsid w:val="00B732AE"/>
    <w:rsid w:val="00B737D1"/>
    <w:rsid w:val="00B7388D"/>
    <w:rsid w:val="00B73A6A"/>
    <w:rsid w:val="00B750B3"/>
    <w:rsid w:val="00B754A6"/>
    <w:rsid w:val="00B7676D"/>
    <w:rsid w:val="00B768AE"/>
    <w:rsid w:val="00B776C2"/>
    <w:rsid w:val="00B808C3"/>
    <w:rsid w:val="00B817E2"/>
    <w:rsid w:val="00B819DF"/>
    <w:rsid w:val="00B82242"/>
    <w:rsid w:val="00B82528"/>
    <w:rsid w:val="00B825B4"/>
    <w:rsid w:val="00B82778"/>
    <w:rsid w:val="00B82D99"/>
    <w:rsid w:val="00B82DE6"/>
    <w:rsid w:val="00B846E4"/>
    <w:rsid w:val="00B847D0"/>
    <w:rsid w:val="00B84948"/>
    <w:rsid w:val="00B8495C"/>
    <w:rsid w:val="00B8516E"/>
    <w:rsid w:val="00B85589"/>
    <w:rsid w:val="00B86612"/>
    <w:rsid w:val="00B86E61"/>
    <w:rsid w:val="00B86F68"/>
    <w:rsid w:val="00B87784"/>
    <w:rsid w:val="00B90362"/>
    <w:rsid w:val="00B91FB3"/>
    <w:rsid w:val="00B921C0"/>
    <w:rsid w:val="00B92250"/>
    <w:rsid w:val="00B933F6"/>
    <w:rsid w:val="00B938FD"/>
    <w:rsid w:val="00B940CE"/>
    <w:rsid w:val="00B9478C"/>
    <w:rsid w:val="00B9532A"/>
    <w:rsid w:val="00B95A8C"/>
    <w:rsid w:val="00B95ED3"/>
    <w:rsid w:val="00BA04A1"/>
    <w:rsid w:val="00BA0F95"/>
    <w:rsid w:val="00BA11EB"/>
    <w:rsid w:val="00BA1A6B"/>
    <w:rsid w:val="00BA1F9B"/>
    <w:rsid w:val="00BA2B06"/>
    <w:rsid w:val="00BA2B83"/>
    <w:rsid w:val="00BA393D"/>
    <w:rsid w:val="00BA39FD"/>
    <w:rsid w:val="00BA4377"/>
    <w:rsid w:val="00BA49D1"/>
    <w:rsid w:val="00BA5A7B"/>
    <w:rsid w:val="00BA5BBC"/>
    <w:rsid w:val="00BA62E3"/>
    <w:rsid w:val="00BA6D2B"/>
    <w:rsid w:val="00BA72AE"/>
    <w:rsid w:val="00BA76C3"/>
    <w:rsid w:val="00BA7E2B"/>
    <w:rsid w:val="00BB0061"/>
    <w:rsid w:val="00BB01CD"/>
    <w:rsid w:val="00BB024E"/>
    <w:rsid w:val="00BB1A30"/>
    <w:rsid w:val="00BB2444"/>
    <w:rsid w:val="00BB31A6"/>
    <w:rsid w:val="00BB333A"/>
    <w:rsid w:val="00BB3847"/>
    <w:rsid w:val="00BB3911"/>
    <w:rsid w:val="00BB3E28"/>
    <w:rsid w:val="00BB42E0"/>
    <w:rsid w:val="00BB447A"/>
    <w:rsid w:val="00BB4DD3"/>
    <w:rsid w:val="00BB51C9"/>
    <w:rsid w:val="00BB570C"/>
    <w:rsid w:val="00BB5947"/>
    <w:rsid w:val="00BB5B56"/>
    <w:rsid w:val="00BB6233"/>
    <w:rsid w:val="00BB66EE"/>
    <w:rsid w:val="00BB6A86"/>
    <w:rsid w:val="00BC1F6F"/>
    <w:rsid w:val="00BC2716"/>
    <w:rsid w:val="00BC2D43"/>
    <w:rsid w:val="00BC2D75"/>
    <w:rsid w:val="00BC2E03"/>
    <w:rsid w:val="00BC38E6"/>
    <w:rsid w:val="00BC3B3D"/>
    <w:rsid w:val="00BC497B"/>
    <w:rsid w:val="00BC50DC"/>
    <w:rsid w:val="00BC5594"/>
    <w:rsid w:val="00BC5B0E"/>
    <w:rsid w:val="00BC5B57"/>
    <w:rsid w:val="00BC5DCC"/>
    <w:rsid w:val="00BC6320"/>
    <w:rsid w:val="00BC66DA"/>
    <w:rsid w:val="00BC70D1"/>
    <w:rsid w:val="00BC71C9"/>
    <w:rsid w:val="00BC7319"/>
    <w:rsid w:val="00BD0255"/>
    <w:rsid w:val="00BD0296"/>
    <w:rsid w:val="00BD19B2"/>
    <w:rsid w:val="00BD3452"/>
    <w:rsid w:val="00BD3764"/>
    <w:rsid w:val="00BD421C"/>
    <w:rsid w:val="00BD5269"/>
    <w:rsid w:val="00BD64DF"/>
    <w:rsid w:val="00BD6570"/>
    <w:rsid w:val="00BD6B1E"/>
    <w:rsid w:val="00BD76F3"/>
    <w:rsid w:val="00BD7BCB"/>
    <w:rsid w:val="00BE046B"/>
    <w:rsid w:val="00BE08DE"/>
    <w:rsid w:val="00BE1167"/>
    <w:rsid w:val="00BE15F0"/>
    <w:rsid w:val="00BE1E7E"/>
    <w:rsid w:val="00BE3122"/>
    <w:rsid w:val="00BE37AD"/>
    <w:rsid w:val="00BE3B4A"/>
    <w:rsid w:val="00BE3FF8"/>
    <w:rsid w:val="00BE4511"/>
    <w:rsid w:val="00BE464F"/>
    <w:rsid w:val="00BE4FAB"/>
    <w:rsid w:val="00BE5283"/>
    <w:rsid w:val="00BE52A8"/>
    <w:rsid w:val="00BE5E8F"/>
    <w:rsid w:val="00BE5EF7"/>
    <w:rsid w:val="00BE5F01"/>
    <w:rsid w:val="00BE624B"/>
    <w:rsid w:val="00BE66C9"/>
    <w:rsid w:val="00BE6B81"/>
    <w:rsid w:val="00BF0C27"/>
    <w:rsid w:val="00BF215D"/>
    <w:rsid w:val="00BF233E"/>
    <w:rsid w:val="00BF2728"/>
    <w:rsid w:val="00BF28D4"/>
    <w:rsid w:val="00BF3274"/>
    <w:rsid w:val="00BF34E1"/>
    <w:rsid w:val="00BF3DE4"/>
    <w:rsid w:val="00BF41BD"/>
    <w:rsid w:val="00BF4C93"/>
    <w:rsid w:val="00BF4EE6"/>
    <w:rsid w:val="00BF4F71"/>
    <w:rsid w:val="00BF5123"/>
    <w:rsid w:val="00BF6DB1"/>
    <w:rsid w:val="00BF7C4E"/>
    <w:rsid w:val="00C01499"/>
    <w:rsid w:val="00C01990"/>
    <w:rsid w:val="00C034C1"/>
    <w:rsid w:val="00C03763"/>
    <w:rsid w:val="00C03F7F"/>
    <w:rsid w:val="00C04D6F"/>
    <w:rsid w:val="00C04FAD"/>
    <w:rsid w:val="00C05259"/>
    <w:rsid w:val="00C062D2"/>
    <w:rsid w:val="00C06567"/>
    <w:rsid w:val="00C06576"/>
    <w:rsid w:val="00C0667B"/>
    <w:rsid w:val="00C07A3B"/>
    <w:rsid w:val="00C1171D"/>
    <w:rsid w:val="00C11753"/>
    <w:rsid w:val="00C120E0"/>
    <w:rsid w:val="00C1294C"/>
    <w:rsid w:val="00C129DA"/>
    <w:rsid w:val="00C12C58"/>
    <w:rsid w:val="00C13335"/>
    <w:rsid w:val="00C13E20"/>
    <w:rsid w:val="00C1463E"/>
    <w:rsid w:val="00C172A8"/>
    <w:rsid w:val="00C1746F"/>
    <w:rsid w:val="00C17DA0"/>
    <w:rsid w:val="00C17DEB"/>
    <w:rsid w:val="00C17FFB"/>
    <w:rsid w:val="00C2108D"/>
    <w:rsid w:val="00C21EB8"/>
    <w:rsid w:val="00C21F7A"/>
    <w:rsid w:val="00C22543"/>
    <w:rsid w:val="00C2383C"/>
    <w:rsid w:val="00C23A62"/>
    <w:rsid w:val="00C23C69"/>
    <w:rsid w:val="00C23EB9"/>
    <w:rsid w:val="00C24C24"/>
    <w:rsid w:val="00C2594B"/>
    <w:rsid w:val="00C259EA"/>
    <w:rsid w:val="00C264B5"/>
    <w:rsid w:val="00C2781E"/>
    <w:rsid w:val="00C279BC"/>
    <w:rsid w:val="00C27B0B"/>
    <w:rsid w:val="00C3088F"/>
    <w:rsid w:val="00C3185C"/>
    <w:rsid w:val="00C318C7"/>
    <w:rsid w:val="00C31CE5"/>
    <w:rsid w:val="00C3301B"/>
    <w:rsid w:val="00C335C2"/>
    <w:rsid w:val="00C33C78"/>
    <w:rsid w:val="00C3400A"/>
    <w:rsid w:val="00C343D0"/>
    <w:rsid w:val="00C3699E"/>
    <w:rsid w:val="00C36FA9"/>
    <w:rsid w:val="00C40445"/>
    <w:rsid w:val="00C414BC"/>
    <w:rsid w:val="00C41976"/>
    <w:rsid w:val="00C419D2"/>
    <w:rsid w:val="00C42017"/>
    <w:rsid w:val="00C4274B"/>
    <w:rsid w:val="00C42766"/>
    <w:rsid w:val="00C43C1F"/>
    <w:rsid w:val="00C44156"/>
    <w:rsid w:val="00C44205"/>
    <w:rsid w:val="00C4435F"/>
    <w:rsid w:val="00C4551B"/>
    <w:rsid w:val="00C46C11"/>
    <w:rsid w:val="00C47009"/>
    <w:rsid w:val="00C47F24"/>
    <w:rsid w:val="00C50457"/>
    <w:rsid w:val="00C51545"/>
    <w:rsid w:val="00C516D5"/>
    <w:rsid w:val="00C5173C"/>
    <w:rsid w:val="00C537CB"/>
    <w:rsid w:val="00C54148"/>
    <w:rsid w:val="00C544DA"/>
    <w:rsid w:val="00C54947"/>
    <w:rsid w:val="00C553C9"/>
    <w:rsid w:val="00C55654"/>
    <w:rsid w:val="00C559FB"/>
    <w:rsid w:val="00C55E35"/>
    <w:rsid w:val="00C561BA"/>
    <w:rsid w:val="00C5690B"/>
    <w:rsid w:val="00C56D94"/>
    <w:rsid w:val="00C57273"/>
    <w:rsid w:val="00C578D8"/>
    <w:rsid w:val="00C61B7D"/>
    <w:rsid w:val="00C62150"/>
    <w:rsid w:val="00C628BB"/>
    <w:rsid w:val="00C62BAA"/>
    <w:rsid w:val="00C63199"/>
    <w:rsid w:val="00C63604"/>
    <w:rsid w:val="00C63AED"/>
    <w:rsid w:val="00C6475A"/>
    <w:rsid w:val="00C64A21"/>
    <w:rsid w:val="00C64FA5"/>
    <w:rsid w:val="00C65387"/>
    <w:rsid w:val="00C6540C"/>
    <w:rsid w:val="00C65548"/>
    <w:rsid w:val="00C65584"/>
    <w:rsid w:val="00C66C88"/>
    <w:rsid w:val="00C66D52"/>
    <w:rsid w:val="00C675C5"/>
    <w:rsid w:val="00C7012D"/>
    <w:rsid w:val="00C70151"/>
    <w:rsid w:val="00C70806"/>
    <w:rsid w:val="00C70A52"/>
    <w:rsid w:val="00C72EAD"/>
    <w:rsid w:val="00C73477"/>
    <w:rsid w:val="00C73AE2"/>
    <w:rsid w:val="00C73E25"/>
    <w:rsid w:val="00C73FD8"/>
    <w:rsid w:val="00C7485C"/>
    <w:rsid w:val="00C76299"/>
    <w:rsid w:val="00C765E8"/>
    <w:rsid w:val="00C76631"/>
    <w:rsid w:val="00C7696A"/>
    <w:rsid w:val="00C76AB6"/>
    <w:rsid w:val="00C77258"/>
    <w:rsid w:val="00C772CC"/>
    <w:rsid w:val="00C8045C"/>
    <w:rsid w:val="00C804DC"/>
    <w:rsid w:val="00C8132B"/>
    <w:rsid w:val="00C819CA"/>
    <w:rsid w:val="00C82435"/>
    <w:rsid w:val="00C82B78"/>
    <w:rsid w:val="00C82C27"/>
    <w:rsid w:val="00C82EAF"/>
    <w:rsid w:val="00C831D7"/>
    <w:rsid w:val="00C83DCB"/>
    <w:rsid w:val="00C84080"/>
    <w:rsid w:val="00C8452E"/>
    <w:rsid w:val="00C84D29"/>
    <w:rsid w:val="00C854AC"/>
    <w:rsid w:val="00C86C64"/>
    <w:rsid w:val="00C879F7"/>
    <w:rsid w:val="00C87EC8"/>
    <w:rsid w:val="00C90BB4"/>
    <w:rsid w:val="00C91164"/>
    <w:rsid w:val="00C914EF"/>
    <w:rsid w:val="00C9291E"/>
    <w:rsid w:val="00C9375E"/>
    <w:rsid w:val="00C93CCF"/>
    <w:rsid w:val="00C943DD"/>
    <w:rsid w:val="00C944C2"/>
    <w:rsid w:val="00C94F38"/>
    <w:rsid w:val="00C958B7"/>
    <w:rsid w:val="00C9595B"/>
    <w:rsid w:val="00C97C52"/>
    <w:rsid w:val="00C97D7B"/>
    <w:rsid w:val="00C97DF9"/>
    <w:rsid w:val="00C97E8C"/>
    <w:rsid w:val="00CA01E3"/>
    <w:rsid w:val="00CA02B0"/>
    <w:rsid w:val="00CA1145"/>
    <w:rsid w:val="00CA2DCF"/>
    <w:rsid w:val="00CA2DD6"/>
    <w:rsid w:val="00CA357E"/>
    <w:rsid w:val="00CA3840"/>
    <w:rsid w:val="00CA3C0E"/>
    <w:rsid w:val="00CA4235"/>
    <w:rsid w:val="00CA4544"/>
    <w:rsid w:val="00CA49F5"/>
    <w:rsid w:val="00CA51D5"/>
    <w:rsid w:val="00CA5FF2"/>
    <w:rsid w:val="00CA7468"/>
    <w:rsid w:val="00CA7B9F"/>
    <w:rsid w:val="00CA7E21"/>
    <w:rsid w:val="00CB0310"/>
    <w:rsid w:val="00CB0A82"/>
    <w:rsid w:val="00CB10A2"/>
    <w:rsid w:val="00CB130E"/>
    <w:rsid w:val="00CB137D"/>
    <w:rsid w:val="00CB1E55"/>
    <w:rsid w:val="00CB237E"/>
    <w:rsid w:val="00CB2E61"/>
    <w:rsid w:val="00CB4C4E"/>
    <w:rsid w:val="00CB4D1B"/>
    <w:rsid w:val="00CB4DFA"/>
    <w:rsid w:val="00CB6D9D"/>
    <w:rsid w:val="00CB7F4B"/>
    <w:rsid w:val="00CC017A"/>
    <w:rsid w:val="00CC03D8"/>
    <w:rsid w:val="00CC1B74"/>
    <w:rsid w:val="00CC2B87"/>
    <w:rsid w:val="00CC2E11"/>
    <w:rsid w:val="00CC489E"/>
    <w:rsid w:val="00CC505B"/>
    <w:rsid w:val="00CC549E"/>
    <w:rsid w:val="00CC5894"/>
    <w:rsid w:val="00CC7CBF"/>
    <w:rsid w:val="00CD0D67"/>
    <w:rsid w:val="00CD115A"/>
    <w:rsid w:val="00CD193E"/>
    <w:rsid w:val="00CD20B0"/>
    <w:rsid w:val="00CD2481"/>
    <w:rsid w:val="00CD28AE"/>
    <w:rsid w:val="00CD3104"/>
    <w:rsid w:val="00CD3509"/>
    <w:rsid w:val="00CD4255"/>
    <w:rsid w:val="00CD44EE"/>
    <w:rsid w:val="00CD5399"/>
    <w:rsid w:val="00CD54B3"/>
    <w:rsid w:val="00CD664D"/>
    <w:rsid w:val="00CD6843"/>
    <w:rsid w:val="00CD6DA4"/>
    <w:rsid w:val="00CD72FD"/>
    <w:rsid w:val="00CD750A"/>
    <w:rsid w:val="00CE0355"/>
    <w:rsid w:val="00CE14F2"/>
    <w:rsid w:val="00CE1897"/>
    <w:rsid w:val="00CE197C"/>
    <w:rsid w:val="00CE2660"/>
    <w:rsid w:val="00CE2CF6"/>
    <w:rsid w:val="00CE398C"/>
    <w:rsid w:val="00CE408F"/>
    <w:rsid w:val="00CE4251"/>
    <w:rsid w:val="00CE4395"/>
    <w:rsid w:val="00CE46F7"/>
    <w:rsid w:val="00CE4C27"/>
    <w:rsid w:val="00CE6B17"/>
    <w:rsid w:val="00CE7F5D"/>
    <w:rsid w:val="00CF02D4"/>
    <w:rsid w:val="00CF0BA9"/>
    <w:rsid w:val="00CF1278"/>
    <w:rsid w:val="00CF1D3D"/>
    <w:rsid w:val="00CF218B"/>
    <w:rsid w:val="00CF256A"/>
    <w:rsid w:val="00CF2681"/>
    <w:rsid w:val="00CF345B"/>
    <w:rsid w:val="00CF34E6"/>
    <w:rsid w:val="00CF35B1"/>
    <w:rsid w:val="00CF37E7"/>
    <w:rsid w:val="00CF4D5E"/>
    <w:rsid w:val="00CF508A"/>
    <w:rsid w:val="00CF531B"/>
    <w:rsid w:val="00CF5CD6"/>
    <w:rsid w:val="00CF5F6C"/>
    <w:rsid w:val="00CF6355"/>
    <w:rsid w:val="00CF6C82"/>
    <w:rsid w:val="00CF733D"/>
    <w:rsid w:val="00D002D6"/>
    <w:rsid w:val="00D005C7"/>
    <w:rsid w:val="00D011A8"/>
    <w:rsid w:val="00D0133B"/>
    <w:rsid w:val="00D017A6"/>
    <w:rsid w:val="00D01A79"/>
    <w:rsid w:val="00D01BE9"/>
    <w:rsid w:val="00D01E1C"/>
    <w:rsid w:val="00D01F53"/>
    <w:rsid w:val="00D02B80"/>
    <w:rsid w:val="00D037C4"/>
    <w:rsid w:val="00D039F7"/>
    <w:rsid w:val="00D0443D"/>
    <w:rsid w:val="00D045DB"/>
    <w:rsid w:val="00D05DA0"/>
    <w:rsid w:val="00D05EC7"/>
    <w:rsid w:val="00D06DCB"/>
    <w:rsid w:val="00D07C7B"/>
    <w:rsid w:val="00D107FD"/>
    <w:rsid w:val="00D11E92"/>
    <w:rsid w:val="00D125B6"/>
    <w:rsid w:val="00D13E39"/>
    <w:rsid w:val="00D144EF"/>
    <w:rsid w:val="00D1451E"/>
    <w:rsid w:val="00D145F5"/>
    <w:rsid w:val="00D154DC"/>
    <w:rsid w:val="00D1570E"/>
    <w:rsid w:val="00D157DF"/>
    <w:rsid w:val="00D16305"/>
    <w:rsid w:val="00D163AC"/>
    <w:rsid w:val="00D1728A"/>
    <w:rsid w:val="00D1739C"/>
    <w:rsid w:val="00D1785C"/>
    <w:rsid w:val="00D21BCE"/>
    <w:rsid w:val="00D220E4"/>
    <w:rsid w:val="00D2231A"/>
    <w:rsid w:val="00D226EB"/>
    <w:rsid w:val="00D23B07"/>
    <w:rsid w:val="00D252C3"/>
    <w:rsid w:val="00D2595E"/>
    <w:rsid w:val="00D260E4"/>
    <w:rsid w:val="00D26741"/>
    <w:rsid w:val="00D27094"/>
    <w:rsid w:val="00D2710E"/>
    <w:rsid w:val="00D274D2"/>
    <w:rsid w:val="00D27641"/>
    <w:rsid w:val="00D2784D"/>
    <w:rsid w:val="00D27AD7"/>
    <w:rsid w:val="00D3111D"/>
    <w:rsid w:val="00D316BB"/>
    <w:rsid w:val="00D32B1B"/>
    <w:rsid w:val="00D331DC"/>
    <w:rsid w:val="00D34048"/>
    <w:rsid w:val="00D340FA"/>
    <w:rsid w:val="00D34DF3"/>
    <w:rsid w:val="00D3609D"/>
    <w:rsid w:val="00D36F8D"/>
    <w:rsid w:val="00D377F8"/>
    <w:rsid w:val="00D37DC9"/>
    <w:rsid w:val="00D37E2C"/>
    <w:rsid w:val="00D40691"/>
    <w:rsid w:val="00D40F41"/>
    <w:rsid w:val="00D413EF"/>
    <w:rsid w:val="00D41A31"/>
    <w:rsid w:val="00D41D18"/>
    <w:rsid w:val="00D42813"/>
    <w:rsid w:val="00D42949"/>
    <w:rsid w:val="00D43488"/>
    <w:rsid w:val="00D43516"/>
    <w:rsid w:val="00D44329"/>
    <w:rsid w:val="00D448BD"/>
    <w:rsid w:val="00D44B78"/>
    <w:rsid w:val="00D452B9"/>
    <w:rsid w:val="00D46100"/>
    <w:rsid w:val="00D46178"/>
    <w:rsid w:val="00D50902"/>
    <w:rsid w:val="00D5132C"/>
    <w:rsid w:val="00D51AA5"/>
    <w:rsid w:val="00D52568"/>
    <w:rsid w:val="00D52987"/>
    <w:rsid w:val="00D52A0A"/>
    <w:rsid w:val="00D5586B"/>
    <w:rsid w:val="00D55F9B"/>
    <w:rsid w:val="00D56797"/>
    <w:rsid w:val="00D568F1"/>
    <w:rsid w:val="00D56D67"/>
    <w:rsid w:val="00D57A9C"/>
    <w:rsid w:val="00D57ACF"/>
    <w:rsid w:val="00D602FC"/>
    <w:rsid w:val="00D606B3"/>
    <w:rsid w:val="00D60CA1"/>
    <w:rsid w:val="00D620D2"/>
    <w:rsid w:val="00D64C89"/>
    <w:rsid w:val="00D6644F"/>
    <w:rsid w:val="00D664C2"/>
    <w:rsid w:val="00D667AC"/>
    <w:rsid w:val="00D70368"/>
    <w:rsid w:val="00D70732"/>
    <w:rsid w:val="00D707EC"/>
    <w:rsid w:val="00D71721"/>
    <w:rsid w:val="00D7244D"/>
    <w:rsid w:val="00D724C3"/>
    <w:rsid w:val="00D72636"/>
    <w:rsid w:val="00D72DD7"/>
    <w:rsid w:val="00D72EA2"/>
    <w:rsid w:val="00D72F2B"/>
    <w:rsid w:val="00D743BF"/>
    <w:rsid w:val="00D746B6"/>
    <w:rsid w:val="00D74BA9"/>
    <w:rsid w:val="00D75585"/>
    <w:rsid w:val="00D759F2"/>
    <w:rsid w:val="00D75A18"/>
    <w:rsid w:val="00D75E62"/>
    <w:rsid w:val="00D762F4"/>
    <w:rsid w:val="00D7636B"/>
    <w:rsid w:val="00D7695F"/>
    <w:rsid w:val="00D76A0A"/>
    <w:rsid w:val="00D76B4B"/>
    <w:rsid w:val="00D7732A"/>
    <w:rsid w:val="00D7768C"/>
    <w:rsid w:val="00D81419"/>
    <w:rsid w:val="00D8307C"/>
    <w:rsid w:val="00D83CD6"/>
    <w:rsid w:val="00D84BD4"/>
    <w:rsid w:val="00D850A5"/>
    <w:rsid w:val="00D85355"/>
    <w:rsid w:val="00D86209"/>
    <w:rsid w:val="00D866B8"/>
    <w:rsid w:val="00D86B70"/>
    <w:rsid w:val="00D86C28"/>
    <w:rsid w:val="00D86FE4"/>
    <w:rsid w:val="00D87800"/>
    <w:rsid w:val="00D908BD"/>
    <w:rsid w:val="00D9097F"/>
    <w:rsid w:val="00D91CF8"/>
    <w:rsid w:val="00D91F3D"/>
    <w:rsid w:val="00D92052"/>
    <w:rsid w:val="00D92932"/>
    <w:rsid w:val="00D929C9"/>
    <w:rsid w:val="00D94F75"/>
    <w:rsid w:val="00D95A18"/>
    <w:rsid w:val="00D961D1"/>
    <w:rsid w:val="00D96965"/>
    <w:rsid w:val="00D96B2F"/>
    <w:rsid w:val="00D97E89"/>
    <w:rsid w:val="00DA060C"/>
    <w:rsid w:val="00DA0CC5"/>
    <w:rsid w:val="00DA1160"/>
    <w:rsid w:val="00DA119B"/>
    <w:rsid w:val="00DA12CE"/>
    <w:rsid w:val="00DA1DA7"/>
    <w:rsid w:val="00DA1E65"/>
    <w:rsid w:val="00DA1F04"/>
    <w:rsid w:val="00DA2374"/>
    <w:rsid w:val="00DA2771"/>
    <w:rsid w:val="00DA4F47"/>
    <w:rsid w:val="00DA68B9"/>
    <w:rsid w:val="00DA6EFD"/>
    <w:rsid w:val="00DA7589"/>
    <w:rsid w:val="00DB092E"/>
    <w:rsid w:val="00DB0B3F"/>
    <w:rsid w:val="00DB1901"/>
    <w:rsid w:val="00DB1B61"/>
    <w:rsid w:val="00DB2951"/>
    <w:rsid w:val="00DB4336"/>
    <w:rsid w:val="00DB489B"/>
    <w:rsid w:val="00DB4918"/>
    <w:rsid w:val="00DB565C"/>
    <w:rsid w:val="00DB5FAB"/>
    <w:rsid w:val="00DB64A6"/>
    <w:rsid w:val="00DB66FB"/>
    <w:rsid w:val="00DB78B0"/>
    <w:rsid w:val="00DC0701"/>
    <w:rsid w:val="00DC09F2"/>
    <w:rsid w:val="00DC14D4"/>
    <w:rsid w:val="00DC2837"/>
    <w:rsid w:val="00DC46F4"/>
    <w:rsid w:val="00DC5717"/>
    <w:rsid w:val="00DC61C5"/>
    <w:rsid w:val="00DC658C"/>
    <w:rsid w:val="00DC7A96"/>
    <w:rsid w:val="00DD0063"/>
    <w:rsid w:val="00DD047C"/>
    <w:rsid w:val="00DD1145"/>
    <w:rsid w:val="00DD23C3"/>
    <w:rsid w:val="00DD33A6"/>
    <w:rsid w:val="00DD3691"/>
    <w:rsid w:val="00DD3ADD"/>
    <w:rsid w:val="00DD3B4F"/>
    <w:rsid w:val="00DD3F68"/>
    <w:rsid w:val="00DD4492"/>
    <w:rsid w:val="00DD45BF"/>
    <w:rsid w:val="00DD4657"/>
    <w:rsid w:val="00DD54AB"/>
    <w:rsid w:val="00DD570C"/>
    <w:rsid w:val="00DD58E9"/>
    <w:rsid w:val="00DD63FF"/>
    <w:rsid w:val="00DD6F85"/>
    <w:rsid w:val="00DD7248"/>
    <w:rsid w:val="00DD7558"/>
    <w:rsid w:val="00DD7BFF"/>
    <w:rsid w:val="00DD7EAE"/>
    <w:rsid w:val="00DE006A"/>
    <w:rsid w:val="00DE0455"/>
    <w:rsid w:val="00DE15EC"/>
    <w:rsid w:val="00DE26AC"/>
    <w:rsid w:val="00DE2FBE"/>
    <w:rsid w:val="00DE313E"/>
    <w:rsid w:val="00DE3B6B"/>
    <w:rsid w:val="00DE4833"/>
    <w:rsid w:val="00DE4EB9"/>
    <w:rsid w:val="00DE5664"/>
    <w:rsid w:val="00DE57D7"/>
    <w:rsid w:val="00DE5899"/>
    <w:rsid w:val="00DE7A8B"/>
    <w:rsid w:val="00DF0961"/>
    <w:rsid w:val="00DF0D8A"/>
    <w:rsid w:val="00DF0EB3"/>
    <w:rsid w:val="00DF1349"/>
    <w:rsid w:val="00DF14A6"/>
    <w:rsid w:val="00DF23CC"/>
    <w:rsid w:val="00DF2F9E"/>
    <w:rsid w:val="00DF327A"/>
    <w:rsid w:val="00DF58EF"/>
    <w:rsid w:val="00DF6302"/>
    <w:rsid w:val="00DF6B9A"/>
    <w:rsid w:val="00DF6CC7"/>
    <w:rsid w:val="00DF6D63"/>
    <w:rsid w:val="00DF70B2"/>
    <w:rsid w:val="00E001F7"/>
    <w:rsid w:val="00E01EB5"/>
    <w:rsid w:val="00E02406"/>
    <w:rsid w:val="00E029F3"/>
    <w:rsid w:val="00E02A54"/>
    <w:rsid w:val="00E032F4"/>
    <w:rsid w:val="00E03E1B"/>
    <w:rsid w:val="00E045B8"/>
    <w:rsid w:val="00E04B10"/>
    <w:rsid w:val="00E04E8A"/>
    <w:rsid w:val="00E05BF4"/>
    <w:rsid w:val="00E05ED4"/>
    <w:rsid w:val="00E060AB"/>
    <w:rsid w:val="00E062C7"/>
    <w:rsid w:val="00E06DAF"/>
    <w:rsid w:val="00E072E2"/>
    <w:rsid w:val="00E1026E"/>
    <w:rsid w:val="00E11791"/>
    <w:rsid w:val="00E1267D"/>
    <w:rsid w:val="00E128A1"/>
    <w:rsid w:val="00E1336F"/>
    <w:rsid w:val="00E144F6"/>
    <w:rsid w:val="00E148C0"/>
    <w:rsid w:val="00E1494D"/>
    <w:rsid w:val="00E14FEC"/>
    <w:rsid w:val="00E15F03"/>
    <w:rsid w:val="00E16AA1"/>
    <w:rsid w:val="00E16E25"/>
    <w:rsid w:val="00E1724D"/>
    <w:rsid w:val="00E17478"/>
    <w:rsid w:val="00E17B67"/>
    <w:rsid w:val="00E2004E"/>
    <w:rsid w:val="00E20790"/>
    <w:rsid w:val="00E219F6"/>
    <w:rsid w:val="00E21C7B"/>
    <w:rsid w:val="00E235A9"/>
    <w:rsid w:val="00E23B8E"/>
    <w:rsid w:val="00E23EE1"/>
    <w:rsid w:val="00E2477D"/>
    <w:rsid w:val="00E25F47"/>
    <w:rsid w:val="00E2609A"/>
    <w:rsid w:val="00E26247"/>
    <w:rsid w:val="00E26A55"/>
    <w:rsid w:val="00E276E1"/>
    <w:rsid w:val="00E305A8"/>
    <w:rsid w:val="00E31987"/>
    <w:rsid w:val="00E31CC7"/>
    <w:rsid w:val="00E31D45"/>
    <w:rsid w:val="00E32C01"/>
    <w:rsid w:val="00E342C7"/>
    <w:rsid w:val="00E34733"/>
    <w:rsid w:val="00E35064"/>
    <w:rsid w:val="00E35AD5"/>
    <w:rsid w:val="00E360DE"/>
    <w:rsid w:val="00E37299"/>
    <w:rsid w:val="00E41095"/>
    <w:rsid w:val="00E41101"/>
    <w:rsid w:val="00E41235"/>
    <w:rsid w:val="00E41C55"/>
    <w:rsid w:val="00E42C6E"/>
    <w:rsid w:val="00E42CA1"/>
    <w:rsid w:val="00E433D2"/>
    <w:rsid w:val="00E44151"/>
    <w:rsid w:val="00E449AA"/>
    <w:rsid w:val="00E44BD6"/>
    <w:rsid w:val="00E44FBF"/>
    <w:rsid w:val="00E45CAE"/>
    <w:rsid w:val="00E4777E"/>
    <w:rsid w:val="00E47922"/>
    <w:rsid w:val="00E47AB1"/>
    <w:rsid w:val="00E47F7C"/>
    <w:rsid w:val="00E50C5B"/>
    <w:rsid w:val="00E50FF2"/>
    <w:rsid w:val="00E51627"/>
    <w:rsid w:val="00E51726"/>
    <w:rsid w:val="00E51E8B"/>
    <w:rsid w:val="00E52FDE"/>
    <w:rsid w:val="00E53004"/>
    <w:rsid w:val="00E53D25"/>
    <w:rsid w:val="00E5514B"/>
    <w:rsid w:val="00E553C1"/>
    <w:rsid w:val="00E55A0F"/>
    <w:rsid w:val="00E562CD"/>
    <w:rsid w:val="00E56CDD"/>
    <w:rsid w:val="00E56FDC"/>
    <w:rsid w:val="00E605C0"/>
    <w:rsid w:val="00E61836"/>
    <w:rsid w:val="00E63863"/>
    <w:rsid w:val="00E647C1"/>
    <w:rsid w:val="00E66CCF"/>
    <w:rsid w:val="00E67C68"/>
    <w:rsid w:val="00E7004F"/>
    <w:rsid w:val="00E71E09"/>
    <w:rsid w:val="00E72243"/>
    <w:rsid w:val="00E7325C"/>
    <w:rsid w:val="00E732DD"/>
    <w:rsid w:val="00E73999"/>
    <w:rsid w:val="00E7400C"/>
    <w:rsid w:val="00E74506"/>
    <w:rsid w:val="00E749F5"/>
    <w:rsid w:val="00E751D1"/>
    <w:rsid w:val="00E75F6E"/>
    <w:rsid w:val="00E774FE"/>
    <w:rsid w:val="00E77760"/>
    <w:rsid w:val="00E77884"/>
    <w:rsid w:val="00E77B47"/>
    <w:rsid w:val="00E8003A"/>
    <w:rsid w:val="00E800F3"/>
    <w:rsid w:val="00E80C9D"/>
    <w:rsid w:val="00E82AF9"/>
    <w:rsid w:val="00E83915"/>
    <w:rsid w:val="00E83A68"/>
    <w:rsid w:val="00E84265"/>
    <w:rsid w:val="00E842FA"/>
    <w:rsid w:val="00E847F5"/>
    <w:rsid w:val="00E85A05"/>
    <w:rsid w:val="00E86120"/>
    <w:rsid w:val="00E862C8"/>
    <w:rsid w:val="00E87CA5"/>
    <w:rsid w:val="00E87F78"/>
    <w:rsid w:val="00E90EBC"/>
    <w:rsid w:val="00E91BA9"/>
    <w:rsid w:val="00E91C49"/>
    <w:rsid w:val="00E91C74"/>
    <w:rsid w:val="00E92233"/>
    <w:rsid w:val="00E9225B"/>
    <w:rsid w:val="00E93BFE"/>
    <w:rsid w:val="00E93DC5"/>
    <w:rsid w:val="00E950D1"/>
    <w:rsid w:val="00E954A2"/>
    <w:rsid w:val="00E9587D"/>
    <w:rsid w:val="00E959EF"/>
    <w:rsid w:val="00E962E7"/>
    <w:rsid w:val="00E96ED9"/>
    <w:rsid w:val="00E97092"/>
    <w:rsid w:val="00E979DD"/>
    <w:rsid w:val="00E97E9C"/>
    <w:rsid w:val="00E97EF9"/>
    <w:rsid w:val="00EA05E8"/>
    <w:rsid w:val="00EA10BF"/>
    <w:rsid w:val="00EA3D64"/>
    <w:rsid w:val="00EA49C2"/>
    <w:rsid w:val="00EA508B"/>
    <w:rsid w:val="00EA58BE"/>
    <w:rsid w:val="00EA6657"/>
    <w:rsid w:val="00EA72C0"/>
    <w:rsid w:val="00EA7458"/>
    <w:rsid w:val="00EA7765"/>
    <w:rsid w:val="00EB013D"/>
    <w:rsid w:val="00EB04B3"/>
    <w:rsid w:val="00EB0F75"/>
    <w:rsid w:val="00EB165A"/>
    <w:rsid w:val="00EB1AD6"/>
    <w:rsid w:val="00EB2992"/>
    <w:rsid w:val="00EB322B"/>
    <w:rsid w:val="00EB4491"/>
    <w:rsid w:val="00EB49D3"/>
    <w:rsid w:val="00EB4BB1"/>
    <w:rsid w:val="00EB5A9B"/>
    <w:rsid w:val="00EB5AB9"/>
    <w:rsid w:val="00EB5ABB"/>
    <w:rsid w:val="00EB5ED6"/>
    <w:rsid w:val="00EB6182"/>
    <w:rsid w:val="00EB7867"/>
    <w:rsid w:val="00EC0B31"/>
    <w:rsid w:val="00EC0C0A"/>
    <w:rsid w:val="00EC1BAC"/>
    <w:rsid w:val="00EC230A"/>
    <w:rsid w:val="00EC27E9"/>
    <w:rsid w:val="00EC2A3B"/>
    <w:rsid w:val="00EC3C47"/>
    <w:rsid w:val="00EC4FB8"/>
    <w:rsid w:val="00EC5633"/>
    <w:rsid w:val="00EC5C26"/>
    <w:rsid w:val="00EC60FB"/>
    <w:rsid w:val="00EC6130"/>
    <w:rsid w:val="00EC62AF"/>
    <w:rsid w:val="00EC6346"/>
    <w:rsid w:val="00EC732C"/>
    <w:rsid w:val="00EC7E26"/>
    <w:rsid w:val="00ED03F2"/>
    <w:rsid w:val="00ED0948"/>
    <w:rsid w:val="00ED2992"/>
    <w:rsid w:val="00ED3AAB"/>
    <w:rsid w:val="00ED40E5"/>
    <w:rsid w:val="00ED479D"/>
    <w:rsid w:val="00ED6513"/>
    <w:rsid w:val="00ED6F26"/>
    <w:rsid w:val="00ED73F5"/>
    <w:rsid w:val="00ED759F"/>
    <w:rsid w:val="00ED78D7"/>
    <w:rsid w:val="00ED7CF4"/>
    <w:rsid w:val="00EE054F"/>
    <w:rsid w:val="00EE175C"/>
    <w:rsid w:val="00EE19DB"/>
    <w:rsid w:val="00EE1A5F"/>
    <w:rsid w:val="00EE2218"/>
    <w:rsid w:val="00EE2495"/>
    <w:rsid w:val="00EE257D"/>
    <w:rsid w:val="00EE2DD2"/>
    <w:rsid w:val="00EE35B8"/>
    <w:rsid w:val="00EE40E7"/>
    <w:rsid w:val="00EE445F"/>
    <w:rsid w:val="00EE4977"/>
    <w:rsid w:val="00EE49AB"/>
    <w:rsid w:val="00EE4FCE"/>
    <w:rsid w:val="00EE5DB9"/>
    <w:rsid w:val="00EE65D3"/>
    <w:rsid w:val="00EE68A8"/>
    <w:rsid w:val="00EE6EFD"/>
    <w:rsid w:val="00EE72BF"/>
    <w:rsid w:val="00EE79A3"/>
    <w:rsid w:val="00EE7A87"/>
    <w:rsid w:val="00EE7E83"/>
    <w:rsid w:val="00EF07A5"/>
    <w:rsid w:val="00EF15EA"/>
    <w:rsid w:val="00EF2BCF"/>
    <w:rsid w:val="00EF325D"/>
    <w:rsid w:val="00EF32C8"/>
    <w:rsid w:val="00EF334F"/>
    <w:rsid w:val="00EF36A3"/>
    <w:rsid w:val="00EF3813"/>
    <w:rsid w:val="00EF3A05"/>
    <w:rsid w:val="00EF3CBB"/>
    <w:rsid w:val="00EF43C4"/>
    <w:rsid w:val="00EF45A9"/>
    <w:rsid w:val="00EF4D72"/>
    <w:rsid w:val="00EF50D2"/>
    <w:rsid w:val="00EF54DB"/>
    <w:rsid w:val="00EF5FD4"/>
    <w:rsid w:val="00EF6D5A"/>
    <w:rsid w:val="00EF705A"/>
    <w:rsid w:val="00EF7154"/>
    <w:rsid w:val="00EF77C5"/>
    <w:rsid w:val="00F01AD2"/>
    <w:rsid w:val="00F0275C"/>
    <w:rsid w:val="00F02A87"/>
    <w:rsid w:val="00F0362D"/>
    <w:rsid w:val="00F050E7"/>
    <w:rsid w:val="00F051FB"/>
    <w:rsid w:val="00F0623E"/>
    <w:rsid w:val="00F06E9B"/>
    <w:rsid w:val="00F070DB"/>
    <w:rsid w:val="00F07128"/>
    <w:rsid w:val="00F077B2"/>
    <w:rsid w:val="00F07B15"/>
    <w:rsid w:val="00F100B2"/>
    <w:rsid w:val="00F101C5"/>
    <w:rsid w:val="00F11CC4"/>
    <w:rsid w:val="00F1256D"/>
    <w:rsid w:val="00F126DB"/>
    <w:rsid w:val="00F12D11"/>
    <w:rsid w:val="00F138A7"/>
    <w:rsid w:val="00F14E62"/>
    <w:rsid w:val="00F15902"/>
    <w:rsid w:val="00F15D9E"/>
    <w:rsid w:val="00F1707E"/>
    <w:rsid w:val="00F17366"/>
    <w:rsid w:val="00F17DEC"/>
    <w:rsid w:val="00F203CE"/>
    <w:rsid w:val="00F206E4"/>
    <w:rsid w:val="00F20F8C"/>
    <w:rsid w:val="00F21162"/>
    <w:rsid w:val="00F227DD"/>
    <w:rsid w:val="00F22E7F"/>
    <w:rsid w:val="00F23605"/>
    <w:rsid w:val="00F24A2F"/>
    <w:rsid w:val="00F24AE1"/>
    <w:rsid w:val="00F25C15"/>
    <w:rsid w:val="00F26304"/>
    <w:rsid w:val="00F273D6"/>
    <w:rsid w:val="00F276FF"/>
    <w:rsid w:val="00F30183"/>
    <w:rsid w:val="00F30476"/>
    <w:rsid w:val="00F308BF"/>
    <w:rsid w:val="00F311DB"/>
    <w:rsid w:val="00F313FC"/>
    <w:rsid w:val="00F31648"/>
    <w:rsid w:val="00F3229F"/>
    <w:rsid w:val="00F32558"/>
    <w:rsid w:val="00F33472"/>
    <w:rsid w:val="00F339AD"/>
    <w:rsid w:val="00F33C8E"/>
    <w:rsid w:val="00F34287"/>
    <w:rsid w:val="00F34C2F"/>
    <w:rsid w:val="00F34E55"/>
    <w:rsid w:val="00F34F46"/>
    <w:rsid w:val="00F359B5"/>
    <w:rsid w:val="00F35A33"/>
    <w:rsid w:val="00F364F2"/>
    <w:rsid w:val="00F36EC0"/>
    <w:rsid w:val="00F36FC9"/>
    <w:rsid w:val="00F370B0"/>
    <w:rsid w:val="00F37562"/>
    <w:rsid w:val="00F37935"/>
    <w:rsid w:val="00F40036"/>
    <w:rsid w:val="00F401A8"/>
    <w:rsid w:val="00F403FE"/>
    <w:rsid w:val="00F40505"/>
    <w:rsid w:val="00F431C0"/>
    <w:rsid w:val="00F4320E"/>
    <w:rsid w:val="00F436D3"/>
    <w:rsid w:val="00F4397B"/>
    <w:rsid w:val="00F43C48"/>
    <w:rsid w:val="00F43E84"/>
    <w:rsid w:val="00F444B5"/>
    <w:rsid w:val="00F444E6"/>
    <w:rsid w:val="00F4456D"/>
    <w:rsid w:val="00F44954"/>
    <w:rsid w:val="00F44B1B"/>
    <w:rsid w:val="00F46491"/>
    <w:rsid w:val="00F466B6"/>
    <w:rsid w:val="00F46B8B"/>
    <w:rsid w:val="00F507FA"/>
    <w:rsid w:val="00F51130"/>
    <w:rsid w:val="00F51886"/>
    <w:rsid w:val="00F51C71"/>
    <w:rsid w:val="00F52081"/>
    <w:rsid w:val="00F52218"/>
    <w:rsid w:val="00F5252B"/>
    <w:rsid w:val="00F52F6E"/>
    <w:rsid w:val="00F53213"/>
    <w:rsid w:val="00F5356A"/>
    <w:rsid w:val="00F5359E"/>
    <w:rsid w:val="00F565BD"/>
    <w:rsid w:val="00F56ECA"/>
    <w:rsid w:val="00F56F51"/>
    <w:rsid w:val="00F56F8C"/>
    <w:rsid w:val="00F5745A"/>
    <w:rsid w:val="00F578F9"/>
    <w:rsid w:val="00F57E8C"/>
    <w:rsid w:val="00F60845"/>
    <w:rsid w:val="00F612E3"/>
    <w:rsid w:val="00F61517"/>
    <w:rsid w:val="00F617A9"/>
    <w:rsid w:val="00F62BAE"/>
    <w:rsid w:val="00F64240"/>
    <w:rsid w:val="00F642AB"/>
    <w:rsid w:val="00F649E1"/>
    <w:rsid w:val="00F64E77"/>
    <w:rsid w:val="00F652F2"/>
    <w:rsid w:val="00F70A88"/>
    <w:rsid w:val="00F71906"/>
    <w:rsid w:val="00F73041"/>
    <w:rsid w:val="00F736DC"/>
    <w:rsid w:val="00F737D4"/>
    <w:rsid w:val="00F74ED9"/>
    <w:rsid w:val="00F74FD2"/>
    <w:rsid w:val="00F756D0"/>
    <w:rsid w:val="00F76313"/>
    <w:rsid w:val="00F763CE"/>
    <w:rsid w:val="00F80CE2"/>
    <w:rsid w:val="00F811E2"/>
    <w:rsid w:val="00F81C99"/>
    <w:rsid w:val="00F821C7"/>
    <w:rsid w:val="00F82EEE"/>
    <w:rsid w:val="00F8325F"/>
    <w:rsid w:val="00F83495"/>
    <w:rsid w:val="00F84143"/>
    <w:rsid w:val="00F84A2E"/>
    <w:rsid w:val="00F86127"/>
    <w:rsid w:val="00F86F80"/>
    <w:rsid w:val="00F87063"/>
    <w:rsid w:val="00F87FCC"/>
    <w:rsid w:val="00F900BF"/>
    <w:rsid w:val="00F9098D"/>
    <w:rsid w:val="00F90A03"/>
    <w:rsid w:val="00F90D66"/>
    <w:rsid w:val="00F918E1"/>
    <w:rsid w:val="00F927DB"/>
    <w:rsid w:val="00F93C85"/>
    <w:rsid w:val="00F93D44"/>
    <w:rsid w:val="00F94AF1"/>
    <w:rsid w:val="00F95289"/>
    <w:rsid w:val="00F968CA"/>
    <w:rsid w:val="00F96AF0"/>
    <w:rsid w:val="00F970E1"/>
    <w:rsid w:val="00FA068B"/>
    <w:rsid w:val="00FA0E64"/>
    <w:rsid w:val="00FA16BA"/>
    <w:rsid w:val="00FA201C"/>
    <w:rsid w:val="00FA4B3F"/>
    <w:rsid w:val="00FA55EF"/>
    <w:rsid w:val="00FA572E"/>
    <w:rsid w:val="00FA5C60"/>
    <w:rsid w:val="00FA5DD4"/>
    <w:rsid w:val="00FA5E72"/>
    <w:rsid w:val="00FA6988"/>
    <w:rsid w:val="00FA6F25"/>
    <w:rsid w:val="00FA74DF"/>
    <w:rsid w:val="00FB1178"/>
    <w:rsid w:val="00FB166C"/>
    <w:rsid w:val="00FB169D"/>
    <w:rsid w:val="00FB20E3"/>
    <w:rsid w:val="00FB330C"/>
    <w:rsid w:val="00FB3839"/>
    <w:rsid w:val="00FB38C8"/>
    <w:rsid w:val="00FB3B05"/>
    <w:rsid w:val="00FB4620"/>
    <w:rsid w:val="00FB4866"/>
    <w:rsid w:val="00FB4F43"/>
    <w:rsid w:val="00FB50B2"/>
    <w:rsid w:val="00FB5829"/>
    <w:rsid w:val="00FB689C"/>
    <w:rsid w:val="00FB6FA7"/>
    <w:rsid w:val="00FB702F"/>
    <w:rsid w:val="00FB7DAA"/>
    <w:rsid w:val="00FC004B"/>
    <w:rsid w:val="00FC0D0E"/>
    <w:rsid w:val="00FC0D49"/>
    <w:rsid w:val="00FC0EB7"/>
    <w:rsid w:val="00FC1B80"/>
    <w:rsid w:val="00FC1FCB"/>
    <w:rsid w:val="00FC27DD"/>
    <w:rsid w:val="00FC2ABF"/>
    <w:rsid w:val="00FC2BA4"/>
    <w:rsid w:val="00FC326F"/>
    <w:rsid w:val="00FC33A6"/>
    <w:rsid w:val="00FC33CE"/>
    <w:rsid w:val="00FC39E2"/>
    <w:rsid w:val="00FC3D71"/>
    <w:rsid w:val="00FC53DC"/>
    <w:rsid w:val="00FC5FD6"/>
    <w:rsid w:val="00FC6F85"/>
    <w:rsid w:val="00FC6FA4"/>
    <w:rsid w:val="00FC75D6"/>
    <w:rsid w:val="00FC7A1D"/>
    <w:rsid w:val="00FC7D91"/>
    <w:rsid w:val="00FD14EB"/>
    <w:rsid w:val="00FD178B"/>
    <w:rsid w:val="00FD2CE2"/>
    <w:rsid w:val="00FD55D9"/>
    <w:rsid w:val="00FD5D0C"/>
    <w:rsid w:val="00FD72D8"/>
    <w:rsid w:val="00FD73AE"/>
    <w:rsid w:val="00FD7B1A"/>
    <w:rsid w:val="00FD7D7D"/>
    <w:rsid w:val="00FE144E"/>
    <w:rsid w:val="00FE1ED4"/>
    <w:rsid w:val="00FE333E"/>
    <w:rsid w:val="00FE37EE"/>
    <w:rsid w:val="00FE3D83"/>
    <w:rsid w:val="00FE4624"/>
    <w:rsid w:val="00FE5E91"/>
    <w:rsid w:val="00FE6A96"/>
    <w:rsid w:val="00FE7B37"/>
    <w:rsid w:val="00FF0426"/>
    <w:rsid w:val="00FF0DEB"/>
    <w:rsid w:val="00FF11BE"/>
    <w:rsid w:val="00FF171D"/>
    <w:rsid w:val="00FF1C1D"/>
    <w:rsid w:val="00FF20BB"/>
    <w:rsid w:val="00FF29C7"/>
    <w:rsid w:val="00FF5999"/>
    <w:rsid w:val="00FF5B28"/>
    <w:rsid w:val="00FF64DB"/>
    <w:rsid w:val="00FF69FA"/>
    <w:rsid w:val="00FF6EFD"/>
    <w:rsid w:val="00FF7D8A"/>
    <w:rsid w:val="02922F6E"/>
    <w:rsid w:val="02CC3DCA"/>
    <w:rsid w:val="02FE76EF"/>
    <w:rsid w:val="0360556D"/>
    <w:rsid w:val="03F033B0"/>
    <w:rsid w:val="049839D2"/>
    <w:rsid w:val="057C1D39"/>
    <w:rsid w:val="05891259"/>
    <w:rsid w:val="08633479"/>
    <w:rsid w:val="088B29E3"/>
    <w:rsid w:val="094F4C64"/>
    <w:rsid w:val="09B84143"/>
    <w:rsid w:val="0B2367D5"/>
    <w:rsid w:val="0C0E2F4B"/>
    <w:rsid w:val="0C97702A"/>
    <w:rsid w:val="0CB51572"/>
    <w:rsid w:val="0E4D31E3"/>
    <w:rsid w:val="0FEA71EA"/>
    <w:rsid w:val="10780A10"/>
    <w:rsid w:val="10DC2AA3"/>
    <w:rsid w:val="10FA7C8C"/>
    <w:rsid w:val="130B198F"/>
    <w:rsid w:val="16377978"/>
    <w:rsid w:val="16A918E4"/>
    <w:rsid w:val="17B904B2"/>
    <w:rsid w:val="17D966D6"/>
    <w:rsid w:val="199A412C"/>
    <w:rsid w:val="1A082D27"/>
    <w:rsid w:val="1BC31CAE"/>
    <w:rsid w:val="1BC71D3B"/>
    <w:rsid w:val="1C59115B"/>
    <w:rsid w:val="1C783EFF"/>
    <w:rsid w:val="1D126A49"/>
    <w:rsid w:val="1E3D7AF5"/>
    <w:rsid w:val="1FB23E60"/>
    <w:rsid w:val="21A02DB6"/>
    <w:rsid w:val="226B24CD"/>
    <w:rsid w:val="22C2681B"/>
    <w:rsid w:val="22C5630B"/>
    <w:rsid w:val="23BB7588"/>
    <w:rsid w:val="23EC0BA6"/>
    <w:rsid w:val="244C1236"/>
    <w:rsid w:val="24701A48"/>
    <w:rsid w:val="24996C95"/>
    <w:rsid w:val="26691DE2"/>
    <w:rsid w:val="268B0052"/>
    <w:rsid w:val="26B17071"/>
    <w:rsid w:val="27743C90"/>
    <w:rsid w:val="292634B6"/>
    <w:rsid w:val="29CA2459"/>
    <w:rsid w:val="2A360FB4"/>
    <w:rsid w:val="2A4125A1"/>
    <w:rsid w:val="2B271A58"/>
    <w:rsid w:val="2B6304A7"/>
    <w:rsid w:val="2CF6734C"/>
    <w:rsid w:val="2D1B36F8"/>
    <w:rsid w:val="2D663463"/>
    <w:rsid w:val="2D8939DB"/>
    <w:rsid w:val="2DC85762"/>
    <w:rsid w:val="2EF96EE4"/>
    <w:rsid w:val="30B11A55"/>
    <w:rsid w:val="31055744"/>
    <w:rsid w:val="31AB005F"/>
    <w:rsid w:val="32CF6C45"/>
    <w:rsid w:val="36254FE4"/>
    <w:rsid w:val="372F61E0"/>
    <w:rsid w:val="37E25B46"/>
    <w:rsid w:val="39322FCA"/>
    <w:rsid w:val="3AB90991"/>
    <w:rsid w:val="3B533418"/>
    <w:rsid w:val="3B706131"/>
    <w:rsid w:val="3B9830B2"/>
    <w:rsid w:val="3C1A7E81"/>
    <w:rsid w:val="3E6F041E"/>
    <w:rsid w:val="3EDC64DF"/>
    <w:rsid w:val="40B30D2B"/>
    <w:rsid w:val="422D102E"/>
    <w:rsid w:val="4275481E"/>
    <w:rsid w:val="428B617A"/>
    <w:rsid w:val="433D7BDC"/>
    <w:rsid w:val="437E1813"/>
    <w:rsid w:val="440C7187"/>
    <w:rsid w:val="45BD47FC"/>
    <w:rsid w:val="45C2559F"/>
    <w:rsid w:val="45CC5FB2"/>
    <w:rsid w:val="46B75BA8"/>
    <w:rsid w:val="470D498C"/>
    <w:rsid w:val="48636A1C"/>
    <w:rsid w:val="48C97955"/>
    <w:rsid w:val="49880C8F"/>
    <w:rsid w:val="49FA5194"/>
    <w:rsid w:val="4A8835F7"/>
    <w:rsid w:val="4B592E71"/>
    <w:rsid w:val="51181DC1"/>
    <w:rsid w:val="515A144B"/>
    <w:rsid w:val="521D1562"/>
    <w:rsid w:val="52274B10"/>
    <w:rsid w:val="52B9239A"/>
    <w:rsid w:val="54B37D6D"/>
    <w:rsid w:val="54BD78FD"/>
    <w:rsid w:val="54C620A2"/>
    <w:rsid w:val="55472DFD"/>
    <w:rsid w:val="559D1B18"/>
    <w:rsid w:val="57515D82"/>
    <w:rsid w:val="58A86DDE"/>
    <w:rsid w:val="59154AD7"/>
    <w:rsid w:val="59F0780B"/>
    <w:rsid w:val="5ADF548D"/>
    <w:rsid w:val="5D1E5A83"/>
    <w:rsid w:val="5D5C60B4"/>
    <w:rsid w:val="60323943"/>
    <w:rsid w:val="605B48A0"/>
    <w:rsid w:val="61E52D9D"/>
    <w:rsid w:val="63F04A69"/>
    <w:rsid w:val="64654A97"/>
    <w:rsid w:val="646A0EA0"/>
    <w:rsid w:val="64E742EF"/>
    <w:rsid w:val="652A599B"/>
    <w:rsid w:val="66A50B1E"/>
    <w:rsid w:val="67B2063C"/>
    <w:rsid w:val="67C97AC3"/>
    <w:rsid w:val="67E30EC1"/>
    <w:rsid w:val="686E44F1"/>
    <w:rsid w:val="6A4E3B2B"/>
    <w:rsid w:val="6B481C3B"/>
    <w:rsid w:val="6C1331A3"/>
    <w:rsid w:val="6CA84BC1"/>
    <w:rsid w:val="6D3E4756"/>
    <w:rsid w:val="6EEF2FBF"/>
    <w:rsid w:val="6F4C55E1"/>
    <w:rsid w:val="6FAC7C04"/>
    <w:rsid w:val="6FC523EB"/>
    <w:rsid w:val="72895F2E"/>
    <w:rsid w:val="728C161F"/>
    <w:rsid w:val="72C02EBE"/>
    <w:rsid w:val="72C507AD"/>
    <w:rsid w:val="72D028D8"/>
    <w:rsid w:val="745D47C3"/>
    <w:rsid w:val="762A7AD4"/>
    <w:rsid w:val="76AC3757"/>
    <w:rsid w:val="794B2F8F"/>
    <w:rsid w:val="7B7236D6"/>
    <w:rsid w:val="7BE52BD2"/>
    <w:rsid w:val="7CB93F8E"/>
    <w:rsid w:val="7CF66B46"/>
    <w:rsid w:val="7DBD28BA"/>
    <w:rsid w:val="7EB37D0E"/>
    <w:rsid w:val="7EB77E8F"/>
    <w:rsid w:val="7FE37B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8" w:name="Normal"/>
    <w:lsdException w:qFormat="1" w:unhideWhenUsed="0" w:uiPriority="0" w:name="heading 1"/>
    <w:lsdException w:qFormat="1" w:unhideWhenUsed="0" w:uiPriority="0" w:name="heading 2"/>
    <w:lsdException w:qFormat="1" w:unhideWhenUsed="0" w:uiPriority="0" w:name="heading 3"/>
    <w:lsdException w:qFormat="1" w:unhideWhenUsed="0" w:uiPriority="0" w:name="heading 4"/>
    <w:lsdException w:qFormat="1" w:unhideWhenUsed="0" w:uiPriority="0" w:name="heading 5"/>
    <w:lsdException w:qFormat="1" w:uiPriority="0" w:name="heading 6"/>
    <w:lsdException w:qFormat="1" w:uiPriority="0" w:name="heading 7"/>
    <w:lsdException w:qFormat="1" w:uiPriority="0" w:name="heading 8"/>
    <w:lsdException w:qFormat="1" w:uiPriority="0" w:name="heading 9"/>
    <w:lsdException w:unhideWhenUsed="0" w:uiPriority="98" w:name="index 1"/>
    <w:lsdException w:unhideWhenUsed="0" w:uiPriority="98" w:name="index 2"/>
    <w:lsdException w:unhideWhenUsed="0" w:uiPriority="98" w:name="index 3"/>
    <w:lsdException w:unhideWhenUsed="0" w:uiPriority="98" w:name="index 4"/>
    <w:lsdException w:unhideWhenUsed="0" w:uiPriority="98" w:name="index 5"/>
    <w:lsdException w:unhideWhenUsed="0" w:uiPriority="98" w:name="index 6"/>
    <w:lsdException w:unhideWhenUsed="0" w:uiPriority="98" w:name="index 7"/>
    <w:lsdException w:unhideWhenUsed="0" w:uiPriority="98" w:name="index 8"/>
    <w:lsdException w:qFormat="1" w:unhideWhenUsed="0" w:uiPriority="98" w:name="index 9"/>
    <w:lsdException w:qFormat="1" w:unhideWhenUsed="0" w:uiPriority="39" w:semiHidden="0" w:name="toc 1"/>
    <w:lsdException w:qFormat="1" w:unhideWhenUsed="0" w:uiPriority="39" w:semiHidden="0" w:name="toc 2"/>
    <w:lsdException w:qFormat="1" w:unhideWhenUsed="0" w:uiPriority="39" w:name="toc 3"/>
    <w:lsdException w:unhideWhenUsed="0" w:uiPriority="98" w:name="toc 4"/>
    <w:lsdException w:unhideWhenUsed="0" w:uiPriority="98" w:name="toc 5"/>
    <w:lsdException w:unhideWhenUsed="0" w:uiPriority="98" w:name="toc 6"/>
    <w:lsdException w:unhideWhenUsed="0" w:uiPriority="98" w:name="toc 7"/>
    <w:lsdException w:unhideWhenUsed="0" w:uiPriority="98" w:name="toc 8"/>
    <w:lsdException w:unhideWhenUsed="0" w:uiPriority="98" w:name="toc 9"/>
    <w:lsdException w:unhideWhenUsed="0" w:uiPriority="98" w:name="Normal Indent"/>
    <w:lsdException w:unhideWhenUsed="0" w:uiPriority="98" w:name="footnote text"/>
    <w:lsdException w:qFormat="1" w:unhideWhenUsed="0" w:uiPriority="99" w:semiHidden="0" w:name="annotation text"/>
    <w:lsdException w:qFormat="1" w:unhideWhenUsed="0" w:uiPriority="0" w:name="header"/>
    <w:lsdException w:qFormat="1" w:unhideWhenUsed="0" w:uiPriority="0" w:name="footer"/>
    <w:lsdException w:unhideWhenUsed="0" w:uiPriority="98" w:name="index heading"/>
    <w:lsdException w:qFormat="1" w:unhideWhenUsed="0" w:uiPriority="98" w:name="caption"/>
    <w:lsdException w:unhideWhenUsed="0" w:uiPriority="98" w:name="table of figures"/>
    <w:lsdException w:unhideWhenUsed="0" w:uiPriority="98" w:name="envelope address"/>
    <w:lsdException w:unhideWhenUsed="0" w:uiPriority="98" w:name="envelope return"/>
    <w:lsdException w:unhideWhenUsed="0" w:uiPriority="98" w:name="footnote reference"/>
    <w:lsdException w:qFormat="1" w:unhideWhenUsed="0" w:uiPriority="98" w:name="annotation reference"/>
    <w:lsdException w:unhideWhenUsed="0" w:uiPriority="98" w:name="line number"/>
    <w:lsdException w:qFormat="1" w:unhideWhenUsed="0" w:uiPriority="0" w:name="page number"/>
    <w:lsdException w:unhideWhenUsed="0" w:uiPriority="98" w:name="endnote reference"/>
    <w:lsdException w:unhideWhenUsed="0" w:uiPriority="98" w:name="endnote text"/>
    <w:lsdException w:unhideWhenUsed="0" w:uiPriority="98" w:name="table of authorities"/>
    <w:lsdException w:unhideWhenUsed="0" w:uiPriority="98" w:name="macro"/>
    <w:lsdException w:unhideWhenUsed="0" w:uiPriority="98" w:name="toa heading"/>
    <w:lsdException w:qFormat="1" w:unhideWhenUsed="0" w:uiPriority="0" w:semiHidden="0" w:name="List"/>
    <w:lsdException w:unhideWhenUsed="0" w:uiPriority="98" w:name="List Bullet"/>
    <w:lsdException w:unhideWhenUsed="0" w:uiPriority="98" w:name="List Number"/>
    <w:lsdException w:unhideWhenUsed="0" w:uiPriority="98" w:name="List 2"/>
    <w:lsdException w:unhideWhenUsed="0" w:uiPriority="98" w:name="List 3"/>
    <w:lsdException w:unhideWhenUsed="0" w:uiPriority="98" w:name="List 4"/>
    <w:lsdException w:unhideWhenUsed="0" w:uiPriority="98" w:name="List 5"/>
    <w:lsdException w:unhideWhenUsed="0" w:uiPriority="98" w:name="List Bullet 2"/>
    <w:lsdException w:unhideWhenUsed="0" w:uiPriority="98" w:name="List Bullet 3"/>
    <w:lsdException w:unhideWhenUsed="0" w:uiPriority="98" w:name="List Bullet 4"/>
    <w:lsdException w:unhideWhenUsed="0" w:uiPriority="98" w:name="List Bullet 5"/>
    <w:lsdException w:unhideWhenUsed="0" w:uiPriority="98" w:name="List Number 2"/>
    <w:lsdException w:unhideWhenUsed="0" w:uiPriority="98" w:name="List Number 3"/>
    <w:lsdException w:unhideWhenUsed="0" w:uiPriority="98" w:name="List Number 4"/>
    <w:lsdException w:unhideWhenUsed="0" w:uiPriority="98" w:name="List Number 5"/>
    <w:lsdException w:qFormat="1" w:unhideWhenUsed="0" w:uiPriority="0" w:name="Title"/>
    <w:lsdException w:unhideWhenUsed="0" w:uiPriority="98" w:name="Closing"/>
    <w:lsdException w:unhideWhenUsed="0" w:uiPriority="98" w:name="Signature"/>
    <w:lsdException w:qFormat="1" w:uiPriority="1" w:name="Default Paragraph Font"/>
    <w:lsdException w:qFormat="1" w:unhideWhenUsed="0" w:uiPriority="98" w:name="Body Text"/>
    <w:lsdException w:qFormat="1" w:unhideWhenUsed="0" w:uiPriority="0" w:name="Body Text Indent"/>
    <w:lsdException w:unhideWhenUsed="0" w:uiPriority="98" w:name="List Continue"/>
    <w:lsdException w:unhideWhenUsed="0" w:uiPriority="98" w:name="List Continue 2"/>
    <w:lsdException w:unhideWhenUsed="0" w:uiPriority="98" w:name="List Continue 3"/>
    <w:lsdException w:unhideWhenUsed="0" w:uiPriority="98" w:name="List Continue 4"/>
    <w:lsdException w:unhideWhenUsed="0" w:uiPriority="98" w:name="List Continue 5"/>
    <w:lsdException w:qFormat="1" w:unhideWhenUsed="0" w:uiPriority="99" w:name="Message Header"/>
    <w:lsdException w:qFormat="1" w:unhideWhenUsed="0" w:uiPriority="98" w:semiHidden="0" w:name="Subtitle"/>
    <w:lsdException w:unhideWhenUsed="0" w:uiPriority="98" w:name="Salutation"/>
    <w:lsdException w:qFormat="1" w:unhideWhenUsed="0" w:uiPriority="0" w:name="Date"/>
    <w:lsdException w:unhideWhenUsed="0" w:uiPriority="98" w:name="Body Text First Indent"/>
    <w:lsdException w:qFormat="1" w:unhideWhenUsed="0" w:uiPriority="0" w:semiHidden="0" w:name="Body Text First Indent 2"/>
    <w:lsdException w:unhideWhenUsed="0" w:uiPriority="98" w:name="Note Heading"/>
    <w:lsdException w:unhideWhenUsed="0" w:uiPriority="98" w:name="Body Text 2"/>
    <w:lsdException w:unhideWhenUsed="0" w:uiPriority="98" w:name="Body Text 3"/>
    <w:lsdException w:qFormat="1" w:unhideWhenUsed="0" w:uiPriority="0" w:name="Body Text Indent 2"/>
    <w:lsdException w:qFormat="1" w:unhideWhenUsed="0" w:uiPriority="0" w:name="Body Text Indent 3"/>
    <w:lsdException w:unhideWhenUsed="0" w:uiPriority="98" w:name="Block Text"/>
    <w:lsdException w:qFormat="1" w:unhideWhenUsed="0" w:uiPriority="99" w:semiHidden="0" w:name="Hyperlink"/>
    <w:lsdException w:qFormat="1" w:unhideWhenUsed="0" w:uiPriority="98" w:name="FollowedHyperlink"/>
    <w:lsdException w:qFormat="1" w:unhideWhenUsed="0" w:uiPriority="98" w:name="Strong"/>
    <w:lsdException w:qFormat="1" w:unhideWhenUsed="0" w:uiPriority="98" w:name="Emphasis"/>
    <w:lsdException w:qFormat="1" w:unhideWhenUsed="0" w:uiPriority="0" w:name="Document Map"/>
    <w:lsdException w:qFormat="1" w:unhideWhenUsed="0" w:uiPriority="0" w:semiHidden="0" w:name="Plain Text"/>
    <w:lsdException w:qFormat="1" w:unhideWhenUsed="0" w:uiPriority="99" w:name="E-mail Signature"/>
    <w:lsdException w:qFormat="1" w:unhideWhenUsed="0" w:uiPriority="0" w:name="Normal (Web)"/>
    <w:lsdException w:unhideWhenUsed="0" w:uiPriority="98" w:name="HTML Acronym"/>
    <w:lsdException w:unhideWhenUsed="0" w:uiPriority="98" w:name="HTML Address"/>
    <w:lsdException w:unhideWhenUsed="0" w:uiPriority="98" w:name="HTML Cite"/>
    <w:lsdException w:unhideWhenUsed="0" w:uiPriority="98" w:name="HTML Code"/>
    <w:lsdException w:unhideWhenUsed="0" w:uiPriority="98" w:name="HTML Definition"/>
    <w:lsdException w:uiPriority="0" w:name="HTML Keyboard"/>
    <w:lsdException w:unhideWhenUsed="0" w:uiPriority="98" w:name="HTML Preformatted"/>
    <w:lsdException w:unhideWhenUsed="0" w:uiPriority="98" w:name="HTML Sample"/>
    <w:lsdException w:unhideWhenUsed="0" w:uiPriority="98" w:name="HTML Typewriter"/>
    <w:lsdException w:unhideWhenUsed="0" w:uiPriority="98" w:name="HTML Variable"/>
    <w:lsdException w:qFormat="1" w:uiPriority="99" w:name="Normal Table"/>
    <w:lsdException w:qFormat="1" w:unhideWhenUsed="0" w:uiPriority="98"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8"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98"/>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67"/>
    <w:semiHidden/>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69"/>
    <w:semiHidden/>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43"/>
    <w:semiHidden/>
    <w:qFormat/>
    <w:uiPriority w:val="0"/>
    <w:pPr>
      <w:keepNext/>
      <w:keepLines/>
      <w:spacing w:line="416" w:lineRule="auto"/>
      <w:outlineLvl w:val="2"/>
    </w:pPr>
    <w:rPr>
      <w:b/>
      <w:bCs/>
      <w:sz w:val="32"/>
      <w:szCs w:val="32"/>
    </w:rPr>
  </w:style>
  <w:style w:type="paragraph" w:styleId="5">
    <w:name w:val="heading 4"/>
    <w:basedOn w:val="1"/>
    <w:next w:val="1"/>
    <w:link w:val="77"/>
    <w:semiHidden/>
    <w:qFormat/>
    <w:uiPriority w:val="0"/>
    <w:pPr>
      <w:keepNext/>
      <w:keepLines/>
      <w:spacing w:line="360" w:lineRule="auto"/>
      <w:outlineLvl w:val="3"/>
    </w:pPr>
    <w:rPr>
      <w:rFonts w:ascii="Arial" w:hAnsi="Arial"/>
      <w:b/>
      <w:bCs/>
      <w:szCs w:val="28"/>
    </w:rPr>
  </w:style>
  <w:style w:type="paragraph" w:styleId="6">
    <w:name w:val="heading 5"/>
    <w:basedOn w:val="1"/>
    <w:next w:val="1"/>
    <w:link w:val="78"/>
    <w:semiHidden/>
    <w:qFormat/>
    <w:uiPriority w:val="0"/>
    <w:pPr>
      <w:keepNext/>
      <w:numPr>
        <w:ilvl w:val="0"/>
        <w:numId w:val="1"/>
      </w:numPr>
      <w:autoSpaceDE w:val="0"/>
      <w:autoSpaceDN w:val="0"/>
      <w:adjustRightInd w:val="0"/>
      <w:spacing w:line="465" w:lineRule="exact"/>
      <w:jc w:val="left"/>
      <w:outlineLvl w:val="4"/>
    </w:pPr>
    <w:rPr>
      <w:rFonts w:ascii="宋体" w:hAnsi="宋体"/>
      <w:bCs/>
      <w:iCs/>
      <w:color w:val="000000"/>
      <w:kern w:val="0"/>
      <w:sz w:val="28"/>
      <w:szCs w:val="28"/>
    </w:rPr>
  </w:style>
  <w:style w:type="character" w:default="1" w:styleId="32">
    <w:name w:val="Default Paragraph Font"/>
    <w:semiHidden/>
    <w:unhideWhenUsed/>
    <w:qFormat/>
    <w:uiPriority w:val="1"/>
  </w:style>
  <w:style w:type="table" w:default="1" w:styleId="30">
    <w:name w:val="Normal Table"/>
    <w:semiHidden/>
    <w:unhideWhenUsed/>
    <w:qFormat/>
    <w:uiPriority w:val="99"/>
    <w:tblPr>
      <w:tblCellMar>
        <w:top w:w="0" w:type="dxa"/>
        <w:left w:w="108" w:type="dxa"/>
        <w:bottom w:w="0" w:type="dxa"/>
        <w:right w:w="108" w:type="dxa"/>
      </w:tblCellMar>
    </w:tblPr>
  </w:style>
  <w:style w:type="paragraph" w:styleId="7">
    <w:name w:val="E-mail Signature"/>
    <w:basedOn w:val="1"/>
    <w:link w:val="104"/>
    <w:semiHidden/>
    <w:qFormat/>
    <w:uiPriority w:val="99"/>
    <w:pPr>
      <w:spacing w:after="200" w:line="276" w:lineRule="auto"/>
      <w:jc w:val="left"/>
    </w:pPr>
    <w:rPr>
      <w:rFonts w:ascii="Calibri" w:hAnsi="Calibri"/>
      <w:kern w:val="0"/>
      <w:szCs w:val="21"/>
    </w:rPr>
  </w:style>
  <w:style w:type="paragraph" w:styleId="8">
    <w:name w:val="caption"/>
    <w:basedOn w:val="1"/>
    <w:next w:val="1"/>
    <w:semiHidden/>
    <w:qFormat/>
    <w:uiPriority w:val="98"/>
    <w:pPr>
      <w:spacing w:before="152" w:after="160"/>
    </w:pPr>
    <w:rPr>
      <w:rFonts w:ascii="Arial" w:hAnsi="Arial" w:eastAsia="黑体" w:cs="Arial"/>
      <w:sz w:val="20"/>
    </w:rPr>
  </w:style>
  <w:style w:type="paragraph" w:styleId="9">
    <w:name w:val="Document Map"/>
    <w:basedOn w:val="1"/>
    <w:link w:val="93"/>
    <w:semiHidden/>
    <w:qFormat/>
    <w:uiPriority w:val="0"/>
    <w:pPr>
      <w:adjustRightInd w:val="0"/>
      <w:spacing w:line="312" w:lineRule="atLeast"/>
      <w:textAlignment w:val="baseline"/>
    </w:pPr>
    <w:rPr>
      <w:rFonts w:ascii="宋体"/>
      <w:kern w:val="0"/>
      <w:sz w:val="18"/>
      <w:szCs w:val="18"/>
    </w:rPr>
  </w:style>
  <w:style w:type="paragraph" w:styleId="10">
    <w:name w:val="annotation text"/>
    <w:basedOn w:val="1"/>
    <w:link w:val="45"/>
    <w:qFormat/>
    <w:uiPriority w:val="99"/>
    <w:pPr>
      <w:jc w:val="left"/>
    </w:pPr>
  </w:style>
  <w:style w:type="paragraph" w:styleId="11">
    <w:name w:val="Body Text"/>
    <w:basedOn w:val="1"/>
    <w:link w:val="41"/>
    <w:semiHidden/>
    <w:qFormat/>
    <w:uiPriority w:val="98"/>
    <w:rPr>
      <w:rFonts w:ascii="仿宋_GB2312" w:eastAsia="仿宋_GB2312"/>
      <w:sz w:val="32"/>
    </w:rPr>
  </w:style>
  <w:style w:type="paragraph" w:styleId="12">
    <w:name w:val="Body Text Indent"/>
    <w:basedOn w:val="1"/>
    <w:next w:val="1"/>
    <w:link w:val="48"/>
    <w:semiHidden/>
    <w:qFormat/>
    <w:uiPriority w:val="0"/>
    <w:pPr>
      <w:spacing w:after="120"/>
      <w:ind w:left="420" w:leftChars="200"/>
    </w:pPr>
    <w:rPr>
      <w:rFonts w:ascii="Calibri" w:hAnsi="Calibri"/>
      <w:szCs w:val="22"/>
    </w:rPr>
  </w:style>
  <w:style w:type="paragraph" w:styleId="13">
    <w:name w:val="toc 3"/>
    <w:basedOn w:val="1"/>
    <w:next w:val="1"/>
    <w:semiHidden/>
    <w:qFormat/>
    <w:uiPriority w:val="39"/>
    <w:pPr>
      <w:adjustRightInd w:val="0"/>
      <w:spacing w:line="312" w:lineRule="atLeast"/>
      <w:ind w:left="840" w:leftChars="400"/>
      <w:textAlignment w:val="baseline"/>
    </w:pPr>
    <w:rPr>
      <w:kern w:val="0"/>
      <w:sz w:val="24"/>
    </w:rPr>
  </w:style>
  <w:style w:type="paragraph" w:styleId="14">
    <w:name w:val="Plain Text"/>
    <w:basedOn w:val="1"/>
    <w:link w:val="50"/>
    <w:qFormat/>
    <w:uiPriority w:val="0"/>
    <w:rPr>
      <w:rFonts w:ascii="宋体" w:hAnsi="Courier New"/>
    </w:rPr>
  </w:style>
  <w:style w:type="paragraph" w:styleId="15">
    <w:name w:val="Date"/>
    <w:basedOn w:val="1"/>
    <w:next w:val="1"/>
    <w:link w:val="87"/>
    <w:semiHidden/>
    <w:qFormat/>
    <w:uiPriority w:val="0"/>
    <w:pPr>
      <w:adjustRightInd w:val="0"/>
      <w:spacing w:line="312" w:lineRule="atLeast"/>
      <w:ind w:left="100" w:leftChars="2500"/>
      <w:textAlignment w:val="baseline"/>
    </w:pPr>
    <w:rPr>
      <w:kern w:val="0"/>
      <w:sz w:val="24"/>
    </w:rPr>
  </w:style>
  <w:style w:type="paragraph" w:styleId="16">
    <w:name w:val="Body Text Indent 2"/>
    <w:basedOn w:val="1"/>
    <w:link w:val="86"/>
    <w:semiHidden/>
    <w:qFormat/>
    <w:uiPriority w:val="0"/>
    <w:pPr>
      <w:adjustRightInd w:val="0"/>
      <w:spacing w:after="120" w:line="480" w:lineRule="auto"/>
      <w:ind w:left="420" w:leftChars="200"/>
      <w:textAlignment w:val="baseline"/>
    </w:pPr>
    <w:rPr>
      <w:kern w:val="0"/>
      <w:sz w:val="24"/>
    </w:rPr>
  </w:style>
  <w:style w:type="paragraph" w:styleId="17">
    <w:name w:val="Balloon Text"/>
    <w:basedOn w:val="1"/>
    <w:link w:val="47"/>
    <w:semiHidden/>
    <w:qFormat/>
    <w:uiPriority w:val="0"/>
    <w:rPr>
      <w:sz w:val="18"/>
      <w:szCs w:val="18"/>
    </w:rPr>
  </w:style>
  <w:style w:type="paragraph" w:styleId="18">
    <w:name w:val="footer"/>
    <w:basedOn w:val="1"/>
    <w:link w:val="42"/>
    <w:semiHidden/>
    <w:qFormat/>
    <w:uiPriority w:val="0"/>
    <w:pPr>
      <w:tabs>
        <w:tab w:val="center" w:pos="4153"/>
        <w:tab w:val="right" w:pos="8306"/>
      </w:tabs>
      <w:snapToGrid w:val="0"/>
      <w:jc w:val="left"/>
    </w:pPr>
    <w:rPr>
      <w:sz w:val="18"/>
      <w:szCs w:val="18"/>
    </w:rPr>
  </w:style>
  <w:style w:type="paragraph" w:styleId="19">
    <w:name w:val="header"/>
    <w:basedOn w:val="1"/>
    <w:link w:val="52"/>
    <w:semiHidden/>
    <w:qFormat/>
    <w:uiPriority w:val="0"/>
    <w:pPr>
      <w:pBdr>
        <w:bottom w:val="single" w:color="auto" w:sz="6" w:space="1"/>
      </w:pBdr>
      <w:tabs>
        <w:tab w:val="center" w:pos="4153"/>
        <w:tab w:val="right" w:pos="8306"/>
      </w:tabs>
      <w:snapToGrid w:val="0"/>
      <w:jc w:val="center"/>
    </w:pPr>
    <w:rPr>
      <w:sz w:val="18"/>
      <w:szCs w:val="18"/>
    </w:rPr>
  </w:style>
  <w:style w:type="paragraph" w:styleId="20">
    <w:name w:val="toc 1"/>
    <w:basedOn w:val="1"/>
    <w:next w:val="1"/>
    <w:qFormat/>
    <w:uiPriority w:val="39"/>
    <w:pPr>
      <w:tabs>
        <w:tab w:val="right" w:leader="dot" w:pos="8729"/>
      </w:tabs>
      <w:spacing w:line="480" w:lineRule="auto"/>
      <w:jc w:val="left"/>
    </w:pPr>
    <w:rPr>
      <w:rFonts w:ascii="宋体" w:hAnsi="宋体"/>
      <w:b/>
      <w:caps/>
      <w:sz w:val="28"/>
      <w:szCs w:val="28"/>
    </w:rPr>
  </w:style>
  <w:style w:type="paragraph" w:styleId="21">
    <w:name w:val="List"/>
    <w:basedOn w:val="1"/>
    <w:qFormat/>
    <w:uiPriority w:val="0"/>
    <w:pPr>
      <w:ind w:left="200" w:hanging="200" w:hangingChars="200"/>
    </w:pPr>
    <w:rPr>
      <w:szCs w:val="21"/>
    </w:rPr>
  </w:style>
  <w:style w:type="paragraph" w:styleId="22">
    <w:name w:val="Body Text Indent 3"/>
    <w:basedOn w:val="1"/>
    <w:link w:val="83"/>
    <w:semiHidden/>
    <w:qFormat/>
    <w:uiPriority w:val="0"/>
    <w:pPr>
      <w:spacing w:line="360" w:lineRule="auto"/>
      <w:ind w:left="1347" w:leftChars="413" w:hanging="480" w:hangingChars="200"/>
    </w:pPr>
    <w:rPr>
      <w:rFonts w:ascii="宋体" w:hAnsi="宋体"/>
      <w:color w:val="FF0000"/>
      <w:sz w:val="24"/>
      <w:szCs w:val="24"/>
    </w:rPr>
  </w:style>
  <w:style w:type="paragraph" w:styleId="23">
    <w:name w:val="index 9"/>
    <w:basedOn w:val="1"/>
    <w:next w:val="1"/>
    <w:autoRedefine/>
    <w:semiHidden/>
    <w:qFormat/>
    <w:uiPriority w:val="98"/>
    <w:pPr>
      <w:ind w:left="1600" w:leftChars="1600"/>
    </w:pPr>
  </w:style>
  <w:style w:type="paragraph" w:styleId="24">
    <w:name w:val="toc 2"/>
    <w:basedOn w:val="1"/>
    <w:next w:val="1"/>
    <w:qFormat/>
    <w:uiPriority w:val="39"/>
    <w:pPr>
      <w:ind w:left="420" w:leftChars="200"/>
    </w:pPr>
  </w:style>
  <w:style w:type="paragraph" w:styleId="25">
    <w:name w:val="Message Header"/>
    <w:basedOn w:val="1"/>
    <w:link w:val="108"/>
    <w:semiHidden/>
    <w:qFormat/>
    <w:uiPriority w:val="99"/>
    <w:pPr>
      <w:pBdr>
        <w:top w:val="single" w:color="auto" w:sz="6" w:space="1"/>
        <w:left w:val="single" w:color="auto" w:sz="6" w:space="1"/>
        <w:bottom w:val="single" w:color="auto" w:sz="6" w:space="1"/>
        <w:right w:val="single" w:color="auto" w:sz="6" w:space="1"/>
      </w:pBdr>
      <w:shd w:val="pct20" w:color="auto" w:fill="auto"/>
      <w:spacing w:after="200" w:line="276" w:lineRule="auto"/>
      <w:ind w:left="1080" w:leftChars="500" w:hanging="1080" w:hangingChars="500"/>
      <w:jc w:val="left"/>
    </w:pPr>
    <w:rPr>
      <w:rFonts w:ascii="Cambria" w:hAnsi="Cambria" w:cs="Cambria"/>
      <w:kern w:val="0"/>
      <w:sz w:val="24"/>
      <w:szCs w:val="24"/>
    </w:rPr>
  </w:style>
  <w:style w:type="paragraph" w:styleId="26">
    <w:name w:val="Normal (Web)"/>
    <w:basedOn w:val="1"/>
    <w:semiHidden/>
    <w:qFormat/>
    <w:uiPriority w:val="0"/>
    <w:pPr>
      <w:widowControl/>
      <w:adjustRightInd w:val="0"/>
      <w:spacing w:before="100" w:beforeAutospacing="1" w:after="100" w:afterAutospacing="1" w:line="312" w:lineRule="atLeast"/>
      <w:jc w:val="left"/>
      <w:textAlignment w:val="baseline"/>
    </w:pPr>
    <w:rPr>
      <w:rFonts w:ascii="宋体" w:hAnsi="宋体" w:cs="宋体"/>
      <w:kern w:val="0"/>
      <w:sz w:val="24"/>
      <w:szCs w:val="24"/>
    </w:rPr>
  </w:style>
  <w:style w:type="paragraph" w:styleId="27">
    <w:name w:val="Title"/>
    <w:basedOn w:val="1"/>
    <w:next w:val="1"/>
    <w:link w:val="70"/>
    <w:semiHidden/>
    <w:qFormat/>
    <w:uiPriority w:val="0"/>
    <w:pPr>
      <w:spacing w:before="240" w:after="60"/>
      <w:jc w:val="center"/>
      <w:outlineLvl w:val="0"/>
    </w:pPr>
    <w:rPr>
      <w:rFonts w:eastAsia="黑体" w:asciiTheme="majorHAnsi" w:hAnsiTheme="majorHAnsi" w:cstheme="majorBidi"/>
      <w:b/>
      <w:bCs/>
      <w:sz w:val="36"/>
      <w:szCs w:val="32"/>
    </w:rPr>
  </w:style>
  <w:style w:type="paragraph" w:styleId="28">
    <w:name w:val="annotation subject"/>
    <w:basedOn w:val="10"/>
    <w:next w:val="10"/>
    <w:link w:val="53"/>
    <w:semiHidden/>
    <w:qFormat/>
    <w:uiPriority w:val="98"/>
    <w:rPr>
      <w:b/>
      <w:bCs/>
    </w:rPr>
  </w:style>
  <w:style w:type="paragraph" w:styleId="29">
    <w:name w:val="Body Text First Indent 2"/>
    <w:basedOn w:val="12"/>
    <w:next w:val="24"/>
    <w:qFormat/>
    <w:uiPriority w:val="0"/>
    <w:pPr>
      <w:spacing w:line="276" w:lineRule="auto"/>
      <w:ind w:left="200" w:firstLine="200" w:firstLineChars="200"/>
      <w:jc w:val="left"/>
    </w:pPr>
  </w:style>
  <w:style w:type="table" w:styleId="31">
    <w:name w:val="Table Grid"/>
    <w:basedOn w:val="3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3">
    <w:name w:val="Strong"/>
    <w:semiHidden/>
    <w:qFormat/>
    <w:uiPriority w:val="98"/>
    <w:rPr>
      <w:b/>
    </w:rPr>
  </w:style>
  <w:style w:type="character" w:styleId="34">
    <w:name w:val="page number"/>
    <w:basedOn w:val="32"/>
    <w:semiHidden/>
    <w:qFormat/>
    <w:uiPriority w:val="0"/>
  </w:style>
  <w:style w:type="character" w:styleId="35">
    <w:name w:val="FollowedHyperlink"/>
    <w:semiHidden/>
    <w:qFormat/>
    <w:uiPriority w:val="98"/>
    <w:rPr>
      <w:color w:val="800080"/>
      <w:u w:val="single"/>
    </w:rPr>
  </w:style>
  <w:style w:type="character" w:styleId="36">
    <w:name w:val="Emphasis"/>
    <w:semiHidden/>
    <w:qFormat/>
    <w:uiPriority w:val="98"/>
    <w:rPr>
      <w:i/>
      <w:iCs/>
    </w:rPr>
  </w:style>
  <w:style w:type="character" w:styleId="37">
    <w:name w:val="Hyperlink"/>
    <w:qFormat/>
    <w:uiPriority w:val="99"/>
    <w:rPr>
      <w:rFonts w:cs="Times New Roman"/>
      <w:color w:val="1F4F88"/>
      <w:u w:val="none"/>
    </w:rPr>
  </w:style>
  <w:style w:type="character" w:styleId="38">
    <w:name w:val="annotation reference"/>
    <w:semiHidden/>
    <w:qFormat/>
    <w:uiPriority w:val="98"/>
    <w:rPr>
      <w:sz w:val="21"/>
      <w:szCs w:val="21"/>
    </w:rPr>
  </w:style>
  <w:style w:type="character" w:customStyle="1" w:styleId="39">
    <w:name w:val="Char Char3"/>
    <w:semiHidden/>
    <w:qFormat/>
    <w:uiPriority w:val="98"/>
    <w:rPr>
      <w:rFonts w:ascii="宋体" w:hAnsi="Courier New" w:eastAsia="宋体"/>
      <w:kern w:val="2"/>
      <w:sz w:val="21"/>
      <w:lang w:val="en-US" w:eastAsia="zh-CN" w:bidi="ar-SA"/>
    </w:rPr>
  </w:style>
  <w:style w:type="character" w:customStyle="1" w:styleId="40">
    <w:name w:val="纯文本 Char"/>
    <w:semiHidden/>
    <w:qFormat/>
    <w:uiPriority w:val="98"/>
    <w:rPr>
      <w:rFonts w:ascii="宋体" w:hAnsi="Courier New" w:eastAsia="宋体"/>
      <w:kern w:val="2"/>
      <w:sz w:val="21"/>
      <w:lang w:val="en-US" w:eastAsia="zh-CN" w:bidi="ar-SA"/>
    </w:rPr>
  </w:style>
  <w:style w:type="character" w:customStyle="1" w:styleId="41">
    <w:name w:val="正文文本 字符"/>
    <w:link w:val="11"/>
    <w:semiHidden/>
    <w:qFormat/>
    <w:uiPriority w:val="98"/>
    <w:rPr>
      <w:rFonts w:ascii="仿宋_GB2312" w:eastAsia="仿宋_GB2312"/>
      <w:kern w:val="2"/>
      <w:sz w:val="32"/>
    </w:rPr>
  </w:style>
  <w:style w:type="character" w:customStyle="1" w:styleId="42">
    <w:name w:val="页脚 字符"/>
    <w:link w:val="18"/>
    <w:semiHidden/>
    <w:qFormat/>
    <w:uiPriority w:val="0"/>
    <w:rPr>
      <w:kern w:val="2"/>
      <w:sz w:val="18"/>
      <w:szCs w:val="18"/>
    </w:rPr>
  </w:style>
  <w:style w:type="character" w:customStyle="1" w:styleId="43">
    <w:name w:val="标题 3 字符"/>
    <w:link w:val="4"/>
    <w:semiHidden/>
    <w:qFormat/>
    <w:uiPriority w:val="0"/>
    <w:rPr>
      <w:b/>
      <w:bCs/>
      <w:kern w:val="2"/>
      <w:sz w:val="32"/>
      <w:szCs w:val="32"/>
    </w:rPr>
  </w:style>
  <w:style w:type="character" w:customStyle="1" w:styleId="44">
    <w:name w:val="正文文本 Char"/>
    <w:semiHidden/>
    <w:qFormat/>
    <w:uiPriority w:val="98"/>
    <w:rPr>
      <w:rFonts w:ascii="仿宋_GB2312" w:eastAsia="仿宋_GB2312"/>
      <w:kern w:val="2"/>
      <w:sz w:val="32"/>
    </w:rPr>
  </w:style>
  <w:style w:type="character" w:customStyle="1" w:styleId="45">
    <w:name w:val="批注文字 字符"/>
    <w:link w:val="10"/>
    <w:qFormat/>
    <w:uiPriority w:val="99"/>
    <w:rPr>
      <w:kern w:val="2"/>
      <w:sz w:val="21"/>
    </w:rPr>
  </w:style>
  <w:style w:type="character" w:customStyle="1" w:styleId="46">
    <w:name w:val="apple-converted-space"/>
    <w:basedOn w:val="32"/>
    <w:semiHidden/>
    <w:qFormat/>
    <w:uiPriority w:val="98"/>
  </w:style>
  <w:style w:type="character" w:customStyle="1" w:styleId="47">
    <w:name w:val="批注框文本 字符"/>
    <w:link w:val="17"/>
    <w:semiHidden/>
    <w:qFormat/>
    <w:uiPriority w:val="98"/>
    <w:rPr>
      <w:kern w:val="2"/>
      <w:sz w:val="18"/>
      <w:szCs w:val="18"/>
    </w:rPr>
  </w:style>
  <w:style w:type="character" w:customStyle="1" w:styleId="48">
    <w:name w:val="正文文本缩进 字符"/>
    <w:link w:val="12"/>
    <w:semiHidden/>
    <w:qFormat/>
    <w:uiPriority w:val="0"/>
    <w:rPr>
      <w:rFonts w:ascii="Calibri" w:hAnsi="Calibri"/>
      <w:kern w:val="2"/>
      <w:sz w:val="21"/>
      <w:szCs w:val="22"/>
    </w:rPr>
  </w:style>
  <w:style w:type="character" w:customStyle="1" w:styleId="49">
    <w:name w:val="Char Char5"/>
    <w:semiHidden/>
    <w:qFormat/>
    <w:uiPriority w:val="98"/>
    <w:rPr>
      <w:rFonts w:ascii="宋体" w:hAnsi="Courier New" w:eastAsia="宋体"/>
      <w:kern w:val="2"/>
      <w:sz w:val="21"/>
      <w:lang w:val="en-US" w:eastAsia="zh-CN" w:bidi="ar-SA"/>
    </w:rPr>
  </w:style>
  <w:style w:type="character" w:customStyle="1" w:styleId="50">
    <w:name w:val="纯文本 字符1"/>
    <w:link w:val="14"/>
    <w:semiHidden/>
    <w:qFormat/>
    <w:uiPriority w:val="0"/>
    <w:rPr>
      <w:rFonts w:ascii="宋体" w:hAnsi="Courier New"/>
      <w:kern w:val="2"/>
      <w:sz w:val="21"/>
    </w:rPr>
  </w:style>
  <w:style w:type="character" w:customStyle="1" w:styleId="51">
    <w:name w:val="纯文本 字符"/>
    <w:semiHidden/>
    <w:qFormat/>
    <w:uiPriority w:val="98"/>
    <w:rPr>
      <w:rFonts w:ascii="宋体" w:hAnsi="Courier New" w:eastAsia="宋体"/>
    </w:rPr>
  </w:style>
  <w:style w:type="character" w:customStyle="1" w:styleId="52">
    <w:name w:val="页眉 字符"/>
    <w:link w:val="19"/>
    <w:semiHidden/>
    <w:qFormat/>
    <w:uiPriority w:val="0"/>
    <w:rPr>
      <w:kern w:val="2"/>
      <w:sz w:val="18"/>
      <w:szCs w:val="18"/>
    </w:rPr>
  </w:style>
  <w:style w:type="character" w:customStyle="1" w:styleId="53">
    <w:name w:val="批注主题 字符"/>
    <w:link w:val="28"/>
    <w:semiHidden/>
    <w:qFormat/>
    <w:uiPriority w:val="98"/>
    <w:rPr>
      <w:b/>
      <w:bCs/>
      <w:kern w:val="2"/>
      <w:sz w:val="21"/>
    </w:rPr>
  </w:style>
  <w:style w:type="character" w:customStyle="1" w:styleId="54">
    <w:name w:val="Char Char2"/>
    <w:semiHidden/>
    <w:qFormat/>
    <w:uiPriority w:val="98"/>
    <w:rPr>
      <w:rFonts w:ascii="宋体" w:hAnsi="Courier New" w:cs="宋体"/>
      <w:kern w:val="2"/>
      <w:sz w:val="21"/>
      <w:szCs w:val="21"/>
    </w:rPr>
  </w:style>
  <w:style w:type="character" w:customStyle="1" w:styleId="55">
    <w:name w:val="HTML Markup"/>
    <w:semiHidden/>
    <w:qFormat/>
    <w:uiPriority w:val="98"/>
    <w:rPr>
      <w:vanish/>
      <w:color w:val="FF0000"/>
    </w:rPr>
  </w:style>
  <w:style w:type="character" w:customStyle="1" w:styleId="56">
    <w:name w:val="纯文本 Char3"/>
    <w:semiHidden/>
    <w:qFormat/>
    <w:uiPriority w:val="98"/>
    <w:rPr>
      <w:rFonts w:ascii="宋体" w:hAnsi="Courier New" w:eastAsia="宋体"/>
      <w:kern w:val="2"/>
      <w:sz w:val="21"/>
      <w:lang w:val="en-US" w:eastAsia="zh-CN" w:bidi="ar-SA"/>
    </w:rPr>
  </w:style>
  <w:style w:type="character" w:customStyle="1" w:styleId="57">
    <w:name w:val="正文文本缩进 Char"/>
    <w:link w:val="58"/>
    <w:semiHidden/>
    <w:qFormat/>
    <w:uiPriority w:val="98"/>
    <w:rPr>
      <w:kern w:val="2"/>
      <w:sz w:val="21"/>
    </w:rPr>
  </w:style>
  <w:style w:type="paragraph" w:customStyle="1" w:styleId="58">
    <w:name w:val="正文文本缩进1"/>
    <w:basedOn w:val="1"/>
    <w:link w:val="57"/>
    <w:semiHidden/>
    <w:qFormat/>
    <w:uiPriority w:val="98"/>
    <w:pPr>
      <w:spacing w:after="120"/>
      <w:ind w:left="420" w:leftChars="200"/>
    </w:pPr>
  </w:style>
  <w:style w:type="paragraph" w:customStyle="1" w:styleId="59">
    <w:name w:val="1"/>
    <w:basedOn w:val="1"/>
    <w:semiHidden/>
    <w:qFormat/>
    <w:uiPriority w:val="98"/>
    <w:pPr>
      <w:widowControl/>
      <w:spacing w:before="100" w:beforeAutospacing="1" w:after="100" w:afterAutospacing="1"/>
      <w:jc w:val="left"/>
    </w:pPr>
    <w:rPr>
      <w:rFonts w:hint="eastAsia" w:ascii="宋体" w:hAnsi="宋体"/>
      <w:kern w:val="0"/>
      <w:sz w:val="24"/>
      <w:szCs w:val="24"/>
    </w:rPr>
  </w:style>
  <w:style w:type="paragraph" w:customStyle="1" w:styleId="60">
    <w:name w:val="2"/>
    <w:basedOn w:val="1"/>
    <w:semiHidden/>
    <w:qFormat/>
    <w:uiPriority w:val="98"/>
    <w:pPr>
      <w:widowControl/>
      <w:spacing w:after="160" w:line="240" w:lineRule="exact"/>
      <w:jc w:val="left"/>
    </w:pPr>
    <w:rPr>
      <w:rFonts w:ascii="Arial" w:hAnsi="Arial" w:eastAsia="Times New Roman" w:cs="Verdana"/>
      <w:b/>
      <w:kern w:val="0"/>
      <w:sz w:val="24"/>
      <w:szCs w:val="24"/>
      <w:lang w:eastAsia="en-US" w:bidi="th-TH"/>
    </w:rPr>
  </w:style>
  <w:style w:type="paragraph" w:customStyle="1" w:styleId="61">
    <w:name w:val="Char Char Char Char Char Char1 Char"/>
    <w:basedOn w:val="1"/>
    <w:semiHidden/>
    <w:qFormat/>
    <w:uiPriority w:val="98"/>
    <w:pPr>
      <w:widowControl/>
      <w:spacing w:after="160" w:line="240" w:lineRule="exact"/>
      <w:jc w:val="left"/>
    </w:pPr>
    <w:rPr>
      <w:rFonts w:ascii="Arial" w:hAnsi="Arial" w:eastAsia="Times New Roman" w:cs="Verdana"/>
      <w:b/>
      <w:kern w:val="0"/>
      <w:sz w:val="24"/>
      <w:szCs w:val="24"/>
      <w:lang w:eastAsia="en-US" w:bidi="th-TH"/>
    </w:rPr>
  </w:style>
  <w:style w:type="paragraph" w:styleId="62">
    <w:name w:val="List Paragraph"/>
    <w:basedOn w:val="1"/>
    <w:semiHidden/>
    <w:qFormat/>
    <w:uiPriority w:val="98"/>
    <w:pPr>
      <w:ind w:firstLine="420" w:firstLineChars="200"/>
    </w:pPr>
    <w:rPr>
      <w:rFonts w:ascii="Calibri" w:hAnsi="Calibri"/>
      <w:szCs w:val="22"/>
    </w:rPr>
  </w:style>
  <w:style w:type="paragraph" w:customStyle="1" w:styleId="63">
    <w:name w:val="列出段落1"/>
    <w:basedOn w:val="1"/>
    <w:semiHidden/>
    <w:qFormat/>
    <w:uiPriority w:val="98"/>
    <w:pPr>
      <w:ind w:firstLine="420" w:firstLineChars="200"/>
    </w:pPr>
    <w:rPr>
      <w:rFonts w:ascii="Calibri" w:hAnsi="Calibri"/>
      <w:szCs w:val="22"/>
    </w:rPr>
  </w:style>
  <w:style w:type="paragraph" w:customStyle="1" w:styleId="64">
    <w:name w:val="二级列表 Char"/>
    <w:basedOn w:val="1"/>
    <w:semiHidden/>
    <w:qFormat/>
    <w:uiPriority w:val="98"/>
    <w:rPr>
      <w:rFonts w:ascii="Calibri" w:hAnsi="Calibri"/>
    </w:rPr>
  </w:style>
  <w:style w:type="paragraph" w:customStyle="1" w:styleId="65">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character" w:customStyle="1" w:styleId="66">
    <w:name w:val="style61"/>
    <w:semiHidden/>
    <w:qFormat/>
    <w:uiPriority w:val="98"/>
  </w:style>
  <w:style w:type="character" w:customStyle="1" w:styleId="67">
    <w:name w:val="标题 1 字符"/>
    <w:basedOn w:val="32"/>
    <w:link w:val="2"/>
    <w:semiHidden/>
    <w:qFormat/>
    <w:uiPriority w:val="0"/>
    <w:rPr>
      <w:b/>
      <w:bCs/>
      <w:kern w:val="44"/>
      <w:sz w:val="44"/>
      <w:szCs w:val="44"/>
    </w:rPr>
  </w:style>
  <w:style w:type="paragraph" w:customStyle="1" w:styleId="68">
    <w:name w:val="TOC 标题1"/>
    <w:basedOn w:val="2"/>
    <w:next w:val="1"/>
    <w:semiHidden/>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69">
    <w:name w:val="标题 2 字符"/>
    <w:basedOn w:val="32"/>
    <w:link w:val="3"/>
    <w:semiHidden/>
    <w:qFormat/>
    <w:uiPriority w:val="0"/>
    <w:rPr>
      <w:rFonts w:asciiTheme="majorHAnsi" w:hAnsiTheme="majorHAnsi" w:eastAsiaTheme="majorEastAsia" w:cstheme="majorBidi"/>
      <w:b/>
      <w:bCs/>
      <w:kern w:val="2"/>
      <w:sz w:val="32"/>
      <w:szCs w:val="32"/>
    </w:rPr>
  </w:style>
  <w:style w:type="character" w:customStyle="1" w:styleId="70">
    <w:name w:val="标题 字符"/>
    <w:basedOn w:val="32"/>
    <w:link w:val="27"/>
    <w:semiHidden/>
    <w:qFormat/>
    <w:uiPriority w:val="0"/>
    <w:rPr>
      <w:rFonts w:eastAsia="黑体" w:asciiTheme="majorHAnsi" w:hAnsiTheme="majorHAnsi" w:cstheme="majorBidi"/>
      <w:b/>
      <w:bCs/>
      <w:kern w:val="2"/>
      <w:sz w:val="36"/>
      <w:szCs w:val="32"/>
    </w:rPr>
  </w:style>
  <w:style w:type="paragraph" w:customStyle="1" w:styleId="71">
    <w:name w:val="章节"/>
    <w:basedOn w:val="14"/>
    <w:qFormat/>
    <w:uiPriority w:val="0"/>
    <w:pPr>
      <w:spacing w:line="360" w:lineRule="auto"/>
      <w:jc w:val="center"/>
      <w:outlineLvl w:val="0"/>
    </w:pPr>
    <w:rPr>
      <w:rFonts w:ascii="黑体" w:eastAsia="黑体"/>
      <w:b/>
      <w:bCs/>
      <w:sz w:val="36"/>
      <w:szCs w:val="36"/>
    </w:rPr>
  </w:style>
  <w:style w:type="paragraph" w:customStyle="1" w:styleId="72">
    <w:name w:val="一级标题"/>
    <w:basedOn w:val="14"/>
    <w:qFormat/>
    <w:uiPriority w:val="1"/>
    <w:pPr>
      <w:numPr>
        <w:ilvl w:val="0"/>
        <w:numId w:val="2"/>
      </w:numPr>
      <w:spacing w:line="360" w:lineRule="auto"/>
      <w:ind w:left="420"/>
      <w:outlineLvl w:val="1"/>
    </w:pPr>
    <w:rPr>
      <w:rFonts w:ascii="黑体" w:eastAsia="黑体"/>
      <w:b/>
      <w:bCs/>
      <w:sz w:val="28"/>
    </w:rPr>
  </w:style>
  <w:style w:type="paragraph" w:customStyle="1" w:styleId="73">
    <w:name w:val="（二）级标题"/>
    <w:basedOn w:val="14"/>
    <w:qFormat/>
    <w:uiPriority w:val="2"/>
    <w:pPr>
      <w:numPr>
        <w:ilvl w:val="0"/>
        <w:numId w:val="3"/>
      </w:numPr>
      <w:spacing w:line="360" w:lineRule="auto"/>
      <w:outlineLvl w:val="2"/>
    </w:pPr>
    <w:rPr>
      <w:b/>
    </w:rPr>
  </w:style>
  <w:style w:type="paragraph" w:customStyle="1" w:styleId="74">
    <w:name w:val="3级标题"/>
    <w:basedOn w:val="14"/>
    <w:link w:val="102"/>
    <w:qFormat/>
    <w:uiPriority w:val="3"/>
    <w:pPr>
      <w:numPr>
        <w:ilvl w:val="0"/>
        <w:numId w:val="4"/>
      </w:numPr>
      <w:spacing w:line="360" w:lineRule="auto"/>
      <w:outlineLvl w:val="3"/>
    </w:pPr>
    <w:rPr>
      <w:b/>
    </w:rPr>
  </w:style>
  <w:style w:type="paragraph" w:customStyle="1" w:styleId="75">
    <w:name w:val="（4）级标题"/>
    <w:basedOn w:val="14"/>
    <w:qFormat/>
    <w:uiPriority w:val="8"/>
    <w:pPr>
      <w:numPr>
        <w:ilvl w:val="0"/>
        <w:numId w:val="5"/>
      </w:numPr>
      <w:spacing w:line="360" w:lineRule="auto"/>
      <w:outlineLvl w:val="4"/>
    </w:pPr>
  </w:style>
  <w:style w:type="paragraph" w:customStyle="1" w:styleId="76">
    <w:name w:val="标书正文"/>
    <w:basedOn w:val="14"/>
    <w:link w:val="97"/>
    <w:qFormat/>
    <w:uiPriority w:val="9"/>
    <w:pPr>
      <w:spacing w:line="360" w:lineRule="auto"/>
      <w:jc w:val="left"/>
    </w:pPr>
  </w:style>
  <w:style w:type="character" w:customStyle="1" w:styleId="77">
    <w:name w:val="标题 4 字符"/>
    <w:basedOn w:val="32"/>
    <w:link w:val="5"/>
    <w:semiHidden/>
    <w:qFormat/>
    <w:uiPriority w:val="0"/>
    <w:rPr>
      <w:rFonts w:ascii="Arial" w:hAnsi="Arial"/>
      <w:b/>
      <w:bCs/>
      <w:kern w:val="2"/>
      <w:sz w:val="21"/>
      <w:szCs w:val="28"/>
    </w:rPr>
  </w:style>
  <w:style w:type="character" w:customStyle="1" w:styleId="78">
    <w:name w:val="标题 5 字符"/>
    <w:basedOn w:val="32"/>
    <w:link w:val="6"/>
    <w:semiHidden/>
    <w:qFormat/>
    <w:uiPriority w:val="0"/>
    <w:rPr>
      <w:rFonts w:ascii="宋体" w:hAnsi="宋体"/>
      <w:bCs/>
      <w:iCs/>
      <w:color w:val="000000"/>
      <w:sz w:val="28"/>
      <w:szCs w:val="28"/>
    </w:rPr>
  </w:style>
  <w:style w:type="paragraph" w:customStyle="1" w:styleId="79">
    <w:name w:val="3"/>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80">
    <w:name w:val="case31"/>
    <w:qFormat/>
    <w:uiPriority w:val="0"/>
    <w:rPr>
      <w:rFonts w:hint="default" w:ascii="ˎ̥" w:hAnsi="ˎ̥"/>
      <w:sz w:val="21"/>
      <w:szCs w:val="21"/>
    </w:rPr>
  </w:style>
  <w:style w:type="character" w:customStyle="1" w:styleId="81">
    <w:name w:val="标题 2 Char"/>
    <w:qFormat/>
    <w:uiPriority w:val="0"/>
    <w:rPr>
      <w:rFonts w:ascii="宋体" w:hAnsi="宋体"/>
      <w:bCs/>
      <w:sz w:val="24"/>
      <w:szCs w:val="32"/>
    </w:rPr>
  </w:style>
  <w:style w:type="character" w:customStyle="1" w:styleId="82">
    <w:name w:val="标题 Char"/>
    <w:qFormat/>
    <w:uiPriority w:val="0"/>
    <w:rPr>
      <w:rFonts w:ascii="宋体" w:hAnsi="宋体" w:cs="Times New Roman"/>
      <w:b/>
      <w:bCs/>
      <w:sz w:val="24"/>
      <w:szCs w:val="32"/>
    </w:rPr>
  </w:style>
  <w:style w:type="character" w:customStyle="1" w:styleId="83">
    <w:name w:val="正文文本缩进 3 字符"/>
    <w:basedOn w:val="32"/>
    <w:link w:val="22"/>
    <w:semiHidden/>
    <w:qFormat/>
    <w:uiPriority w:val="0"/>
    <w:rPr>
      <w:rFonts w:ascii="宋体" w:hAnsi="宋体"/>
      <w:color w:val="FF0000"/>
      <w:kern w:val="2"/>
      <w:sz w:val="24"/>
      <w:szCs w:val="24"/>
    </w:rPr>
  </w:style>
  <w:style w:type="paragraph" w:customStyle="1" w:styleId="84">
    <w:name w:val="_Style 4"/>
    <w:basedOn w:val="2"/>
    <w:next w:val="1"/>
    <w:semiHidden/>
    <w:qFormat/>
    <w:uiPriority w:val="39"/>
    <w:pPr>
      <w:keepLines w:val="0"/>
      <w:widowControl/>
      <w:tabs>
        <w:tab w:val="left" w:pos="2400"/>
      </w:tabs>
      <w:spacing w:before="480" w:after="0" w:line="276" w:lineRule="auto"/>
      <w:ind w:left="2400" w:right="206" w:rightChars="98" w:hanging="720"/>
      <w:jc w:val="left"/>
      <w:outlineLvl w:val="9"/>
    </w:pPr>
    <w:rPr>
      <w:rFonts w:ascii="Cambria" w:hAnsi="Cambria"/>
      <w:color w:val="365F91"/>
      <w:kern w:val="0"/>
      <w:sz w:val="28"/>
      <w:szCs w:val="28"/>
    </w:rPr>
  </w:style>
  <w:style w:type="paragraph" w:customStyle="1" w:styleId="85">
    <w:name w:val="Char Char Char Char Char Char Char"/>
    <w:basedOn w:val="1"/>
    <w:qFormat/>
    <w:uiPriority w:val="0"/>
    <w:pPr>
      <w:widowControl/>
      <w:snapToGrid w:val="0"/>
      <w:spacing w:after="160" w:line="360" w:lineRule="auto"/>
      <w:jc w:val="left"/>
    </w:pPr>
    <w:rPr>
      <w:kern w:val="0"/>
      <w:sz w:val="24"/>
      <w:szCs w:val="24"/>
      <w:lang w:eastAsia="en-US"/>
    </w:rPr>
  </w:style>
  <w:style w:type="character" w:customStyle="1" w:styleId="86">
    <w:name w:val="正文文本缩进 2 字符"/>
    <w:basedOn w:val="32"/>
    <w:link w:val="16"/>
    <w:semiHidden/>
    <w:qFormat/>
    <w:uiPriority w:val="0"/>
    <w:rPr>
      <w:sz w:val="24"/>
    </w:rPr>
  </w:style>
  <w:style w:type="character" w:customStyle="1" w:styleId="87">
    <w:name w:val="日期 字符"/>
    <w:basedOn w:val="32"/>
    <w:link w:val="15"/>
    <w:semiHidden/>
    <w:qFormat/>
    <w:uiPriority w:val="0"/>
    <w:rPr>
      <w:sz w:val="24"/>
    </w:rPr>
  </w:style>
  <w:style w:type="paragraph" w:customStyle="1" w:styleId="88">
    <w:name w:val="Char1 Char Char Char Char Char Char"/>
    <w:basedOn w:val="1"/>
    <w:qFormat/>
    <w:uiPriority w:val="0"/>
    <w:rPr>
      <w:rFonts w:ascii="Tahoma" w:hAnsi="Tahoma"/>
      <w:sz w:val="24"/>
    </w:rPr>
  </w:style>
  <w:style w:type="paragraph" w:customStyle="1" w:styleId="89">
    <w:name w:val="样式1"/>
    <w:basedOn w:val="1"/>
    <w:qFormat/>
    <w:uiPriority w:val="0"/>
    <w:pPr>
      <w:adjustRightInd w:val="0"/>
      <w:spacing w:line="420" w:lineRule="auto"/>
      <w:jc w:val="center"/>
      <w:textAlignment w:val="baseline"/>
    </w:pPr>
    <w:rPr>
      <w:rFonts w:ascii="宋体"/>
      <w:kern w:val="0"/>
      <w:sz w:val="24"/>
    </w:rPr>
  </w:style>
  <w:style w:type="paragraph" w:customStyle="1" w:styleId="90">
    <w:name w:val="case3"/>
    <w:basedOn w:val="1"/>
    <w:qFormat/>
    <w:uiPriority w:val="0"/>
    <w:pPr>
      <w:widowControl/>
      <w:spacing w:before="100" w:beforeAutospacing="1" w:after="100" w:afterAutospacing="1" w:line="390" w:lineRule="atLeast"/>
      <w:jc w:val="left"/>
    </w:pPr>
    <w:rPr>
      <w:rFonts w:ascii="ˎ̥" w:hAnsi="ˎ̥" w:cs="宋体"/>
      <w:color w:val="000000"/>
      <w:kern w:val="0"/>
      <w:szCs w:val="21"/>
    </w:rPr>
  </w:style>
  <w:style w:type="paragraph" w:customStyle="1" w:styleId="91">
    <w:name w:val="general normal"/>
    <w:basedOn w:val="1"/>
    <w:qFormat/>
    <w:uiPriority w:val="0"/>
    <w:pPr>
      <w:widowControl/>
      <w:numPr>
        <w:ilvl w:val="0"/>
        <w:numId w:val="6"/>
      </w:numPr>
      <w:spacing w:before="120" w:after="120" w:line="360" w:lineRule="auto"/>
    </w:pPr>
    <w:rPr>
      <w:rFonts w:ascii="Arial" w:hAnsi="Arial"/>
      <w:kern w:val="0"/>
      <w:sz w:val="24"/>
      <w:szCs w:val="24"/>
    </w:rPr>
  </w:style>
  <w:style w:type="character" w:customStyle="1" w:styleId="92">
    <w:name w:val="文档结构图 字符"/>
    <w:basedOn w:val="32"/>
    <w:semiHidden/>
    <w:qFormat/>
    <w:uiPriority w:val="98"/>
    <w:rPr>
      <w:rFonts w:ascii="Microsoft YaHei UI" w:eastAsia="Microsoft YaHei UI"/>
      <w:kern w:val="2"/>
      <w:sz w:val="18"/>
      <w:szCs w:val="18"/>
    </w:rPr>
  </w:style>
  <w:style w:type="character" w:customStyle="1" w:styleId="93">
    <w:name w:val="文档结构图 字符1"/>
    <w:basedOn w:val="32"/>
    <w:link w:val="9"/>
    <w:semiHidden/>
    <w:qFormat/>
    <w:uiPriority w:val="0"/>
    <w:rPr>
      <w:rFonts w:ascii="宋体"/>
      <w:sz w:val="18"/>
      <w:szCs w:val="18"/>
    </w:rPr>
  </w:style>
  <w:style w:type="paragraph" w:customStyle="1" w:styleId="94">
    <w:name w:val="表格"/>
    <w:basedOn w:val="1"/>
    <w:link w:val="95"/>
    <w:qFormat/>
    <w:uiPriority w:val="10"/>
    <w:rPr>
      <w:rFonts w:ascii="宋体" w:hAnsi="宋体"/>
      <w:szCs w:val="30"/>
    </w:rPr>
  </w:style>
  <w:style w:type="character" w:customStyle="1" w:styleId="95">
    <w:name w:val="表格 字符"/>
    <w:basedOn w:val="32"/>
    <w:link w:val="94"/>
    <w:qFormat/>
    <w:uiPriority w:val="10"/>
    <w:rPr>
      <w:rFonts w:ascii="宋体" w:hAnsi="宋体"/>
      <w:kern w:val="2"/>
      <w:sz w:val="21"/>
      <w:szCs w:val="30"/>
    </w:rPr>
  </w:style>
  <w:style w:type="paragraph" w:customStyle="1" w:styleId="96">
    <w:name w:val="5）级标题"/>
    <w:basedOn w:val="76"/>
    <w:link w:val="98"/>
    <w:qFormat/>
    <w:uiPriority w:val="11"/>
    <w:pPr>
      <w:numPr>
        <w:ilvl w:val="0"/>
        <w:numId w:val="7"/>
      </w:numPr>
      <w:ind w:firstLine="0"/>
    </w:pPr>
  </w:style>
  <w:style w:type="character" w:customStyle="1" w:styleId="97">
    <w:name w:val="标书正文 字符"/>
    <w:basedOn w:val="50"/>
    <w:link w:val="76"/>
    <w:qFormat/>
    <w:uiPriority w:val="9"/>
    <w:rPr>
      <w:rFonts w:ascii="宋体" w:hAnsi="Courier New"/>
      <w:kern w:val="2"/>
      <w:sz w:val="21"/>
    </w:rPr>
  </w:style>
  <w:style w:type="character" w:customStyle="1" w:styleId="98">
    <w:name w:val="5）级标题 字符"/>
    <w:basedOn w:val="97"/>
    <w:link w:val="96"/>
    <w:qFormat/>
    <w:uiPriority w:val="11"/>
    <w:rPr>
      <w:rFonts w:ascii="宋体" w:hAnsi="Courier New"/>
      <w:kern w:val="2"/>
      <w:sz w:val="21"/>
    </w:rPr>
  </w:style>
  <w:style w:type="paragraph" w:customStyle="1" w:styleId="99">
    <w:name w:val="样式 标题 4 + 段前: 5 磅 段后: 5 磅 行距: 单倍行距"/>
    <w:next w:val="23"/>
    <w:qFormat/>
    <w:uiPriority w:val="0"/>
    <w:pPr>
      <w:keepNext/>
      <w:keepLines/>
      <w:widowControl w:val="0"/>
      <w:tabs>
        <w:tab w:val="left" w:pos="780"/>
        <w:tab w:val="left" w:pos="1680"/>
      </w:tabs>
      <w:adjustRightInd w:val="0"/>
      <w:spacing w:before="100" w:after="100" w:line="372" w:lineRule="auto"/>
      <w:ind w:left="400" w:leftChars="200" w:hanging="200" w:hangingChars="200"/>
      <w:outlineLvl w:val="3"/>
    </w:pPr>
    <w:rPr>
      <w:rFonts w:ascii="Arial" w:hAnsi="Arial" w:eastAsia="黑体" w:cs="Times New Roman"/>
      <w:b/>
      <w:sz w:val="28"/>
      <w:lang w:val="en-US" w:eastAsia="zh-CN" w:bidi="ar-SA"/>
    </w:rPr>
  </w:style>
  <w:style w:type="character" w:customStyle="1" w:styleId="100">
    <w:name w:val="Subtle Emphasis"/>
    <w:basedOn w:val="32"/>
    <w:qFormat/>
    <w:uiPriority w:val="19"/>
    <w:rPr>
      <w:rFonts w:eastAsia="宋体"/>
      <w:i/>
      <w:iCs/>
      <w:color w:val="auto"/>
      <w:sz w:val="21"/>
    </w:rPr>
  </w:style>
  <w:style w:type="paragraph" w:customStyle="1" w:styleId="101">
    <w:name w:val="⑥级标题"/>
    <w:basedOn w:val="74"/>
    <w:link w:val="103"/>
    <w:qFormat/>
    <w:uiPriority w:val="12"/>
    <w:pPr>
      <w:numPr>
        <w:numId w:val="8"/>
      </w:numPr>
    </w:pPr>
  </w:style>
  <w:style w:type="character" w:customStyle="1" w:styleId="102">
    <w:name w:val="3级标题 字符"/>
    <w:basedOn w:val="50"/>
    <w:link w:val="74"/>
    <w:qFormat/>
    <w:uiPriority w:val="3"/>
    <w:rPr>
      <w:rFonts w:ascii="宋体" w:hAnsi="Courier New"/>
      <w:b/>
      <w:kern w:val="2"/>
      <w:sz w:val="21"/>
    </w:rPr>
  </w:style>
  <w:style w:type="character" w:customStyle="1" w:styleId="103">
    <w:name w:val="⑥级标题 字符"/>
    <w:basedOn w:val="102"/>
    <w:link w:val="101"/>
    <w:qFormat/>
    <w:uiPriority w:val="12"/>
    <w:rPr>
      <w:rFonts w:ascii="宋体" w:hAnsi="Courier New"/>
      <w:kern w:val="2"/>
      <w:sz w:val="21"/>
    </w:rPr>
  </w:style>
  <w:style w:type="character" w:customStyle="1" w:styleId="104">
    <w:name w:val="电子邮件签名 字符"/>
    <w:link w:val="7"/>
    <w:semiHidden/>
    <w:qFormat/>
    <w:locked/>
    <w:uiPriority w:val="99"/>
    <w:rPr>
      <w:sz w:val="21"/>
      <w:szCs w:val="21"/>
    </w:rPr>
  </w:style>
  <w:style w:type="character" w:customStyle="1" w:styleId="105">
    <w:name w:val="电子邮件签名 字符1"/>
    <w:basedOn w:val="32"/>
    <w:semiHidden/>
    <w:qFormat/>
    <w:uiPriority w:val="98"/>
    <w:rPr>
      <w:rFonts w:ascii="Times New Roman" w:hAnsi="Times New Roman"/>
      <w:kern w:val="2"/>
      <w:sz w:val="21"/>
    </w:rPr>
  </w:style>
  <w:style w:type="character" w:customStyle="1" w:styleId="106">
    <w:name w:val="HR正文 Char"/>
    <w:link w:val="107"/>
    <w:qFormat/>
    <w:uiPriority w:val="0"/>
    <w:rPr>
      <w:kern w:val="2"/>
      <w:sz w:val="24"/>
      <w:szCs w:val="24"/>
    </w:rPr>
  </w:style>
  <w:style w:type="paragraph" w:customStyle="1" w:styleId="107">
    <w:name w:val="HR正文"/>
    <w:basedOn w:val="1"/>
    <w:link w:val="106"/>
    <w:qFormat/>
    <w:uiPriority w:val="0"/>
    <w:pPr>
      <w:spacing w:line="300" w:lineRule="auto"/>
      <w:ind w:firstLine="200" w:firstLineChars="200"/>
    </w:pPr>
    <w:rPr>
      <w:rFonts w:ascii="Calibri" w:hAnsi="Calibri"/>
      <w:sz w:val="24"/>
      <w:szCs w:val="24"/>
    </w:rPr>
  </w:style>
  <w:style w:type="character" w:customStyle="1" w:styleId="108">
    <w:name w:val="信息标题 字符"/>
    <w:link w:val="25"/>
    <w:semiHidden/>
    <w:qFormat/>
    <w:locked/>
    <w:uiPriority w:val="99"/>
    <w:rPr>
      <w:rFonts w:ascii="Cambria" w:hAnsi="Cambria" w:cs="Cambria"/>
      <w:sz w:val="24"/>
      <w:szCs w:val="24"/>
      <w:shd w:val="pct20" w:color="auto" w:fill="auto"/>
    </w:rPr>
  </w:style>
  <w:style w:type="character" w:customStyle="1" w:styleId="109">
    <w:name w:val="信息标题 字符1"/>
    <w:basedOn w:val="32"/>
    <w:semiHidden/>
    <w:qFormat/>
    <w:uiPriority w:val="98"/>
    <w:rPr>
      <w:rFonts w:asciiTheme="majorHAnsi" w:hAnsiTheme="majorHAnsi" w:eastAsiaTheme="majorEastAsia" w:cstheme="majorBidi"/>
      <w:kern w:val="2"/>
      <w:sz w:val="24"/>
      <w:szCs w:val="24"/>
      <w:shd w:val="pct20" w:color="auto" w:fill="auto"/>
    </w:rPr>
  </w:style>
  <w:style w:type="character" w:customStyle="1" w:styleId="110">
    <w:name w:val="页眉 Char1"/>
    <w:semiHidden/>
    <w:qFormat/>
    <w:locked/>
    <w:uiPriority w:val="0"/>
    <w:rPr>
      <w:rFonts w:ascii="Calibri" w:hAnsi="Calibri"/>
      <w:sz w:val="18"/>
      <w:szCs w:val="18"/>
    </w:rPr>
  </w:style>
  <w:style w:type="paragraph" w:customStyle="1" w:styleId="111">
    <w:name w:val="标书表格"/>
    <w:basedOn w:val="1"/>
    <w:qFormat/>
    <w:uiPriority w:val="0"/>
    <w:pPr>
      <w:spacing w:after="0" w:line="240" w:lineRule="auto"/>
      <w:jc w:val="center"/>
    </w:pPr>
    <w:rPr>
      <w:rFonts w:ascii="Times New Roman" w:hAnsi="Times New Roman" w:eastAsia="宋体" w:cs="Times New Roman"/>
      <w:b/>
      <w:sz w:val="21"/>
      <w:szCs w:val="20"/>
      <w14:ligatures w14: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6" Type="http://schemas.openxmlformats.org/officeDocument/2006/relationships/fontTable" Target="fontTable.xml"/><Relationship Id="rId25" Type="http://schemas.openxmlformats.org/officeDocument/2006/relationships/customXml" Target="../customXml/item1.xml"/><Relationship Id="rId24" Type="http://schemas.openxmlformats.org/officeDocument/2006/relationships/numbering" Target="numbering.xml"/><Relationship Id="rId23" Type="http://schemas.openxmlformats.org/officeDocument/2006/relationships/image" Target="media/image13.png"/><Relationship Id="rId22" Type="http://schemas.openxmlformats.org/officeDocument/2006/relationships/image" Target="media/image12.png"/><Relationship Id="rId21" Type="http://schemas.openxmlformats.org/officeDocument/2006/relationships/image" Target="media/image11.png"/><Relationship Id="rId20" Type="http://schemas.openxmlformats.org/officeDocument/2006/relationships/image" Target="media/image10.png"/><Relationship Id="rId2" Type="http://schemas.openxmlformats.org/officeDocument/2006/relationships/settings" Target="settings.xml"/><Relationship Id="rId19" Type="http://schemas.openxmlformats.org/officeDocument/2006/relationships/image" Target="media/image9.png"/><Relationship Id="rId18" Type="http://schemas.openxmlformats.org/officeDocument/2006/relationships/image" Target="media/image8.png"/><Relationship Id="rId17" Type="http://schemas.openxmlformats.org/officeDocument/2006/relationships/image" Target="media/image7.png"/><Relationship Id="rId16" Type="http://schemas.openxmlformats.org/officeDocument/2006/relationships/image" Target="media/image6.png"/><Relationship Id="rId15" Type="http://schemas.openxmlformats.org/officeDocument/2006/relationships/image" Target="media/image5.png"/><Relationship Id="rId14" Type="http://schemas.openxmlformats.org/officeDocument/2006/relationships/image" Target="media/image4.png"/><Relationship Id="rId13" Type="http://schemas.openxmlformats.org/officeDocument/2006/relationships/image" Target="media/image3.png"/><Relationship Id="rId12" Type="http://schemas.openxmlformats.org/officeDocument/2006/relationships/image" Target="media/image2.png"/><Relationship Id="rId11" Type="http://schemas.openxmlformats.org/officeDocument/2006/relationships/image" Target="media/image1.jpe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DF9C98-D277-4712-ADC3-6032391F0299}">
  <ds:schemaRefs/>
</ds:datastoreItem>
</file>

<file path=docProps/app.xml><?xml version="1.0" encoding="utf-8"?>
<Properties xmlns="http://schemas.openxmlformats.org/officeDocument/2006/extended-properties" xmlns:vt="http://schemas.openxmlformats.org/officeDocument/2006/docPropsVTypes">
  <Template>Normal.dotm</Template>
  <Company>Hewlett-Packard Company</Company>
  <Pages>29</Pages>
  <Words>4866</Words>
  <Characters>5217</Characters>
  <Lines>127</Lines>
  <Paragraphs>35</Paragraphs>
  <TotalTime>0</TotalTime>
  <ScaleCrop>false</ScaleCrop>
  <LinksUpToDate>false</LinksUpToDate>
  <CharactersWithSpaces>5270</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2020-06-30T00:26:00Z</dcterms:created>
  <dc:creator>微软用户</dc:creator>
  <cp:lastModifiedBy>Q</cp:lastModifiedBy>
  <cp:lastPrinted>2020-06-28T02:28:00Z</cp:lastPrinted>
  <dcterms:modified xsi:type="dcterms:W3CDTF">2026-03-14T02:35:55Z</dcterms:modified>
  <cp:revision>171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FFD0273F10D94E05BD889CF139A492AF_13</vt:lpwstr>
  </property>
  <property fmtid="{D5CDD505-2E9C-101B-9397-08002B2CF9AE}" pid="4" name="KSOTemplateDocerSaveRecord">
    <vt:lpwstr>eyJoZGlkIjoiYjUxOTgxNmY0OWQyMjliYzYxZWRhNDM3MWI5MzIwZjciLCJ1c2VySWQiOiI5OTU1OTgwNTEifQ==</vt:lpwstr>
  </property>
</Properties>
</file>