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219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hAnsi="宋体"/>
          <w:b w:val="0"/>
          <w:bCs w:val="0"/>
          <w:color w:val="000000"/>
          <w:spacing w:val="-8"/>
          <w:sz w:val="48"/>
          <w:szCs w:val="44"/>
          <w:highlight w:val="none"/>
        </w:rPr>
      </w:pPr>
    </w:p>
    <w:p w14:paraId="4D449A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000000"/>
          <w:spacing w:val="-8"/>
          <w:sz w:val="48"/>
          <w:szCs w:val="44"/>
          <w:highlight w:val="none"/>
        </w:rPr>
      </w:pPr>
    </w:p>
    <w:p w14:paraId="21F5AD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000000"/>
          <w:spacing w:val="-8"/>
          <w:sz w:val="48"/>
          <w:szCs w:val="44"/>
          <w:highlight w:val="none"/>
        </w:rPr>
      </w:pPr>
    </w:p>
    <w:p w14:paraId="31A312DA">
      <w:pPr>
        <w:snapToGrid w:val="0"/>
        <w:spacing w:before="398" w:line="360" w:lineRule="auto"/>
        <w:jc w:val="center"/>
        <w:rPr>
          <w:rFonts w:hint="eastAsia" w:ascii="宋体" w:hAnsi="宋体" w:eastAsia="宋体" w:cs="Times New Roman"/>
          <w:b/>
          <w:sz w:val="48"/>
          <w:szCs w:val="48"/>
          <w:lang w:val="en-US" w:eastAsia="zh-CN"/>
        </w:rPr>
      </w:pPr>
      <w:r>
        <w:rPr>
          <w:rFonts w:hint="eastAsia" w:ascii="宋体" w:hAnsi="宋体" w:eastAsia="宋体" w:cs="Times New Roman"/>
          <w:b/>
          <w:sz w:val="48"/>
          <w:szCs w:val="48"/>
          <w:lang w:val="en-US" w:eastAsia="zh-CN"/>
        </w:rPr>
        <w:t>中国重汽集团济南动力有限公司</w:t>
      </w:r>
    </w:p>
    <w:p w14:paraId="434FB99B">
      <w:pPr>
        <w:snapToGrid w:val="0"/>
        <w:spacing w:before="398" w:line="360" w:lineRule="auto"/>
        <w:jc w:val="center"/>
        <w:rPr>
          <w:rFonts w:hint="eastAsia" w:ascii="宋体" w:hAnsi="宋体" w:eastAsia="宋体" w:cs="Times New Roman"/>
          <w:b/>
          <w:sz w:val="48"/>
          <w:szCs w:val="48"/>
          <w:lang w:val="en-US" w:eastAsia="zh-CN"/>
        </w:rPr>
      </w:pPr>
      <w:r>
        <w:rPr>
          <w:rFonts w:hint="eastAsia" w:ascii="宋体" w:hAnsi="宋体" w:eastAsia="宋体" w:cs="Times New Roman"/>
          <w:b/>
          <w:sz w:val="48"/>
          <w:szCs w:val="48"/>
          <w:lang w:val="en-US" w:eastAsia="zh-CN"/>
        </w:rPr>
        <w:t>道路划线项目</w:t>
      </w:r>
    </w:p>
    <w:p w14:paraId="63C9D516">
      <w:pPr>
        <w:spacing w:before="398"/>
        <w:jc w:val="center"/>
        <w:rPr>
          <w:rFonts w:hint="eastAsia" w:ascii="宋体" w:hAnsi="宋体" w:eastAsia="宋体" w:cs="Times New Roman"/>
          <w:b/>
          <w:sz w:val="48"/>
          <w:szCs w:val="48"/>
          <w:lang w:val="en-US" w:eastAsia="zh-CN"/>
        </w:rPr>
      </w:pPr>
      <w:r>
        <w:rPr>
          <w:rFonts w:hint="eastAsia" w:ascii="宋体" w:hAnsi="宋体" w:eastAsia="宋体" w:cs="Times New Roman"/>
          <w:b/>
          <w:sz w:val="48"/>
          <w:szCs w:val="48"/>
          <w:lang w:val="en-US" w:eastAsia="zh-CN"/>
        </w:rPr>
        <w:t>招标文件</w:t>
      </w:r>
      <w:r>
        <w:rPr>
          <w:rFonts w:hint="eastAsia" w:ascii="宋体" w:hAnsi="宋体" w:cs="Times New Roman"/>
          <w:b/>
          <w:sz w:val="48"/>
          <w:szCs w:val="48"/>
          <w:lang w:val="en-US" w:eastAsia="zh-CN"/>
        </w:rPr>
        <w:t>（二次公告）</w:t>
      </w:r>
      <w:bookmarkStart w:id="60" w:name="_GoBack"/>
      <w:bookmarkEnd w:id="60"/>
    </w:p>
    <w:p w14:paraId="58D35629">
      <w:pPr>
        <w:spacing w:before="398"/>
        <w:jc w:val="center"/>
        <w:rPr>
          <w:rFonts w:hint="eastAsia" w:ascii="宋体" w:hAnsi="宋体" w:eastAsia="宋体" w:cs="Times New Roman"/>
          <w:b/>
          <w:sz w:val="48"/>
          <w:szCs w:val="48"/>
          <w:lang w:val="en-US" w:eastAsia="zh-CN"/>
        </w:rPr>
      </w:pPr>
    </w:p>
    <w:p w14:paraId="1AB68865">
      <w:pPr>
        <w:spacing w:before="398"/>
        <w:jc w:val="center"/>
        <w:rPr>
          <w:rFonts w:hint="eastAsia" w:ascii="宋体" w:hAnsi="宋体" w:eastAsia="宋体" w:cs="Times New Roman"/>
          <w:b/>
          <w:sz w:val="48"/>
          <w:szCs w:val="48"/>
          <w:lang w:val="en-US" w:eastAsia="zh-CN"/>
        </w:rPr>
      </w:pPr>
    </w:p>
    <w:p w14:paraId="390EC78D">
      <w:pPr>
        <w:spacing w:before="398"/>
        <w:jc w:val="center"/>
        <w:rPr>
          <w:rFonts w:hint="eastAsia" w:ascii="宋体" w:hAnsi="宋体" w:eastAsia="宋体" w:cs="Times New Roman"/>
          <w:b/>
          <w:sz w:val="48"/>
          <w:szCs w:val="48"/>
          <w:lang w:val="en-US" w:eastAsia="zh-CN"/>
        </w:rPr>
      </w:pPr>
    </w:p>
    <w:p w14:paraId="0B4ECA74">
      <w:pPr>
        <w:spacing w:before="398"/>
        <w:jc w:val="center"/>
        <w:rPr>
          <w:rFonts w:hint="eastAsia" w:ascii="宋体" w:hAnsi="宋体" w:eastAsia="宋体" w:cs="Times New Roman"/>
          <w:b/>
          <w:sz w:val="48"/>
          <w:szCs w:val="48"/>
          <w:lang w:val="en-US" w:eastAsia="zh-CN"/>
        </w:rPr>
      </w:pPr>
    </w:p>
    <w:p w14:paraId="45BA4D1B">
      <w:pPr>
        <w:spacing w:before="398"/>
        <w:jc w:val="center"/>
        <w:rPr>
          <w:rFonts w:hint="eastAsia" w:ascii="宋体" w:hAnsi="宋体" w:eastAsia="宋体" w:cs="Times New Roman"/>
          <w:b/>
          <w:sz w:val="48"/>
          <w:szCs w:val="48"/>
          <w:lang w:val="en-US" w:eastAsia="zh-CN"/>
        </w:rPr>
      </w:pPr>
    </w:p>
    <w:p w14:paraId="15A9DBF4">
      <w:pPr>
        <w:spacing w:before="398"/>
        <w:jc w:val="center"/>
        <w:rPr>
          <w:rFonts w:hint="eastAsia" w:ascii="宋体" w:hAnsi="宋体" w:eastAsia="宋体" w:cs="Times New Roman"/>
          <w:b/>
          <w:sz w:val="48"/>
          <w:szCs w:val="48"/>
          <w:lang w:val="en-US" w:eastAsia="zh-CN"/>
        </w:rPr>
      </w:pPr>
    </w:p>
    <w:p w14:paraId="40DFD3A9">
      <w:pPr>
        <w:ind w:firstLine="2030" w:firstLineChars="725"/>
        <w:rPr>
          <w:rFonts w:ascii="黑体" w:eastAsia="黑体"/>
          <w:color w:val="000000"/>
          <w:sz w:val="28"/>
        </w:rPr>
      </w:pPr>
      <w:r>
        <w:rPr>
          <w:rFonts w:hint="eastAsia" w:ascii="黑体" w:eastAsia="黑体"/>
          <w:color w:val="000000"/>
          <w:sz w:val="28"/>
        </w:rPr>
        <w:t>招标人：中国重汽集团济南动力有限公司</w:t>
      </w:r>
    </w:p>
    <w:p w14:paraId="644F3373">
      <w:pPr>
        <w:jc w:val="center"/>
        <w:rPr>
          <w:rFonts w:hint="eastAsia" w:ascii="黑体" w:eastAsia="黑体"/>
          <w:color w:val="000000"/>
          <w:sz w:val="28"/>
        </w:rPr>
      </w:pPr>
      <w:r>
        <w:rPr>
          <w:rFonts w:hint="eastAsia" w:ascii="黑体" w:eastAsia="黑体"/>
          <w:color w:val="000000"/>
          <w:sz w:val="28"/>
        </w:rPr>
        <w:t>202</w:t>
      </w:r>
      <w:r>
        <w:rPr>
          <w:rFonts w:hint="eastAsia" w:ascii="黑体" w:eastAsia="黑体"/>
          <w:color w:val="000000"/>
          <w:sz w:val="28"/>
          <w:lang w:val="en-US" w:eastAsia="zh-CN"/>
        </w:rPr>
        <w:t>6</w:t>
      </w:r>
      <w:r>
        <w:rPr>
          <w:rFonts w:hint="eastAsia" w:ascii="黑体" w:eastAsia="黑体"/>
          <w:color w:val="000000"/>
          <w:sz w:val="28"/>
        </w:rPr>
        <w:t>年</w:t>
      </w:r>
      <w:r>
        <w:rPr>
          <w:rFonts w:hint="eastAsia" w:ascii="黑体" w:eastAsia="黑体"/>
          <w:color w:val="000000"/>
          <w:sz w:val="28"/>
          <w:u w:val="single"/>
          <w:lang w:val="en-US" w:eastAsia="zh-CN"/>
        </w:rPr>
        <w:t>3</w:t>
      </w:r>
      <w:r>
        <w:rPr>
          <w:rFonts w:hint="eastAsia" w:ascii="黑体" w:eastAsia="黑体"/>
          <w:color w:val="000000"/>
          <w:sz w:val="28"/>
        </w:rPr>
        <w:t>月</w:t>
      </w:r>
    </w:p>
    <w:p w14:paraId="08FCB032">
      <w:pPr>
        <w:pStyle w:val="14"/>
        <w:spacing w:line="360" w:lineRule="auto"/>
        <w:jc w:val="center"/>
        <w:rPr>
          <w:color w:val="000000"/>
          <w:highlight w:val="none"/>
        </w:rPr>
      </w:pPr>
    </w:p>
    <w:p w14:paraId="3815B0DE">
      <w:pPr>
        <w:pStyle w:val="14"/>
        <w:spacing w:line="360" w:lineRule="auto"/>
        <w:jc w:val="center"/>
        <w:rPr>
          <w:color w:val="000000"/>
          <w:highlight w:val="none"/>
        </w:rPr>
      </w:pPr>
    </w:p>
    <w:p w14:paraId="3D81A2D1">
      <w:pPr>
        <w:pStyle w:val="14"/>
        <w:spacing w:line="360" w:lineRule="auto"/>
        <w:jc w:val="center"/>
        <w:rPr>
          <w:rFonts w:hint="eastAsia" w:hAnsi="宋体" w:cs="宋体"/>
          <w:b/>
          <w:bCs/>
          <w:color w:val="000000"/>
          <w:sz w:val="36"/>
          <w:szCs w:val="36"/>
          <w:highlight w:val="none"/>
        </w:rPr>
      </w:pPr>
    </w:p>
    <w:p w14:paraId="544138C5">
      <w:pPr>
        <w:pStyle w:val="14"/>
        <w:spacing w:line="360" w:lineRule="auto"/>
        <w:jc w:val="center"/>
        <w:rPr>
          <w:rFonts w:hint="eastAsia" w:hAnsi="宋体" w:cs="宋体"/>
          <w:b/>
          <w:bCs/>
          <w:color w:val="000000"/>
          <w:sz w:val="36"/>
          <w:szCs w:val="36"/>
          <w:highlight w:val="none"/>
        </w:rPr>
        <w:sectPr>
          <w:footerReference r:id="rId4" w:type="first"/>
          <w:headerReference r:id="rId3" w:type="default"/>
          <w:pgSz w:w="11907" w:h="16840"/>
          <w:pgMar w:top="1213" w:right="1134" w:bottom="907" w:left="1134" w:header="794" w:footer="907" w:gutter="0"/>
          <w:pgNumType w:start="1"/>
          <w:cols w:space="720" w:num="1"/>
        </w:sectPr>
      </w:pPr>
    </w:p>
    <w:p w14:paraId="0DF324C6">
      <w:pPr>
        <w:pStyle w:val="14"/>
        <w:spacing w:line="360" w:lineRule="auto"/>
        <w:jc w:val="center"/>
        <w:rPr>
          <w:rFonts w:ascii="黑体" w:eastAsia="黑体"/>
          <w:b/>
          <w:bCs/>
          <w:color w:val="000000"/>
          <w:sz w:val="36"/>
          <w:szCs w:val="36"/>
          <w:highlight w:val="none"/>
        </w:rPr>
      </w:pPr>
      <w:r>
        <w:rPr>
          <w:rFonts w:hint="eastAsia" w:hAnsi="宋体" w:cs="宋体"/>
          <w:b/>
          <w:bCs/>
          <w:color w:val="000000"/>
          <w:sz w:val="36"/>
          <w:szCs w:val="36"/>
          <w:highlight w:val="none"/>
        </w:rPr>
        <w:t>第一部分  招标公告</w:t>
      </w:r>
    </w:p>
    <w:p w14:paraId="40D15ECA">
      <w:pPr>
        <w:pStyle w:val="14"/>
        <w:spacing w:line="360" w:lineRule="auto"/>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一、项目名称</w:t>
      </w:r>
    </w:p>
    <w:p w14:paraId="0E42D9AE">
      <w:pPr>
        <w:pStyle w:val="14"/>
        <w:spacing w:line="360" w:lineRule="auto"/>
        <w:ind w:firstLine="480" w:firstLineChars="200"/>
        <w:rPr>
          <w:rFonts w:hint="eastAsia" w:cs="仿宋" w:asciiTheme="minorEastAsia" w:hAnsiTheme="minorEastAsia" w:eastAsiaTheme="minorEastAsia"/>
          <w:sz w:val="24"/>
          <w:szCs w:val="24"/>
          <w:highlight w:val="none"/>
          <w:lang w:eastAsia="zh-CN"/>
        </w:rPr>
      </w:pPr>
      <w:r>
        <w:rPr>
          <w:rFonts w:hint="eastAsia" w:cs="仿宋" w:asciiTheme="minorEastAsia" w:hAnsiTheme="minorEastAsia" w:eastAsiaTheme="minorEastAsia"/>
          <w:sz w:val="24"/>
          <w:szCs w:val="24"/>
          <w:highlight w:val="none"/>
        </w:rPr>
        <w:t>项目名称：</w:t>
      </w:r>
      <w:bookmarkStart w:id="0" w:name="OLE_LINK1"/>
      <w:r>
        <w:rPr>
          <w:rFonts w:hint="eastAsia" w:cs="仿宋" w:asciiTheme="minorEastAsia" w:hAnsiTheme="minorEastAsia" w:eastAsiaTheme="minorEastAsia"/>
          <w:sz w:val="24"/>
          <w:szCs w:val="24"/>
          <w:highlight w:val="none"/>
          <w:lang w:val="en-US" w:eastAsia="zh-CN"/>
        </w:rPr>
        <w:t>中国重汽集团道路划线项目</w:t>
      </w:r>
    </w:p>
    <w:bookmarkEnd w:id="0"/>
    <w:p w14:paraId="545D6060">
      <w:pPr>
        <w:pStyle w:val="14"/>
        <w:spacing w:line="360" w:lineRule="auto"/>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二、招标内容</w:t>
      </w:r>
    </w:p>
    <w:p w14:paraId="5F5D9440">
      <w:pPr>
        <w:pStyle w:val="14"/>
        <w:spacing w:line="360" w:lineRule="auto"/>
        <w:ind w:firstLine="480" w:firstLineChars="200"/>
        <w:rPr>
          <w:rFonts w:hint="eastAsia" w:cs="Times New Roman" w:asciiTheme="minorEastAsia" w:hAnsiTheme="minorEastAsia" w:eastAsiaTheme="minorEastAsia"/>
          <w:color w:val="000000"/>
          <w:kern w:val="2"/>
          <w:sz w:val="24"/>
          <w:szCs w:val="24"/>
          <w:highlight w:val="none"/>
          <w:lang w:val="en-US" w:eastAsia="zh-CN" w:bidi="ar-SA"/>
        </w:rPr>
      </w:pPr>
      <w:r>
        <w:rPr>
          <w:rFonts w:hint="eastAsia" w:cs="Times New Roman" w:asciiTheme="minorEastAsia" w:hAnsiTheme="minorEastAsia" w:eastAsiaTheme="minorEastAsia"/>
          <w:color w:val="000000"/>
          <w:kern w:val="2"/>
          <w:sz w:val="24"/>
          <w:szCs w:val="24"/>
          <w:highlight w:val="none"/>
          <w:lang w:val="en-US" w:eastAsia="zh-CN" w:bidi="ar-SA"/>
        </w:rPr>
        <w:t>1、</w:t>
      </w:r>
      <w:r>
        <w:rPr>
          <w:rFonts w:hint="eastAsia" w:cs="仿宋" w:asciiTheme="minorEastAsia" w:hAnsiTheme="minorEastAsia" w:eastAsiaTheme="minorEastAsia"/>
          <w:sz w:val="24"/>
          <w:szCs w:val="24"/>
          <w:highlight w:val="none"/>
          <w:lang w:val="en-US" w:eastAsia="zh-CN"/>
        </w:rPr>
        <w:t>中国重汽集团道路划线项目</w:t>
      </w:r>
      <w:r>
        <w:rPr>
          <w:rFonts w:hint="eastAsia" w:cs="Times New Roman" w:asciiTheme="minorEastAsia" w:hAnsiTheme="minorEastAsia" w:eastAsiaTheme="minorEastAsia"/>
          <w:color w:val="000000"/>
          <w:kern w:val="2"/>
          <w:sz w:val="24"/>
          <w:szCs w:val="24"/>
          <w:highlight w:val="none"/>
          <w:lang w:val="en-US" w:eastAsia="zh-CN" w:bidi="ar-SA"/>
        </w:rPr>
        <w:t>。</w:t>
      </w:r>
    </w:p>
    <w:p w14:paraId="0C4E70E7">
      <w:pPr>
        <w:pStyle w:val="14"/>
        <w:spacing w:line="360" w:lineRule="auto"/>
        <w:ind w:firstLine="480" w:firstLineChars="200"/>
        <w:rPr>
          <w:rFonts w:hint="eastAsia" w:cs="Times New Roman" w:asciiTheme="minorEastAsia" w:hAnsiTheme="minorEastAsia" w:eastAsiaTheme="minorEastAsia"/>
          <w:color w:val="000000"/>
          <w:kern w:val="2"/>
          <w:sz w:val="24"/>
          <w:szCs w:val="24"/>
          <w:highlight w:val="none"/>
          <w:lang w:val="en-US" w:eastAsia="zh-CN" w:bidi="ar-SA"/>
        </w:rPr>
      </w:pPr>
      <w:r>
        <w:rPr>
          <w:rFonts w:hint="eastAsia" w:cs="Times New Roman" w:asciiTheme="minorEastAsia" w:hAnsiTheme="minorEastAsia" w:eastAsiaTheme="minorEastAsia"/>
          <w:color w:val="000000"/>
          <w:kern w:val="2"/>
          <w:sz w:val="24"/>
          <w:szCs w:val="24"/>
          <w:highlight w:val="none"/>
          <w:lang w:val="en-US" w:eastAsia="zh-CN" w:bidi="ar-SA"/>
        </w:rPr>
        <w:t>2、具体要求详见《招标内容和要求》。</w:t>
      </w:r>
    </w:p>
    <w:p w14:paraId="016B3B6B">
      <w:pPr>
        <w:pStyle w:val="14"/>
        <w:spacing w:line="360" w:lineRule="auto"/>
        <w:ind w:firstLine="480" w:firstLineChars="200"/>
        <w:rPr>
          <w:rFonts w:hint="default" w:cs="Times New Roman" w:asciiTheme="minorEastAsia" w:hAnsiTheme="minorEastAsia" w:eastAsiaTheme="minorEastAsia"/>
          <w:color w:val="000000"/>
          <w:kern w:val="2"/>
          <w:sz w:val="24"/>
          <w:szCs w:val="24"/>
          <w:highlight w:val="none"/>
          <w:lang w:val="en-US" w:eastAsia="zh-CN" w:bidi="ar-SA"/>
        </w:rPr>
      </w:pPr>
      <w:r>
        <w:rPr>
          <w:rFonts w:hint="eastAsia" w:cs="Times New Roman" w:asciiTheme="minorEastAsia" w:hAnsiTheme="minorEastAsia" w:eastAsiaTheme="minorEastAsia"/>
          <w:color w:val="000000"/>
          <w:kern w:val="2"/>
          <w:sz w:val="24"/>
          <w:szCs w:val="24"/>
          <w:highlight w:val="none"/>
          <w:lang w:val="en-US" w:eastAsia="zh-CN" w:bidi="ar-SA"/>
        </w:rPr>
        <w:t>3、招标形式：公开招标。</w:t>
      </w:r>
    </w:p>
    <w:p w14:paraId="5548B979">
      <w:pPr>
        <w:pStyle w:val="14"/>
        <w:spacing w:line="360" w:lineRule="auto"/>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三、</w:t>
      </w:r>
      <w:r>
        <w:rPr>
          <w:rFonts w:hint="eastAsia" w:cs="宋体" w:asciiTheme="minorEastAsia" w:hAnsiTheme="minorEastAsia" w:eastAsiaTheme="minorEastAsia"/>
          <w:b/>
          <w:bCs/>
          <w:color w:val="000000"/>
          <w:sz w:val="24"/>
          <w:szCs w:val="24"/>
          <w:highlight w:val="none"/>
          <w:lang w:val="en-US" w:eastAsia="zh-CN"/>
        </w:rPr>
        <w:t>项目</w:t>
      </w:r>
      <w:r>
        <w:rPr>
          <w:rFonts w:hint="eastAsia" w:cs="宋体" w:asciiTheme="minorEastAsia" w:hAnsiTheme="minorEastAsia" w:eastAsiaTheme="minorEastAsia"/>
          <w:b/>
          <w:bCs/>
          <w:color w:val="000000"/>
          <w:sz w:val="24"/>
          <w:szCs w:val="24"/>
          <w:highlight w:val="none"/>
        </w:rPr>
        <w:t>期及</w:t>
      </w:r>
      <w:r>
        <w:rPr>
          <w:rFonts w:hint="eastAsia" w:cs="宋体" w:asciiTheme="minorEastAsia" w:hAnsiTheme="minorEastAsia" w:eastAsiaTheme="minorEastAsia"/>
          <w:b/>
          <w:bCs/>
          <w:color w:val="000000"/>
          <w:sz w:val="24"/>
          <w:szCs w:val="24"/>
          <w:highlight w:val="none"/>
          <w:lang w:val="en-US" w:eastAsia="zh-CN"/>
        </w:rPr>
        <w:t>项目</w:t>
      </w:r>
      <w:r>
        <w:rPr>
          <w:rFonts w:hint="eastAsia" w:cs="宋体" w:asciiTheme="minorEastAsia" w:hAnsiTheme="minorEastAsia" w:eastAsiaTheme="minorEastAsia"/>
          <w:b/>
          <w:bCs/>
          <w:color w:val="000000"/>
          <w:sz w:val="24"/>
          <w:szCs w:val="24"/>
          <w:highlight w:val="none"/>
        </w:rPr>
        <w:t>地点</w:t>
      </w:r>
    </w:p>
    <w:p w14:paraId="5D69D515">
      <w:pPr>
        <w:pStyle w:val="14"/>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rPr>
        <w:t>1、</w:t>
      </w:r>
      <w:r>
        <w:rPr>
          <w:rFonts w:hint="eastAsia" w:asciiTheme="minorEastAsia" w:hAnsiTheme="minorEastAsia" w:eastAsiaTheme="minorEastAsia"/>
          <w:color w:val="000000"/>
          <w:sz w:val="24"/>
          <w:szCs w:val="24"/>
          <w:highlight w:val="none"/>
          <w:lang w:val="en-US" w:eastAsia="zh-CN"/>
        </w:rPr>
        <w:t>项目</w:t>
      </w:r>
      <w:r>
        <w:rPr>
          <w:rFonts w:hint="eastAsia" w:asciiTheme="minorEastAsia" w:hAnsiTheme="minorEastAsia" w:eastAsiaTheme="minorEastAsia"/>
          <w:color w:val="000000"/>
          <w:sz w:val="24"/>
          <w:szCs w:val="24"/>
          <w:highlight w:val="none"/>
        </w:rPr>
        <w:t>期：202</w:t>
      </w:r>
      <w:r>
        <w:rPr>
          <w:rFonts w:hint="eastAsia" w:asciiTheme="minorEastAsia" w:hAnsiTheme="minorEastAsia" w:eastAsiaTheme="minorEastAsia"/>
          <w:color w:val="000000"/>
          <w:sz w:val="24"/>
          <w:szCs w:val="24"/>
          <w:highlight w:val="none"/>
          <w:lang w:val="en-US" w:eastAsia="zh-CN"/>
        </w:rPr>
        <w:t>6</w:t>
      </w:r>
      <w:r>
        <w:rPr>
          <w:rFonts w:hint="eastAsia" w:asciiTheme="minorEastAsia" w:hAnsiTheme="minorEastAsia" w:eastAsiaTheme="minorEastAsia"/>
          <w:color w:val="000000"/>
          <w:sz w:val="24"/>
          <w:szCs w:val="24"/>
          <w:highlight w:val="none"/>
        </w:rPr>
        <w:t>年</w:t>
      </w:r>
      <w:r>
        <w:rPr>
          <w:rFonts w:hint="eastAsia" w:asciiTheme="minorEastAsia" w:hAnsiTheme="minorEastAsia" w:eastAsiaTheme="minorEastAsia"/>
          <w:color w:val="000000"/>
          <w:sz w:val="24"/>
          <w:szCs w:val="24"/>
          <w:highlight w:val="none"/>
          <w:lang w:val="en-US" w:eastAsia="zh-CN"/>
        </w:rPr>
        <w:t>3</w:t>
      </w:r>
      <w:r>
        <w:rPr>
          <w:rFonts w:hint="eastAsia" w:asciiTheme="minorEastAsia" w:hAnsiTheme="minorEastAsia" w:eastAsiaTheme="minorEastAsia"/>
          <w:color w:val="000000"/>
          <w:sz w:val="24"/>
          <w:szCs w:val="24"/>
          <w:highlight w:val="none"/>
        </w:rPr>
        <w:t>月</w:t>
      </w:r>
      <w:r>
        <w:rPr>
          <w:rFonts w:hint="eastAsia" w:asciiTheme="minorEastAsia" w:hAnsiTheme="minorEastAsia" w:eastAsiaTheme="minorEastAsia"/>
          <w:color w:val="000000"/>
          <w:sz w:val="24"/>
          <w:szCs w:val="24"/>
          <w:highlight w:val="none"/>
          <w:lang w:val="en-US" w:eastAsia="zh-CN"/>
        </w:rPr>
        <w:t>21</w:t>
      </w:r>
      <w:r>
        <w:rPr>
          <w:rFonts w:hint="eastAsia" w:asciiTheme="minorEastAsia" w:hAnsiTheme="minorEastAsia" w:eastAsiaTheme="minorEastAsia"/>
          <w:color w:val="000000"/>
          <w:sz w:val="24"/>
          <w:szCs w:val="24"/>
          <w:highlight w:val="none"/>
        </w:rPr>
        <w:t>日-202</w:t>
      </w:r>
      <w:r>
        <w:rPr>
          <w:rFonts w:hint="eastAsia" w:asciiTheme="minorEastAsia" w:hAnsiTheme="minorEastAsia" w:eastAsiaTheme="minorEastAsia"/>
          <w:color w:val="000000"/>
          <w:sz w:val="24"/>
          <w:szCs w:val="24"/>
          <w:highlight w:val="none"/>
          <w:lang w:val="en-US" w:eastAsia="zh-CN"/>
        </w:rPr>
        <w:t>7</w:t>
      </w:r>
      <w:r>
        <w:rPr>
          <w:rFonts w:hint="eastAsia" w:asciiTheme="minorEastAsia" w:hAnsiTheme="minorEastAsia" w:eastAsiaTheme="minorEastAsia"/>
          <w:color w:val="000000"/>
          <w:sz w:val="24"/>
          <w:szCs w:val="24"/>
          <w:highlight w:val="none"/>
        </w:rPr>
        <w:t>年</w:t>
      </w:r>
      <w:r>
        <w:rPr>
          <w:rFonts w:hint="eastAsia" w:asciiTheme="minorEastAsia" w:hAnsiTheme="minorEastAsia" w:eastAsiaTheme="minorEastAsia"/>
          <w:color w:val="000000"/>
          <w:sz w:val="24"/>
          <w:szCs w:val="24"/>
          <w:highlight w:val="none"/>
          <w:lang w:val="en-US" w:eastAsia="zh-CN"/>
        </w:rPr>
        <w:t>3</w:t>
      </w:r>
      <w:r>
        <w:rPr>
          <w:rFonts w:hint="eastAsia" w:asciiTheme="minorEastAsia" w:hAnsiTheme="minorEastAsia" w:eastAsiaTheme="minorEastAsia"/>
          <w:color w:val="000000"/>
          <w:sz w:val="24"/>
          <w:szCs w:val="24"/>
          <w:highlight w:val="none"/>
        </w:rPr>
        <w:t>月</w:t>
      </w:r>
      <w:r>
        <w:rPr>
          <w:rFonts w:hint="eastAsia" w:asciiTheme="minorEastAsia" w:hAnsiTheme="minorEastAsia" w:eastAsiaTheme="minorEastAsia"/>
          <w:color w:val="000000"/>
          <w:sz w:val="24"/>
          <w:szCs w:val="24"/>
          <w:highlight w:val="none"/>
          <w:lang w:val="en-US" w:eastAsia="zh-CN"/>
        </w:rPr>
        <w:t>20</w:t>
      </w:r>
      <w:r>
        <w:rPr>
          <w:rFonts w:hint="eastAsia" w:asciiTheme="minorEastAsia" w:hAnsiTheme="minorEastAsia" w:eastAsiaTheme="minorEastAsia"/>
          <w:color w:val="000000"/>
          <w:sz w:val="24"/>
          <w:szCs w:val="24"/>
          <w:highlight w:val="none"/>
        </w:rPr>
        <w:t>日</w:t>
      </w:r>
      <w:r>
        <w:rPr>
          <w:rFonts w:hint="eastAsia" w:asciiTheme="minorEastAsia" w:hAnsiTheme="minorEastAsia" w:eastAsiaTheme="minorEastAsia"/>
          <w:color w:val="000000"/>
          <w:sz w:val="24"/>
          <w:szCs w:val="24"/>
          <w:highlight w:val="none"/>
          <w:lang w:eastAsia="zh-CN"/>
        </w:rPr>
        <w:t>。</w:t>
      </w:r>
    </w:p>
    <w:p w14:paraId="3911FAAC">
      <w:pPr>
        <w:pStyle w:val="14"/>
        <w:spacing w:line="360" w:lineRule="auto"/>
        <w:ind w:firstLine="480" w:firstLineChars="200"/>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2、</w:t>
      </w:r>
      <w:r>
        <w:rPr>
          <w:rFonts w:hint="eastAsia" w:asciiTheme="minorEastAsia" w:hAnsiTheme="minorEastAsia" w:eastAsiaTheme="minorEastAsia"/>
          <w:color w:val="000000"/>
          <w:sz w:val="24"/>
          <w:szCs w:val="24"/>
          <w:highlight w:val="none"/>
          <w:lang w:val="en-US" w:eastAsia="zh-CN"/>
        </w:rPr>
        <w:t>项目</w:t>
      </w:r>
      <w:r>
        <w:rPr>
          <w:rFonts w:hint="eastAsia" w:asciiTheme="minorEastAsia" w:hAnsiTheme="minorEastAsia" w:eastAsiaTheme="minorEastAsia"/>
          <w:color w:val="000000"/>
          <w:sz w:val="24"/>
          <w:szCs w:val="24"/>
          <w:highlight w:val="none"/>
        </w:rPr>
        <w:t>地点：中国重型汽车集团济南地区二级公司</w:t>
      </w:r>
      <w:r>
        <w:rPr>
          <w:rFonts w:hint="eastAsia" w:asciiTheme="minorEastAsia" w:hAnsiTheme="minorEastAsia" w:eastAsiaTheme="minorEastAsia"/>
          <w:color w:val="000000"/>
          <w:sz w:val="24"/>
          <w:szCs w:val="24"/>
          <w:highlight w:val="none"/>
          <w:lang w:eastAsia="zh-CN"/>
        </w:rPr>
        <w:t>（</w:t>
      </w:r>
      <w:r>
        <w:rPr>
          <w:rFonts w:hint="eastAsia" w:asciiTheme="minorEastAsia" w:hAnsiTheme="minorEastAsia" w:eastAsiaTheme="minorEastAsia"/>
          <w:color w:val="000000"/>
          <w:sz w:val="24"/>
          <w:szCs w:val="24"/>
          <w:highlight w:val="none"/>
        </w:rPr>
        <w:t>中标单位分别于二级公司签署协议</w:t>
      </w:r>
      <w:r>
        <w:rPr>
          <w:rFonts w:hint="eastAsia" w:asciiTheme="minorEastAsia" w:hAnsiTheme="minorEastAsia" w:eastAsiaTheme="minorEastAsia"/>
          <w:color w:val="000000"/>
          <w:sz w:val="24"/>
          <w:szCs w:val="24"/>
          <w:highlight w:val="none"/>
          <w:lang w:eastAsia="zh-CN"/>
        </w:rPr>
        <w:t>）</w:t>
      </w:r>
      <w:r>
        <w:rPr>
          <w:rFonts w:hint="eastAsia" w:asciiTheme="minorEastAsia" w:hAnsiTheme="minorEastAsia" w:eastAsiaTheme="minorEastAsia"/>
          <w:color w:val="000000"/>
          <w:sz w:val="24"/>
          <w:szCs w:val="24"/>
          <w:highlight w:val="none"/>
        </w:rPr>
        <w:t>。</w:t>
      </w:r>
    </w:p>
    <w:p w14:paraId="69F25A62">
      <w:pPr>
        <w:pStyle w:val="14"/>
        <w:spacing w:line="360" w:lineRule="auto"/>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四、投标说明</w:t>
      </w:r>
    </w:p>
    <w:p w14:paraId="7C6FEDC4">
      <w:pPr>
        <w:pStyle w:val="14"/>
        <w:spacing w:line="360" w:lineRule="auto"/>
        <w:ind w:firstLine="482" w:firstLineChars="200"/>
        <w:rPr>
          <w:rFonts w:asciiTheme="minorEastAsia" w:hAnsiTheme="minorEastAsia" w:eastAsiaTheme="minorEastAsia"/>
          <w:b/>
          <w:bCs/>
          <w:color w:val="000000"/>
          <w:sz w:val="24"/>
          <w:szCs w:val="24"/>
          <w:highlight w:val="none"/>
        </w:rPr>
      </w:pPr>
      <w:r>
        <w:rPr>
          <w:rFonts w:hint="eastAsia" w:asciiTheme="minorEastAsia" w:hAnsiTheme="minorEastAsia" w:eastAsiaTheme="minorEastAsia"/>
          <w:b/>
          <w:bCs/>
          <w:color w:val="000000"/>
          <w:sz w:val="24"/>
          <w:szCs w:val="24"/>
          <w:highlight w:val="none"/>
        </w:rPr>
        <w:t>1</w:t>
      </w:r>
      <w:r>
        <w:rPr>
          <w:rFonts w:hint="eastAsia" w:asciiTheme="minorEastAsia" w:hAnsiTheme="minorEastAsia" w:eastAsiaTheme="minorEastAsia"/>
          <w:b/>
          <w:bCs/>
          <w:color w:val="000000"/>
          <w:sz w:val="24"/>
          <w:szCs w:val="24"/>
          <w:highlight w:val="none"/>
          <w:lang w:eastAsia="zh-CN"/>
        </w:rPr>
        <w:t>、</w:t>
      </w:r>
      <w:r>
        <w:rPr>
          <w:rFonts w:hint="eastAsia" w:asciiTheme="minorEastAsia" w:hAnsiTheme="minorEastAsia" w:eastAsiaTheme="minorEastAsia"/>
          <w:b/>
          <w:bCs/>
          <w:color w:val="000000"/>
          <w:sz w:val="24"/>
          <w:szCs w:val="24"/>
          <w:highlight w:val="none"/>
        </w:rPr>
        <w:t>投标条件</w:t>
      </w:r>
    </w:p>
    <w:p w14:paraId="6A724E5A">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1）投标人须遵守《中华人民共和国招标投标法》、《中华人民共和国</w:t>
      </w:r>
      <w:r>
        <w:rPr>
          <w:rFonts w:hint="eastAsia" w:asciiTheme="minorEastAsia" w:hAnsiTheme="minorEastAsia" w:eastAsiaTheme="minorEastAsia"/>
          <w:color w:val="000000"/>
          <w:sz w:val="24"/>
          <w:szCs w:val="24"/>
          <w:highlight w:val="none"/>
          <w:lang w:val="en-US" w:eastAsia="zh-CN"/>
        </w:rPr>
        <w:t>民法典</w:t>
      </w:r>
      <w:r>
        <w:rPr>
          <w:rFonts w:hint="eastAsia" w:asciiTheme="minorEastAsia" w:hAnsiTheme="minorEastAsia" w:eastAsiaTheme="minorEastAsia"/>
          <w:color w:val="000000"/>
          <w:sz w:val="24"/>
          <w:szCs w:val="24"/>
          <w:highlight w:val="none"/>
        </w:rPr>
        <w:t>》及其它有关的法律和法规；为中华人民共和国境内注册的独立法人机构，具有独立承担民事责任能力；</w:t>
      </w:r>
    </w:p>
    <w:p w14:paraId="556E0950">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2）公司成立三年以上（以营业执照成立日期到开标当日满三年为准）；公司注册资本不少于壹佰万元（人民币）；经营范围满足招标项目需求；</w:t>
      </w:r>
    </w:p>
    <w:p w14:paraId="630488DC">
      <w:pPr>
        <w:pStyle w:val="14"/>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rPr>
        <w:t>3）投标人须提供具有统一社会信用代码的新版营业执照副本复印件（加盖公章）</w:t>
      </w:r>
      <w:r>
        <w:rPr>
          <w:rFonts w:hint="eastAsia" w:asciiTheme="minorEastAsia" w:hAnsiTheme="minorEastAsia" w:eastAsiaTheme="minorEastAsia"/>
          <w:color w:val="000000"/>
          <w:sz w:val="24"/>
          <w:szCs w:val="24"/>
          <w:highlight w:val="none"/>
          <w:lang w:eastAsia="zh-CN"/>
        </w:rPr>
        <w:t>；</w:t>
      </w:r>
    </w:p>
    <w:p w14:paraId="16FBD9E3">
      <w:pPr>
        <w:pStyle w:val="14"/>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rPr>
        <w:t>4）具有良好的商业信誉，在国家企业信用信息公示系统中无行政处罚、列入经营异常名录和列入严重违法失信企业名单（黑名单）信息或上述信息已被移除</w:t>
      </w:r>
      <w:r>
        <w:rPr>
          <w:rFonts w:hint="eastAsia" w:asciiTheme="minorEastAsia" w:hAnsiTheme="minorEastAsia" w:eastAsiaTheme="minorEastAsia"/>
          <w:color w:val="000000"/>
          <w:sz w:val="24"/>
          <w:szCs w:val="24"/>
          <w:highlight w:val="none"/>
          <w:lang w:eastAsia="zh-CN"/>
        </w:rPr>
        <w:t>；</w:t>
      </w:r>
    </w:p>
    <w:p w14:paraId="7E040844">
      <w:pPr>
        <w:pStyle w:val="14"/>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rPr>
        <w:t>5）投标人在近三年内在经营活动中无违法记录</w:t>
      </w:r>
      <w:r>
        <w:rPr>
          <w:rFonts w:hint="eastAsia" w:asciiTheme="minorEastAsia" w:hAnsiTheme="minorEastAsia" w:eastAsiaTheme="minorEastAsia"/>
          <w:color w:val="000000"/>
          <w:sz w:val="24"/>
          <w:szCs w:val="24"/>
          <w:highlight w:val="none"/>
          <w:lang w:eastAsia="zh-CN"/>
        </w:rPr>
        <w:t>；</w:t>
      </w:r>
    </w:p>
    <w:p w14:paraId="56A8F3C9">
      <w:pPr>
        <w:pStyle w:val="14"/>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rPr>
        <w:t>6）具有健全的财务会计制度，财务状况和市场行为良好。没有处于被有权机关吊销营业执照、吊销资质、停业整顿、取消投标资格以及财产被接管、冻结或进入破产程序等</w:t>
      </w:r>
      <w:r>
        <w:rPr>
          <w:rFonts w:hint="eastAsia" w:asciiTheme="minorEastAsia" w:hAnsiTheme="minorEastAsia" w:eastAsiaTheme="minorEastAsia"/>
          <w:color w:val="000000"/>
          <w:sz w:val="24"/>
          <w:szCs w:val="24"/>
          <w:highlight w:val="none"/>
          <w:lang w:eastAsia="zh-CN"/>
        </w:rPr>
        <w:t>；</w:t>
      </w:r>
    </w:p>
    <w:p w14:paraId="508704C3">
      <w:pPr>
        <w:pStyle w:val="14"/>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rPr>
        <w:t>7）投标人没有被列入招标人处《黑名单》（《黑名单》指投标人与招标人在以往或正在进行的合作中，存在招标人认为的违反合同约定或违反法律法规等的失信行为）的</w:t>
      </w:r>
      <w:r>
        <w:rPr>
          <w:rFonts w:hint="eastAsia" w:asciiTheme="minorEastAsia" w:hAnsiTheme="minorEastAsia" w:eastAsiaTheme="minorEastAsia"/>
          <w:color w:val="000000"/>
          <w:sz w:val="24"/>
          <w:szCs w:val="24"/>
          <w:highlight w:val="none"/>
          <w:lang w:eastAsia="zh-CN"/>
        </w:rPr>
        <w:t>；</w:t>
      </w:r>
    </w:p>
    <w:p w14:paraId="3F8EE6BA">
      <w:pPr>
        <w:pStyle w:val="14"/>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rPr>
        <w:t>8）投标人须提供近三年的公司财务报表（资产负债表、损益表、现金流量表）</w:t>
      </w:r>
      <w:r>
        <w:rPr>
          <w:rFonts w:hint="eastAsia" w:asciiTheme="minorEastAsia" w:hAnsiTheme="minorEastAsia" w:eastAsiaTheme="minorEastAsia"/>
          <w:color w:val="000000"/>
          <w:sz w:val="24"/>
          <w:szCs w:val="24"/>
          <w:highlight w:val="none"/>
          <w:lang w:eastAsia="zh-CN"/>
        </w:rPr>
        <w:t>；</w:t>
      </w:r>
    </w:p>
    <w:p w14:paraId="40709AD8">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9）投标人须提供法人授权委托书原件（在投标文件副本中可用复印件）及投标单位的法定代表人或授权代表的身份证原件及复印件（加盖公章）；</w:t>
      </w:r>
    </w:p>
    <w:p w14:paraId="0295FA46">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10）投标人须具有履行合同所必须的设备、财务、技术、服务等方面的资质和能力；</w:t>
      </w:r>
    </w:p>
    <w:p w14:paraId="7EC32FBF">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11）投标人须具有完全履行招标文件的所有要求的能力；</w:t>
      </w:r>
    </w:p>
    <w:p w14:paraId="6A2D827C">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12）投标人须负责提供合理的便于运输的包装物，并承担相关费用；</w:t>
      </w:r>
    </w:p>
    <w:p w14:paraId="3A5B9D26">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13）投标人须认可招标人的工作指令，包括节、假日能正常开展工作的要求；</w:t>
      </w:r>
    </w:p>
    <w:p w14:paraId="3487F2A2">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14）投标人必须是最终投标、签订合同的单位，不得以任何理由将已中标项目以任何形式转包给其他单位；</w:t>
      </w:r>
    </w:p>
    <w:p w14:paraId="3EE5661A">
      <w:pPr>
        <w:pStyle w:val="14"/>
        <w:spacing w:line="360" w:lineRule="auto"/>
        <w:ind w:firstLine="480" w:firstLineChars="2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15）本次招标项目不接受联合体投标；</w:t>
      </w:r>
    </w:p>
    <w:p w14:paraId="4101BF53">
      <w:pPr>
        <w:pStyle w:val="14"/>
        <w:spacing w:line="360" w:lineRule="auto"/>
        <w:ind w:firstLine="480" w:firstLineChars="200"/>
        <w:rPr>
          <w:rFonts w:hint="default" w:asciiTheme="minorEastAsia" w:hAnsiTheme="minorEastAsia" w:eastAsiaTheme="minorEastAsia"/>
          <w:color w:val="000000"/>
          <w:sz w:val="24"/>
          <w:szCs w:val="24"/>
          <w:highlight w:val="none"/>
          <w:lang w:val="en-US"/>
        </w:rPr>
      </w:pPr>
      <w:r>
        <w:rPr>
          <w:rFonts w:hint="eastAsia" w:asciiTheme="minorEastAsia" w:hAnsiTheme="minorEastAsia" w:eastAsiaTheme="minorEastAsia"/>
          <w:color w:val="000000"/>
          <w:sz w:val="24"/>
          <w:szCs w:val="24"/>
          <w:highlight w:val="none"/>
        </w:rPr>
        <w:t>16）其他须具备的资格要求：</w:t>
      </w:r>
      <w:r>
        <w:rPr>
          <w:rFonts w:hint="eastAsia" w:asciiTheme="minorEastAsia" w:hAnsiTheme="minorEastAsia" w:eastAsiaTheme="minorEastAsia"/>
          <w:color w:val="000000"/>
          <w:sz w:val="24"/>
          <w:szCs w:val="24"/>
          <w:highlight w:val="none"/>
          <w:lang w:val="en-US" w:eastAsia="zh-CN"/>
        </w:rPr>
        <w:t>建筑工程、市政工程</w:t>
      </w:r>
      <w:r>
        <w:rPr>
          <w:rFonts w:hint="eastAsia" w:asciiTheme="minorEastAsia" w:hAnsiTheme="minorEastAsia" w:eastAsiaTheme="minorEastAsia"/>
          <w:color w:val="000000"/>
          <w:sz w:val="24"/>
          <w:szCs w:val="24"/>
          <w:highlight w:val="none"/>
        </w:rPr>
        <w:t>、环保工程等相关资格。</w:t>
      </w:r>
    </w:p>
    <w:p w14:paraId="4BF29314">
      <w:pPr>
        <w:pStyle w:val="14"/>
        <w:spacing w:line="360" w:lineRule="auto"/>
        <w:ind w:firstLine="482" w:firstLineChars="200"/>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000000"/>
          <w:sz w:val="24"/>
          <w:szCs w:val="24"/>
          <w:highlight w:val="none"/>
        </w:rPr>
        <w:t>2</w:t>
      </w:r>
      <w:r>
        <w:rPr>
          <w:rFonts w:hint="eastAsia" w:asciiTheme="minorEastAsia" w:hAnsiTheme="minorEastAsia" w:eastAsiaTheme="minorEastAsia"/>
          <w:b/>
          <w:bCs/>
          <w:color w:val="000000"/>
          <w:sz w:val="24"/>
          <w:szCs w:val="24"/>
          <w:highlight w:val="none"/>
          <w:lang w:eastAsia="zh-CN"/>
        </w:rPr>
        <w:t>、</w:t>
      </w:r>
      <w:r>
        <w:rPr>
          <w:rFonts w:hint="eastAsia" w:asciiTheme="minorEastAsia" w:hAnsiTheme="minorEastAsia" w:eastAsiaTheme="minorEastAsia"/>
          <w:b/>
          <w:bCs/>
          <w:color w:val="000000"/>
          <w:sz w:val="24"/>
          <w:szCs w:val="24"/>
          <w:highlight w:val="none"/>
        </w:rPr>
        <w:t>报价</w:t>
      </w:r>
    </w:p>
    <w:p w14:paraId="7A52EFB9">
      <w:pPr>
        <w:pStyle w:val="14"/>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（1）本次招投标为</w:t>
      </w:r>
      <w:r>
        <w:rPr>
          <w:rFonts w:hint="eastAsia" w:cs="Times New Roman" w:asciiTheme="minorEastAsia" w:hAnsiTheme="minorEastAsia" w:eastAsiaTheme="minorEastAsia"/>
          <w:color w:val="000000"/>
          <w:kern w:val="2"/>
          <w:sz w:val="24"/>
          <w:szCs w:val="24"/>
          <w:highlight w:val="none"/>
          <w:lang w:val="en-US" w:eastAsia="zh-CN" w:bidi="ar-SA"/>
        </w:rPr>
        <w:t>公开招标</w:t>
      </w:r>
      <w:r>
        <w:rPr>
          <w:rFonts w:hint="eastAsia" w:cs="仿宋" w:asciiTheme="minorEastAsia" w:hAnsiTheme="minorEastAsia" w:eastAsiaTheme="minorEastAsia"/>
          <w:sz w:val="24"/>
          <w:szCs w:val="24"/>
          <w:highlight w:val="none"/>
        </w:rPr>
        <w:t>，招标人有权根据项目情况，采取多级评标模式。评标流程以及规则详细见</w:t>
      </w:r>
      <w:r>
        <w:rPr>
          <w:rFonts w:hint="eastAsia" w:cs="仿宋" w:asciiTheme="minorEastAsia" w:hAnsiTheme="minorEastAsia" w:eastAsiaTheme="minorEastAsia"/>
          <w:sz w:val="24"/>
          <w:szCs w:val="24"/>
          <w:highlight w:val="none"/>
          <w:lang w:val="en-US" w:eastAsia="zh-CN"/>
        </w:rPr>
        <w:t>投标人须知。</w:t>
      </w:r>
      <w:r>
        <w:rPr>
          <w:rFonts w:hint="eastAsia" w:cs="仿宋" w:asciiTheme="minorEastAsia" w:hAnsiTheme="minorEastAsia" w:eastAsiaTheme="minorEastAsia"/>
          <w:sz w:val="24"/>
          <w:szCs w:val="24"/>
          <w:highlight w:val="none"/>
        </w:rPr>
        <w:t>投标人自行勘察现场，进行合理报价。</w:t>
      </w:r>
    </w:p>
    <w:p w14:paraId="11677E42">
      <w:pPr>
        <w:pStyle w:val="14"/>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（2）所有的报价货币单位为：（人民币）元（请务必报含税价和不含税价并写明税率）。</w:t>
      </w:r>
    </w:p>
    <w:p w14:paraId="06A96D3B">
      <w:pPr>
        <w:pStyle w:val="14"/>
        <w:spacing w:line="360" w:lineRule="auto"/>
        <w:ind w:firstLine="482" w:firstLineChars="200"/>
        <w:rPr>
          <w:rFonts w:hint="eastAsia" w:asciiTheme="minorEastAsia" w:hAnsiTheme="minorEastAsia" w:eastAsiaTheme="minorEastAsia"/>
          <w:b/>
          <w:bCs/>
          <w:color w:val="000000"/>
          <w:sz w:val="24"/>
          <w:szCs w:val="24"/>
          <w:highlight w:val="none"/>
          <w:lang w:eastAsia="zh-CN"/>
        </w:rPr>
      </w:pPr>
      <w:r>
        <w:rPr>
          <w:rFonts w:hint="eastAsia" w:asciiTheme="minorEastAsia" w:hAnsiTheme="minorEastAsia" w:eastAsiaTheme="minorEastAsia"/>
          <w:b/>
          <w:bCs/>
          <w:color w:val="000000"/>
          <w:sz w:val="24"/>
          <w:szCs w:val="24"/>
          <w:highlight w:val="none"/>
        </w:rPr>
        <w:t>3、付款方式：</w:t>
      </w:r>
    </w:p>
    <w:p w14:paraId="7659188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3.1</w:t>
      </w:r>
      <w:r>
        <w:rPr>
          <w:rFonts w:hint="eastAsia" w:cs="仿宋" w:asciiTheme="minorEastAsia" w:hAnsiTheme="minorEastAsia" w:eastAsiaTheme="minorEastAsia"/>
          <w:sz w:val="24"/>
          <w:szCs w:val="24"/>
          <w:highlight w:val="none"/>
          <w:u w:val="single"/>
          <w:lang w:val="en-US" w:eastAsia="zh-CN"/>
        </w:rPr>
        <w:t>半年期银行承兑汇票</w:t>
      </w:r>
      <w:r>
        <w:rPr>
          <w:rFonts w:hint="eastAsia" w:cs="仿宋" w:asciiTheme="minorEastAsia" w:hAnsiTheme="minorEastAsia" w:eastAsiaTheme="minorEastAsia"/>
          <w:sz w:val="24"/>
          <w:szCs w:val="24"/>
          <w:highlight w:val="none"/>
          <w:lang w:val="en-US" w:eastAsia="zh-CN"/>
        </w:rPr>
        <w:t>。</w:t>
      </w:r>
    </w:p>
    <w:p w14:paraId="04352FDF">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3.2工程竣工验收合格，30天内送发包方指定的第三方审计公司审计（审计费由施工方支付），按照审定额进行结算，承包方提供当批付款金额一致的符合国家要求的增值税专用发票挂账后30天内付至工程审定额的</w:t>
      </w:r>
      <w:r>
        <w:rPr>
          <w:rFonts w:hint="eastAsia" w:cs="仿宋" w:asciiTheme="minorEastAsia" w:hAnsiTheme="minorEastAsia" w:eastAsiaTheme="minorEastAsia"/>
          <w:sz w:val="24"/>
          <w:szCs w:val="24"/>
          <w:highlight w:val="none"/>
          <w:u w:val="single"/>
          <w:lang w:val="en-US" w:eastAsia="zh-CN"/>
        </w:rPr>
        <w:t xml:space="preserve"> 97%</w:t>
      </w:r>
      <w:r>
        <w:rPr>
          <w:rFonts w:hint="eastAsia" w:cs="仿宋" w:asciiTheme="minorEastAsia" w:hAnsiTheme="minorEastAsia" w:eastAsiaTheme="minorEastAsia"/>
          <w:sz w:val="24"/>
          <w:szCs w:val="24"/>
          <w:highlight w:val="none"/>
          <w:lang w:val="en-US" w:eastAsia="zh-CN"/>
        </w:rPr>
        <w:t>。剩余</w:t>
      </w:r>
      <w:r>
        <w:rPr>
          <w:rFonts w:hint="eastAsia" w:cs="仿宋" w:asciiTheme="minorEastAsia" w:hAnsiTheme="minorEastAsia" w:eastAsiaTheme="minorEastAsia"/>
          <w:sz w:val="24"/>
          <w:szCs w:val="24"/>
          <w:highlight w:val="none"/>
          <w:u w:val="single"/>
          <w:lang w:val="en-US" w:eastAsia="zh-CN"/>
        </w:rPr>
        <w:t>3%</w:t>
      </w:r>
      <w:r>
        <w:rPr>
          <w:rFonts w:hint="eastAsia" w:cs="仿宋" w:asciiTheme="minorEastAsia" w:hAnsiTheme="minorEastAsia" w:eastAsiaTheme="minorEastAsia"/>
          <w:sz w:val="24"/>
          <w:szCs w:val="24"/>
          <w:highlight w:val="none"/>
          <w:lang w:val="en-US" w:eastAsia="zh-CN"/>
        </w:rPr>
        <w:t>作为质保金，到期无质量问题后无息付清（质保期遵循工程质量保修书要求，自项目验收合格之日起计算）。</w:t>
      </w:r>
    </w:p>
    <w:p w14:paraId="1AB22AE8">
      <w:pPr>
        <w:pStyle w:val="14"/>
        <w:spacing w:line="360" w:lineRule="auto"/>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五、议程安排</w:t>
      </w:r>
    </w:p>
    <w:p w14:paraId="6EAA5050">
      <w:pPr>
        <w:pStyle w:val="14"/>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w:t>
      </w:r>
      <w:r>
        <w:rPr>
          <w:rFonts w:hint="eastAsia" w:cs="仿宋" w:asciiTheme="minorEastAsia" w:hAnsiTheme="minorEastAsia" w:eastAsiaTheme="minorEastAsia"/>
          <w:sz w:val="24"/>
          <w:szCs w:val="24"/>
          <w:highlight w:val="none"/>
          <w:lang w:val="en-US" w:eastAsia="zh-CN"/>
        </w:rPr>
        <w:t>二次公告</w:t>
      </w:r>
      <w:r>
        <w:rPr>
          <w:rFonts w:hint="eastAsia" w:cs="仿宋" w:asciiTheme="minorEastAsia" w:hAnsiTheme="minorEastAsia" w:eastAsiaTheme="minorEastAsia"/>
          <w:sz w:val="24"/>
          <w:szCs w:val="24"/>
          <w:highlight w:val="none"/>
        </w:rPr>
        <w:t>时间：</w:t>
      </w:r>
      <w:r>
        <w:rPr>
          <w:rFonts w:hint="eastAsia" w:cs="仿宋" w:asciiTheme="minorEastAsia" w:hAnsiTheme="minorEastAsia" w:eastAsiaTheme="minorEastAsia"/>
          <w:sz w:val="24"/>
          <w:szCs w:val="24"/>
          <w:highlight w:val="none"/>
          <w:u w:val="single"/>
          <w:lang w:val="en-US" w:eastAsia="zh-CN"/>
        </w:rPr>
        <w:t xml:space="preserve"> 2026年3月13日  </w:t>
      </w:r>
    </w:p>
    <w:p w14:paraId="490881D5">
      <w:pPr>
        <w:pStyle w:val="14"/>
        <w:pageBreakBefore w:val="0"/>
        <w:kinsoku/>
        <w:wordWrap/>
        <w:overflowPunct/>
        <w:topLinePunct w:val="0"/>
        <w:autoSpaceDE/>
        <w:autoSpaceDN/>
        <w:bidi w:val="0"/>
        <w:adjustRightInd/>
        <w:snapToGrid/>
        <w:spacing w:line="360" w:lineRule="auto"/>
        <w:ind w:firstLine="480" w:firstLineChars="200"/>
        <w:textAlignment w:val="auto"/>
        <w:rPr>
          <w:rFonts w:hint="default"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2、</w:t>
      </w:r>
      <w:r>
        <w:rPr>
          <w:rFonts w:hint="eastAsia" w:hAnsi="宋体" w:cs="宋体"/>
          <w:color w:val="auto"/>
          <w:sz w:val="24"/>
          <w:szCs w:val="24"/>
          <w:highlight w:val="none"/>
        </w:rPr>
        <w:t>发布招标方式</w:t>
      </w:r>
      <w:r>
        <w:rPr>
          <w:rFonts w:hint="eastAsia" w:hAnsi="宋体" w:cs="宋体"/>
          <w:color w:val="auto"/>
          <w:sz w:val="24"/>
          <w:szCs w:val="24"/>
          <w:highlight w:val="none"/>
          <w:lang w:eastAsia="zh-CN"/>
        </w:rPr>
        <w:t>：</w:t>
      </w:r>
      <w:r>
        <w:rPr>
          <w:rFonts w:hint="eastAsia" w:hAnsi="宋体" w:cs="宋体"/>
          <w:color w:val="auto"/>
          <w:sz w:val="24"/>
          <w:szCs w:val="24"/>
          <w:highlight w:val="none"/>
        </w:rPr>
        <w:t>中国重汽官网→快讯中心→通知公告栏公布</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重汽e采通</w:t>
      </w:r>
    </w:p>
    <w:p w14:paraId="4D94802A">
      <w:pPr>
        <w:pStyle w:val="14"/>
        <w:spacing w:line="360" w:lineRule="auto"/>
        <w:ind w:firstLine="480" w:firstLineChars="200"/>
        <w:rPr>
          <w:rFonts w:hint="eastAsia" w:ascii="宋体" w:hAnsi="宋体" w:eastAsia="宋体" w:cs="宋体"/>
          <w:sz w:val="24"/>
          <w:szCs w:val="24"/>
          <w:highlight w:val="none"/>
        </w:rPr>
      </w:pPr>
      <w:r>
        <w:rPr>
          <w:rFonts w:hint="eastAsia" w:cs="仿宋" w:asciiTheme="minorEastAsia" w:hAnsiTheme="minorEastAsia" w:eastAsiaTheme="minorEastAsia"/>
          <w:sz w:val="24"/>
          <w:szCs w:val="24"/>
          <w:highlight w:val="none"/>
          <w:lang w:val="en-US" w:eastAsia="zh-CN"/>
        </w:rPr>
        <w:t>3</w:t>
      </w:r>
      <w:r>
        <w:rPr>
          <w:rFonts w:hint="eastAsia" w:ascii="宋体" w:hAnsi="宋体" w:eastAsia="宋体" w:cs="宋体"/>
          <w:sz w:val="24"/>
          <w:szCs w:val="24"/>
          <w:highlight w:val="none"/>
          <w:lang w:val="en-US" w:eastAsia="zh-CN"/>
        </w:rPr>
        <w:t>、应标</w:t>
      </w:r>
      <w:r>
        <w:rPr>
          <w:rFonts w:hint="eastAsia" w:ascii="宋体" w:hAnsi="宋体" w:eastAsia="宋体" w:cs="宋体"/>
          <w:sz w:val="24"/>
          <w:szCs w:val="24"/>
          <w:highlight w:val="none"/>
        </w:rPr>
        <w:t>报名截止时间：</w:t>
      </w:r>
      <w:r>
        <w:rPr>
          <w:rFonts w:hint="eastAsia" w:ascii="宋体" w:hAnsi="宋体" w:eastAsia="宋体" w:cs="宋体"/>
          <w:sz w:val="24"/>
          <w:szCs w:val="24"/>
          <w:highlight w:val="none"/>
          <w:u w:val="single"/>
          <w:lang w:val="en-US" w:eastAsia="zh-CN"/>
        </w:rPr>
        <w:t xml:space="preserve"> </w:t>
      </w:r>
      <w:r>
        <w:rPr>
          <w:rFonts w:hint="eastAsia" w:cs="仿宋" w:asciiTheme="minorEastAsia" w:hAnsiTheme="minorEastAsia" w:eastAsiaTheme="minorEastAsia"/>
          <w:sz w:val="24"/>
          <w:szCs w:val="24"/>
          <w:highlight w:val="none"/>
          <w:u w:val="single"/>
          <w:lang w:val="en-US" w:eastAsia="zh-CN"/>
        </w:rPr>
        <w:t>2026年3月19日15:00</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p>
    <w:p w14:paraId="0CBFEC0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rPr>
        <w:t>报名方式：</w:t>
      </w:r>
      <w:r>
        <w:rPr>
          <w:rFonts w:hint="eastAsia" w:ascii="宋体" w:hAnsi="宋体" w:eastAsia="宋体" w:cs="宋体"/>
          <w:b w:val="0"/>
          <w:bCs w:val="0"/>
          <w:sz w:val="24"/>
          <w:szCs w:val="24"/>
          <w:highlight w:val="none"/>
          <w:lang w:val="en-US" w:eastAsia="zh-CN"/>
        </w:rPr>
        <w:t>在“中国重汽e采通”应标报名，按照资格证明文件准备资料，上传完毕后，等待审核。（投标保证金可应标资质审核通过后再缴纳）。</w:t>
      </w:r>
      <w:r>
        <w:rPr>
          <w:rFonts w:hint="eastAsia" w:ascii="宋体" w:hAnsi="宋体" w:eastAsia="宋体" w:cs="宋体"/>
          <w:b/>
          <w:bCs/>
          <w:sz w:val="24"/>
          <w:szCs w:val="24"/>
          <w:highlight w:val="none"/>
          <w:lang w:val="en-US" w:eastAsia="zh-CN"/>
        </w:rPr>
        <w:t>应标后应电话联系商务联系人进行资格审查</w:t>
      </w:r>
      <w:r>
        <w:rPr>
          <w:rFonts w:hint="eastAsia" w:ascii="宋体" w:hAnsi="宋体" w:eastAsia="宋体" w:cs="宋体"/>
          <w:b w:val="0"/>
          <w:bCs w:val="0"/>
          <w:sz w:val="24"/>
          <w:szCs w:val="24"/>
          <w:highlight w:val="none"/>
          <w:lang w:val="en-US" w:eastAsia="zh-CN"/>
        </w:rPr>
        <w:t>。</w:t>
      </w:r>
    </w:p>
    <w:p w14:paraId="6214AC9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highlight w:val="none"/>
          <w:u w:val="single"/>
          <w:lang w:val="en-US" w:eastAsia="zh-CN" w:bidi="ar-SA"/>
        </w:rPr>
      </w:pPr>
      <w:r>
        <w:rPr>
          <w:rFonts w:hint="eastAsia" w:ascii="宋体" w:hAnsi="宋体" w:eastAsia="宋体" w:cs="宋体"/>
          <w:kern w:val="2"/>
          <w:sz w:val="24"/>
          <w:szCs w:val="24"/>
          <w:highlight w:val="none"/>
          <w:u w:val="none"/>
          <w:lang w:val="en-US" w:eastAsia="zh-CN" w:bidi="ar-SA"/>
        </w:rPr>
        <w:t>4、投标保证金收取截止时间：</w:t>
      </w:r>
      <w:r>
        <w:rPr>
          <w:rFonts w:hint="eastAsia" w:ascii="宋体" w:hAnsi="宋体" w:eastAsia="宋体" w:cs="宋体"/>
          <w:kern w:val="2"/>
          <w:sz w:val="24"/>
          <w:szCs w:val="24"/>
          <w:highlight w:val="none"/>
          <w:u w:val="single"/>
          <w:lang w:val="en-US" w:eastAsia="zh-CN" w:bidi="ar-SA"/>
        </w:rPr>
        <w:t>2026年</w:t>
      </w:r>
      <w:r>
        <w:rPr>
          <w:rFonts w:hint="eastAsia" w:hAnsi="宋体" w:cs="宋体"/>
          <w:kern w:val="2"/>
          <w:sz w:val="24"/>
          <w:szCs w:val="24"/>
          <w:highlight w:val="none"/>
          <w:u w:val="single"/>
          <w:lang w:val="en-US" w:eastAsia="zh-CN" w:bidi="ar-SA"/>
        </w:rPr>
        <w:t>3</w:t>
      </w:r>
      <w:r>
        <w:rPr>
          <w:rFonts w:hint="eastAsia" w:ascii="宋体" w:hAnsi="宋体" w:eastAsia="宋体" w:cs="宋体"/>
          <w:kern w:val="2"/>
          <w:sz w:val="24"/>
          <w:szCs w:val="24"/>
          <w:highlight w:val="none"/>
          <w:u w:val="single"/>
          <w:lang w:val="en-US" w:eastAsia="zh-CN" w:bidi="ar-SA"/>
        </w:rPr>
        <w:t>月</w:t>
      </w:r>
      <w:r>
        <w:rPr>
          <w:rFonts w:hint="eastAsia" w:hAnsi="宋体" w:cs="宋体"/>
          <w:kern w:val="2"/>
          <w:sz w:val="24"/>
          <w:szCs w:val="24"/>
          <w:highlight w:val="none"/>
          <w:u w:val="single"/>
          <w:lang w:val="en-US" w:eastAsia="zh-CN" w:bidi="ar-SA"/>
        </w:rPr>
        <w:t>19</w:t>
      </w:r>
      <w:r>
        <w:rPr>
          <w:rFonts w:hint="eastAsia" w:ascii="宋体" w:hAnsi="宋体" w:eastAsia="宋体" w:cs="宋体"/>
          <w:kern w:val="2"/>
          <w:sz w:val="24"/>
          <w:szCs w:val="24"/>
          <w:highlight w:val="none"/>
          <w:u w:val="single"/>
          <w:lang w:val="en-US" w:eastAsia="zh-CN" w:bidi="ar-SA"/>
        </w:rPr>
        <w:t>日1</w:t>
      </w:r>
      <w:r>
        <w:rPr>
          <w:rFonts w:hint="eastAsia" w:hAnsi="宋体" w:cs="宋体"/>
          <w:kern w:val="2"/>
          <w:sz w:val="24"/>
          <w:szCs w:val="24"/>
          <w:highlight w:val="none"/>
          <w:u w:val="single"/>
          <w:lang w:val="en-US" w:eastAsia="zh-CN" w:bidi="ar-SA"/>
        </w:rPr>
        <w:t>7</w:t>
      </w:r>
      <w:r>
        <w:rPr>
          <w:rFonts w:hint="eastAsia" w:ascii="宋体" w:hAnsi="宋体" w:eastAsia="宋体" w:cs="宋体"/>
          <w:kern w:val="2"/>
          <w:sz w:val="24"/>
          <w:szCs w:val="24"/>
          <w:highlight w:val="none"/>
          <w:u w:val="single"/>
          <w:lang w:val="en-US" w:eastAsia="zh-CN" w:bidi="ar-SA"/>
        </w:rPr>
        <w:t>：00</w:t>
      </w:r>
    </w:p>
    <w:p w14:paraId="18A8350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highlight w:val="none"/>
          <w:u w:val="single"/>
          <w:lang w:val="en-US" w:eastAsia="zh-CN" w:bidi="ar-SA"/>
        </w:rPr>
      </w:pPr>
      <w:r>
        <w:rPr>
          <w:rFonts w:hint="eastAsia" w:ascii="宋体" w:hAnsi="宋体" w:eastAsia="宋体" w:cs="宋体"/>
          <w:kern w:val="2"/>
          <w:sz w:val="24"/>
          <w:szCs w:val="24"/>
          <w:highlight w:val="none"/>
          <w:u w:val="none"/>
          <w:lang w:val="en-US" w:eastAsia="zh-CN" w:bidi="ar-SA"/>
        </w:rPr>
        <w:t>5、纸质投标文件提交截止时间：</w:t>
      </w:r>
      <w:r>
        <w:rPr>
          <w:rFonts w:hint="eastAsia" w:ascii="宋体" w:hAnsi="宋体" w:eastAsia="宋体" w:cs="宋体"/>
          <w:kern w:val="2"/>
          <w:sz w:val="24"/>
          <w:szCs w:val="24"/>
          <w:highlight w:val="none"/>
          <w:u w:val="single"/>
          <w:lang w:val="en-US" w:eastAsia="zh-CN" w:bidi="ar-SA"/>
        </w:rPr>
        <w:t>2026年</w:t>
      </w:r>
      <w:r>
        <w:rPr>
          <w:rFonts w:hint="eastAsia" w:hAnsi="宋体" w:cs="宋体"/>
          <w:kern w:val="2"/>
          <w:sz w:val="24"/>
          <w:szCs w:val="24"/>
          <w:highlight w:val="none"/>
          <w:u w:val="single"/>
          <w:lang w:val="en-US" w:eastAsia="zh-CN" w:bidi="ar-SA"/>
        </w:rPr>
        <w:t>3</w:t>
      </w:r>
      <w:r>
        <w:rPr>
          <w:rFonts w:hint="eastAsia" w:ascii="宋体" w:hAnsi="宋体" w:eastAsia="宋体" w:cs="宋体"/>
          <w:kern w:val="2"/>
          <w:sz w:val="24"/>
          <w:szCs w:val="24"/>
          <w:highlight w:val="none"/>
          <w:u w:val="single"/>
          <w:lang w:val="en-US" w:eastAsia="zh-CN" w:bidi="ar-SA"/>
        </w:rPr>
        <w:t>月</w:t>
      </w:r>
      <w:r>
        <w:rPr>
          <w:rFonts w:hint="eastAsia" w:hAnsi="宋体" w:cs="宋体"/>
          <w:kern w:val="2"/>
          <w:sz w:val="24"/>
          <w:szCs w:val="24"/>
          <w:highlight w:val="none"/>
          <w:u w:val="single"/>
          <w:lang w:val="en-US" w:eastAsia="zh-CN" w:bidi="ar-SA"/>
        </w:rPr>
        <w:t>19</w:t>
      </w:r>
      <w:r>
        <w:rPr>
          <w:rFonts w:hint="eastAsia" w:ascii="宋体" w:hAnsi="宋体" w:eastAsia="宋体" w:cs="宋体"/>
          <w:kern w:val="2"/>
          <w:sz w:val="24"/>
          <w:szCs w:val="24"/>
          <w:highlight w:val="none"/>
          <w:u w:val="single"/>
          <w:lang w:val="en-US" w:eastAsia="zh-CN" w:bidi="ar-SA"/>
        </w:rPr>
        <w:t>日1</w:t>
      </w:r>
      <w:r>
        <w:rPr>
          <w:rFonts w:hint="eastAsia" w:hAnsi="宋体" w:cs="宋体"/>
          <w:kern w:val="2"/>
          <w:sz w:val="24"/>
          <w:szCs w:val="24"/>
          <w:highlight w:val="none"/>
          <w:u w:val="single"/>
          <w:lang w:val="en-US" w:eastAsia="zh-CN" w:bidi="ar-SA"/>
        </w:rPr>
        <w:t>7</w:t>
      </w:r>
      <w:r>
        <w:rPr>
          <w:rFonts w:hint="eastAsia" w:ascii="宋体" w:hAnsi="宋体" w:eastAsia="宋体" w:cs="宋体"/>
          <w:kern w:val="2"/>
          <w:sz w:val="24"/>
          <w:szCs w:val="24"/>
          <w:highlight w:val="none"/>
          <w:u w:val="single"/>
          <w:lang w:val="en-US" w:eastAsia="zh-CN" w:bidi="ar-SA"/>
        </w:rPr>
        <w:t>：00</w:t>
      </w:r>
    </w:p>
    <w:p w14:paraId="54FEB207">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kern w:val="2"/>
          <w:sz w:val="24"/>
          <w:szCs w:val="24"/>
          <w:highlight w:val="none"/>
          <w:u w:val="single"/>
          <w:lang w:val="en-US" w:eastAsia="zh-CN" w:bidi="ar-SA"/>
        </w:rPr>
      </w:pPr>
      <w:r>
        <w:rPr>
          <w:rFonts w:hint="eastAsia" w:ascii="宋体" w:hAnsi="宋体" w:eastAsia="宋体" w:cs="宋体"/>
          <w:kern w:val="2"/>
          <w:sz w:val="24"/>
          <w:szCs w:val="24"/>
          <w:highlight w:val="none"/>
          <w:u w:val="none"/>
          <w:lang w:val="en-US" w:eastAsia="zh-CN" w:bidi="ar-SA"/>
        </w:rPr>
        <w:t>6、投标截止时间：</w:t>
      </w:r>
      <w:r>
        <w:rPr>
          <w:rFonts w:hint="eastAsia" w:ascii="宋体" w:hAnsi="宋体" w:eastAsia="宋体" w:cs="宋体"/>
          <w:kern w:val="2"/>
          <w:sz w:val="24"/>
          <w:szCs w:val="24"/>
          <w:highlight w:val="none"/>
          <w:u w:val="single"/>
          <w:lang w:val="en-US" w:eastAsia="zh-CN" w:bidi="ar-SA"/>
        </w:rPr>
        <w:t>2026年</w:t>
      </w:r>
      <w:r>
        <w:rPr>
          <w:rFonts w:hint="eastAsia" w:hAnsi="宋体" w:cs="宋体"/>
          <w:kern w:val="2"/>
          <w:sz w:val="24"/>
          <w:szCs w:val="24"/>
          <w:highlight w:val="none"/>
          <w:u w:val="single"/>
          <w:lang w:val="en-US" w:eastAsia="zh-CN" w:bidi="ar-SA"/>
        </w:rPr>
        <w:t>3</w:t>
      </w:r>
      <w:r>
        <w:rPr>
          <w:rFonts w:hint="eastAsia" w:ascii="宋体" w:hAnsi="宋体" w:eastAsia="宋体" w:cs="宋体"/>
          <w:kern w:val="2"/>
          <w:sz w:val="24"/>
          <w:szCs w:val="24"/>
          <w:highlight w:val="none"/>
          <w:u w:val="single"/>
          <w:lang w:val="en-US" w:eastAsia="zh-CN" w:bidi="ar-SA"/>
        </w:rPr>
        <w:t>月</w:t>
      </w:r>
      <w:r>
        <w:rPr>
          <w:rFonts w:hint="eastAsia" w:hAnsi="宋体" w:cs="宋体"/>
          <w:kern w:val="2"/>
          <w:sz w:val="24"/>
          <w:szCs w:val="24"/>
          <w:highlight w:val="none"/>
          <w:u w:val="single"/>
          <w:lang w:val="en-US" w:eastAsia="zh-CN" w:bidi="ar-SA"/>
        </w:rPr>
        <w:t>19</w:t>
      </w:r>
      <w:r>
        <w:rPr>
          <w:rFonts w:hint="eastAsia" w:ascii="宋体" w:hAnsi="宋体" w:eastAsia="宋体" w:cs="宋体"/>
          <w:kern w:val="2"/>
          <w:sz w:val="24"/>
          <w:szCs w:val="24"/>
          <w:highlight w:val="none"/>
          <w:u w:val="single"/>
          <w:lang w:val="en-US" w:eastAsia="zh-CN" w:bidi="ar-SA"/>
        </w:rPr>
        <w:t>日1</w:t>
      </w:r>
      <w:r>
        <w:rPr>
          <w:rFonts w:hint="eastAsia" w:hAnsi="宋体" w:cs="宋体"/>
          <w:kern w:val="2"/>
          <w:sz w:val="24"/>
          <w:szCs w:val="24"/>
          <w:highlight w:val="none"/>
          <w:u w:val="single"/>
          <w:lang w:val="en-US" w:eastAsia="zh-CN" w:bidi="ar-SA"/>
        </w:rPr>
        <w:t>7</w:t>
      </w:r>
      <w:r>
        <w:rPr>
          <w:rFonts w:hint="eastAsia" w:ascii="宋体" w:hAnsi="宋体" w:eastAsia="宋体" w:cs="宋体"/>
          <w:kern w:val="2"/>
          <w:sz w:val="24"/>
          <w:szCs w:val="24"/>
          <w:highlight w:val="none"/>
          <w:u w:val="single"/>
          <w:lang w:val="en-US" w:eastAsia="zh-CN" w:bidi="ar-SA"/>
        </w:rPr>
        <w:t>:00</w:t>
      </w:r>
    </w:p>
    <w:p w14:paraId="6369AC73">
      <w:pPr>
        <w:pStyle w:val="14"/>
        <w:tabs>
          <w:tab w:val="left" w:pos="539"/>
        </w:tabs>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w:t>
      </w:r>
      <w:r>
        <w:rPr>
          <w:rFonts w:hint="eastAsia" w:cs="仿宋" w:asciiTheme="minorEastAsia" w:hAnsiTheme="minorEastAsia" w:eastAsiaTheme="minorEastAsia"/>
          <w:sz w:val="24"/>
          <w:szCs w:val="24"/>
          <w:highlight w:val="none"/>
        </w:rPr>
        <w:t>、答疑</w:t>
      </w:r>
      <w:r>
        <w:rPr>
          <w:rFonts w:hint="eastAsia" w:cs="仿宋" w:asciiTheme="minorEastAsia" w:hAnsiTheme="minorEastAsia" w:eastAsiaTheme="minorEastAsia"/>
          <w:sz w:val="24"/>
          <w:szCs w:val="24"/>
          <w:highlight w:val="none"/>
          <w:lang w:val="en-US" w:eastAsia="zh-CN"/>
        </w:rPr>
        <w:t>截止</w:t>
      </w:r>
      <w:r>
        <w:rPr>
          <w:rFonts w:hint="eastAsia" w:cs="仿宋" w:asciiTheme="minorEastAsia" w:hAnsiTheme="minorEastAsia" w:eastAsiaTheme="minorEastAsia"/>
          <w:sz w:val="24"/>
          <w:szCs w:val="24"/>
          <w:highlight w:val="none"/>
        </w:rPr>
        <w:t>时间：</w:t>
      </w:r>
      <w:r>
        <w:rPr>
          <w:rFonts w:hint="eastAsia" w:cs="仿宋" w:asciiTheme="minorEastAsia" w:hAnsiTheme="minorEastAsia" w:eastAsiaTheme="minorEastAsia"/>
          <w:sz w:val="24"/>
          <w:szCs w:val="24"/>
          <w:highlight w:val="none"/>
          <w:u w:val="single"/>
          <w:lang w:val="en-US" w:eastAsia="zh-CN"/>
        </w:rPr>
        <w:t xml:space="preserve"> </w:t>
      </w:r>
      <w:r>
        <w:rPr>
          <w:rFonts w:hint="eastAsia" w:ascii="宋体" w:hAnsi="宋体" w:eastAsia="宋体" w:cs="宋体"/>
          <w:kern w:val="2"/>
          <w:sz w:val="24"/>
          <w:szCs w:val="24"/>
          <w:highlight w:val="none"/>
          <w:u w:val="single"/>
          <w:lang w:val="en-US" w:eastAsia="zh-CN" w:bidi="ar-SA"/>
        </w:rPr>
        <w:t>2026年</w:t>
      </w:r>
      <w:r>
        <w:rPr>
          <w:rFonts w:hint="eastAsia" w:hAnsi="宋体" w:cs="宋体"/>
          <w:kern w:val="2"/>
          <w:sz w:val="24"/>
          <w:szCs w:val="24"/>
          <w:highlight w:val="none"/>
          <w:u w:val="single"/>
          <w:lang w:val="en-US" w:eastAsia="zh-CN" w:bidi="ar-SA"/>
        </w:rPr>
        <w:t>3</w:t>
      </w:r>
      <w:r>
        <w:rPr>
          <w:rFonts w:hint="eastAsia" w:ascii="宋体" w:hAnsi="宋体" w:eastAsia="宋体" w:cs="宋体"/>
          <w:kern w:val="2"/>
          <w:sz w:val="24"/>
          <w:szCs w:val="24"/>
          <w:highlight w:val="none"/>
          <w:u w:val="single"/>
          <w:lang w:val="en-US" w:eastAsia="zh-CN" w:bidi="ar-SA"/>
        </w:rPr>
        <w:t>月</w:t>
      </w:r>
      <w:r>
        <w:rPr>
          <w:rFonts w:hint="eastAsia" w:hAnsi="宋体" w:cs="宋体"/>
          <w:kern w:val="2"/>
          <w:sz w:val="24"/>
          <w:szCs w:val="24"/>
          <w:highlight w:val="none"/>
          <w:u w:val="single"/>
          <w:lang w:val="en-US" w:eastAsia="zh-CN" w:bidi="ar-SA"/>
        </w:rPr>
        <w:t>19</w:t>
      </w:r>
      <w:r>
        <w:rPr>
          <w:rFonts w:hint="eastAsia" w:ascii="宋体" w:hAnsi="宋体" w:eastAsia="宋体" w:cs="宋体"/>
          <w:kern w:val="2"/>
          <w:sz w:val="24"/>
          <w:szCs w:val="24"/>
          <w:highlight w:val="none"/>
          <w:u w:val="single"/>
          <w:lang w:val="en-US" w:eastAsia="zh-CN" w:bidi="ar-SA"/>
        </w:rPr>
        <w:t>日17:00</w:t>
      </w:r>
      <w:r>
        <w:rPr>
          <w:rFonts w:hint="eastAsia" w:cs="仿宋" w:asciiTheme="minorEastAsia" w:hAnsiTheme="minorEastAsia" w:eastAsiaTheme="minorEastAsia"/>
          <w:sz w:val="24"/>
          <w:szCs w:val="24"/>
          <w:highlight w:val="none"/>
          <w:u w:val="single"/>
          <w:lang w:val="en-US" w:eastAsia="zh-CN"/>
        </w:rPr>
        <w:t xml:space="preserve"> </w:t>
      </w:r>
      <w:r>
        <w:rPr>
          <w:rFonts w:hint="eastAsia" w:cs="仿宋" w:asciiTheme="minorEastAsia" w:hAnsiTheme="minorEastAsia" w:eastAsiaTheme="minorEastAsia"/>
          <w:sz w:val="24"/>
          <w:szCs w:val="24"/>
          <w:highlight w:val="none"/>
        </w:rPr>
        <w:t>，逾期不受理</w:t>
      </w:r>
      <w:r>
        <w:rPr>
          <w:rFonts w:hint="eastAsia" w:cs="仿宋" w:asciiTheme="minorEastAsia" w:hAnsiTheme="minorEastAsia" w:eastAsiaTheme="minorEastAsia"/>
          <w:sz w:val="24"/>
          <w:szCs w:val="24"/>
          <w:highlight w:val="none"/>
          <w:lang w:eastAsia="zh-CN"/>
        </w:rPr>
        <w:t>。</w:t>
      </w:r>
    </w:p>
    <w:p w14:paraId="6F794FCE">
      <w:pPr>
        <w:pStyle w:val="14"/>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答疑方式：</w:t>
      </w:r>
      <w:r>
        <w:rPr>
          <w:rFonts w:hint="eastAsia" w:cs="仿宋" w:asciiTheme="minorEastAsia" w:hAnsiTheme="minorEastAsia" w:eastAsiaTheme="minorEastAsia"/>
          <w:sz w:val="24"/>
          <w:szCs w:val="24"/>
          <w:highlight w:val="none"/>
          <w:lang w:val="en-US" w:eastAsia="zh-CN"/>
        </w:rPr>
        <w:t>电话、</w:t>
      </w:r>
      <w:r>
        <w:rPr>
          <w:rFonts w:hint="eastAsia" w:cs="仿宋" w:asciiTheme="minorEastAsia" w:hAnsiTheme="minorEastAsia" w:eastAsiaTheme="minorEastAsia"/>
          <w:sz w:val="24"/>
          <w:szCs w:val="24"/>
          <w:highlight w:val="none"/>
        </w:rPr>
        <w:t>书面</w:t>
      </w:r>
      <w:r>
        <w:rPr>
          <w:rFonts w:hint="eastAsia" w:cs="仿宋" w:asciiTheme="minorEastAsia" w:hAnsiTheme="minorEastAsia" w:eastAsiaTheme="minorEastAsia"/>
          <w:sz w:val="24"/>
          <w:szCs w:val="24"/>
          <w:highlight w:val="none"/>
          <w:lang w:val="en-US" w:eastAsia="zh-CN"/>
        </w:rPr>
        <w:t>或</w:t>
      </w:r>
      <w:r>
        <w:rPr>
          <w:rFonts w:hint="eastAsia" w:cs="仿宋" w:asciiTheme="minorEastAsia" w:hAnsiTheme="minorEastAsia" w:eastAsiaTheme="minorEastAsia"/>
          <w:sz w:val="24"/>
          <w:szCs w:val="24"/>
          <w:highlight w:val="none"/>
        </w:rPr>
        <w:t>电子邮件</w:t>
      </w:r>
    </w:p>
    <w:p w14:paraId="0EB4EDE1">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联系人：刘琦13668800214</w:t>
      </w:r>
    </w:p>
    <w:p w14:paraId="1F2A58D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lang w:val="en-US" w:eastAsia="zh-CN"/>
        </w:rPr>
        <w:t>8</w:t>
      </w:r>
      <w:r>
        <w:rPr>
          <w:rFonts w:hint="eastAsia" w:cs="仿宋" w:asciiTheme="minorEastAsia" w:hAnsiTheme="minorEastAsia" w:eastAsiaTheme="minorEastAsia"/>
          <w:sz w:val="24"/>
          <w:szCs w:val="24"/>
          <w:highlight w:val="none"/>
        </w:rPr>
        <w:t>、开标时间：</w:t>
      </w:r>
      <w:r>
        <w:rPr>
          <w:rFonts w:hint="eastAsia" w:cs="仿宋" w:asciiTheme="minorEastAsia" w:hAnsiTheme="minorEastAsia" w:eastAsiaTheme="minorEastAsia"/>
          <w:sz w:val="24"/>
          <w:szCs w:val="24"/>
          <w:highlight w:val="none"/>
          <w:u w:val="single"/>
          <w:lang w:val="en-US" w:eastAsia="zh-CN"/>
        </w:rPr>
        <w:t xml:space="preserve"> 2026年3月20日13:30 </w:t>
      </w:r>
      <w:r>
        <w:rPr>
          <w:rFonts w:hint="eastAsia" w:cs="仿宋" w:asciiTheme="minorEastAsia" w:hAnsiTheme="minorEastAsia" w:eastAsiaTheme="minorEastAsia"/>
          <w:sz w:val="24"/>
          <w:szCs w:val="24"/>
          <w:highlight w:val="none"/>
        </w:rPr>
        <w:t>，若有变动另行通知。</w:t>
      </w:r>
    </w:p>
    <w:p w14:paraId="136B57F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sz w:val="24"/>
          <w:szCs w:val="24"/>
          <w:highlight w:val="none"/>
          <w:lang w:eastAsia="zh-CN"/>
        </w:rPr>
      </w:pPr>
      <w:r>
        <w:rPr>
          <w:rFonts w:hint="eastAsia" w:cs="仿宋" w:asciiTheme="minorEastAsia" w:hAnsiTheme="minorEastAsia" w:eastAsiaTheme="minorEastAsia"/>
          <w:sz w:val="24"/>
          <w:szCs w:val="24"/>
          <w:highlight w:val="none"/>
          <w:lang w:val="en-US" w:eastAsia="zh-CN"/>
        </w:rPr>
        <w:t>9</w:t>
      </w:r>
      <w:r>
        <w:rPr>
          <w:rFonts w:hint="eastAsia" w:cs="仿宋" w:asciiTheme="minorEastAsia" w:hAnsiTheme="minorEastAsia" w:eastAsiaTheme="minorEastAsia"/>
          <w:sz w:val="24"/>
          <w:szCs w:val="24"/>
          <w:highlight w:val="none"/>
        </w:rPr>
        <w:t>、</w:t>
      </w:r>
      <w:r>
        <w:rPr>
          <w:rFonts w:hint="eastAsia" w:cs="仿宋" w:asciiTheme="minorEastAsia" w:hAnsiTheme="minorEastAsia" w:eastAsiaTheme="minorEastAsia"/>
          <w:sz w:val="24"/>
          <w:szCs w:val="24"/>
          <w:highlight w:val="none"/>
          <w:lang w:val="en-US" w:eastAsia="zh-CN"/>
        </w:rPr>
        <w:t>开标</w:t>
      </w:r>
      <w:r>
        <w:rPr>
          <w:rFonts w:hint="eastAsia" w:cs="仿宋" w:asciiTheme="minorEastAsia" w:hAnsiTheme="minorEastAsia" w:eastAsiaTheme="minorEastAsia"/>
          <w:sz w:val="24"/>
          <w:szCs w:val="24"/>
          <w:highlight w:val="none"/>
        </w:rPr>
        <w:t>标地点：济南市高新区华奥路777号</w:t>
      </w:r>
      <w:r>
        <w:rPr>
          <w:rFonts w:hint="eastAsia" w:cs="仿宋" w:asciiTheme="minorEastAsia" w:hAnsiTheme="minorEastAsia" w:eastAsiaTheme="minorEastAsia"/>
          <w:sz w:val="24"/>
          <w:szCs w:val="24"/>
          <w:highlight w:val="none"/>
          <w:lang w:eastAsia="zh-CN"/>
        </w:rPr>
        <w:t>（</w:t>
      </w:r>
      <w:r>
        <w:rPr>
          <w:rFonts w:hint="eastAsia" w:cs="仿宋" w:asciiTheme="minorEastAsia" w:hAnsiTheme="minorEastAsia" w:eastAsiaTheme="minorEastAsia"/>
          <w:sz w:val="24"/>
          <w:szCs w:val="24"/>
          <w:highlight w:val="none"/>
          <w:lang w:val="en-US" w:eastAsia="zh-CN"/>
        </w:rPr>
        <w:t>暂定</w:t>
      </w:r>
      <w:r>
        <w:rPr>
          <w:rFonts w:hint="eastAsia" w:cs="仿宋" w:asciiTheme="minorEastAsia" w:hAnsiTheme="minorEastAsia" w:eastAsiaTheme="minorEastAsia"/>
          <w:sz w:val="24"/>
          <w:szCs w:val="24"/>
          <w:highlight w:val="none"/>
          <w:lang w:eastAsia="zh-CN"/>
        </w:rPr>
        <w:t>）</w:t>
      </w:r>
    </w:p>
    <w:p w14:paraId="7744DABE">
      <w:pPr>
        <w:rPr>
          <w:rFonts w:hint="eastAsia"/>
          <w:lang w:eastAsia="zh-CN"/>
        </w:rPr>
      </w:pPr>
    </w:p>
    <w:p w14:paraId="3E1C6566">
      <w:pPr>
        <w:pStyle w:val="14"/>
        <w:spacing w:line="360" w:lineRule="auto"/>
        <w:jc w:val="center"/>
        <w:rPr>
          <w:rFonts w:hint="default" w:ascii="黑体" w:eastAsia="宋体"/>
          <w:b/>
          <w:bCs/>
          <w:color w:val="000000"/>
          <w:sz w:val="36"/>
          <w:szCs w:val="36"/>
          <w:highlight w:val="none"/>
          <w:lang w:val="en-US" w:eastAsia="zh-CN"/>
        </w:rPr>
      </w:pPr>
      <w:r>
        <w:rPr>
          <w:rFonts w:hint="eastAsia" w:hAnsi="宋体" w:cs="宋体"/>
          <w:b/>
          <w:bCs/>
          <w:color w:val="000000"/>
          <w:sz w:val="36"/>
          <w:szCs w:val="36"/>
          <w:highlight w:val="none"/>
        </w:rPr>
        <w:t>第</w:t>
      </w:r>
      <w:r>
        <w:rPr>
          <w:rFonts w:hint="eastAsia" w:hAnsi="宋体" w:cs="宋体"/>
          <w:b/>
          <w:bCs/>
          <w:color w:val="000000"/>
          <w:sz w:val="36"/>
          <w:szCs w:val="36"/>
          <w:highlight w:val="none"/>
          <w:lang w:val="en-US" w:eastAsia="zh-CN"/>
        </w:rPr>
        <w:t>二</w:t>
      </w:r>
      <w:r>
        <w:rPr>
          <w:rFonts w:hint="eastAsia" w:hAnsi="宋体" w:cs="宋体"/>
          <w:b/>
          <w:bCs/>
          <w:color w:val="000000"/>
          <w:sz w:val="36"/>
          <w:szCs w:val="36"/>
          <w:highlight w:val="none"/>
        </w:rPr>
        <w:t xml:space="preserve">部分  </w:t>
      </w:r>
      <w:r>
        <w:rPr>
          <w:rFonts w:hint="eastAsia" w:hAnsi="宋体" w:cs="宋体"/>
          <w:b/>
          <w:bCs/>
          <w:color w:val="000000"/>
          <w:sz w:val="36"/>
          <w:szCs w:val="36"/>
          <w:highlight w:val="none"/>
          <w:lang w:val="en-US" w:eastAsia="zh-CN"/>
        </w:rPr>
        <w:t>招标内容和要求</w:t>
      </w:r>
    </w:p>
    <w:p w14:paraId="2165E76D">
      <w:pPr>
        <w:keepNext w:val="0"/>
        <w:keepLines w:val="0"/>
        <w:widowControl/>
        <w:suppressLineNumbers w:val="0"/>
        <w:jc w:val="left"/>
        <w:textAlignment w:val="center"/>
        <w:rPr>
          <w:rFonts w:hint="eastAsia" w:ascii="宋体" w:hAnsi="宋体" w:eastAsia="宋体" w:cs="宋体"/>
          <w:b/>
          <w:i w:val="0"/>
          <w:color w:val="000000"/>
          <w:kern w:val="0"/>
          <w:sz w:val="24"/>
          <w:szCs w:val="24"/>
          <w:highlight w:val="none"/>
          <w:u w:val="none"/>
          <w:lang w:val="en-US" w:eastAsia="zh-CN" w:bidi="ar"/>
        </w:rPr>
      </w:pPr>
    </w:p>
    <w:p w14:paraId="2CF56345">
      <w:pPr>
        <w:pStyle w:val="14"/>
        <w:spacing w:line="360" w:lineRule="auto"/>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一、维修工程量明细如下：</w:t>
      </w:r>
    </w:p>
    <w:tbl>
      <w:tblPr>
        <w:tblStyle w:val="32"/>
        <w:tblW w:w="0" w:type="auto"/>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2292"/>
        <w:gridCol w:w="2427"/>
        <w:gridCol w:w="2975"/>
      </w:tblGrid>
      <w:tr w14:paraId="2B90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25C6AA24">
            <w:pPr>
              <w:spacing w:line="580" w:lineRule="exact"/>
              <w:jc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sz w:val="24"/>
                <w:szCs w:val="24"/>
                <w:highlight w:val="none"/>
              </w:rPr>
              <w:t>序号</w:t>
            </w:r>
          </w:p>
        </w:tc>
        <w:tc>
          <w:tcPr>
            <w:tcW w:w="2292" w:type="dxa"/>
            <w:vAlign w:val="center"/>
          </w:tcPr>
          <w:p w14:paraId="7C490DFE">
            <w:pPr>
              <w:spacing w:line="580" w:lineRule="exact"/>
              <w:jc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维修</w:t>
            </w:r>
            <w:r>
              <w:rPr>
                <w:rFonts w:hint="eastAsia" w:ascii="宋体" w:hAnsi="宋体" w:eastAsia="宋体" w:cs="宋体"/>
                <w:b w:val="0"/>
                <w:bCs w:val="0"/>
                <w:color w:val="000000"/>
                <w:sz w:val="24"/>
                <w:szCs w:val="24"/>
                <w:highlight w:val="none"/>
              </w:rPr>
              <w:t>项目</w:t>
            </w:r>
            <w:r>
              <w:rPr>
                <w:rFonts w:hint="eastAsia" w:ascii="宋体" w:hAnsi="宋体" w:eastAsia="宋体" w:cs="宋体"/>
                <w:b w:val="0"/>
                <w:bCs w:val="0"/>
                <w:color w:val="000000"/>
                <w:sz w:val="24"/>
                <w:szCs w:val="24"/>
                <w:highlight w:val="none"/>
                <w:lang w:val="en-US" w:eastAsia="zh-CN"/>
              </w:rPr>
              <w:t>名称</w:t>
            </w:r>
          </w:p>
        </w:tc>
        <w:tc>
          <w:tcPr>
            <w:tcW w:w="2427" w:type="dxa"/>
            <w:vAlign w:val="center"/>
          </w:tcPr>
          <w:p w14:paraId="00E14A75">
            <w:pPr>
              <w:spacing w:line="580" w:lineRule="exact"/>
              <w:jc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规格型号</w:t>
            </w:r>
          </w:p>
        </w:tc>
        <w:tc>
          <w:tcPr>
            <w:tcW w:w="2975" w:type="dxa"/>
            <w:vAlign w:val="center"/>
          </w:tcPr>
          <w:p w14:paraId="6FBE3E7B">
            <w:pPr>
              <w:spacing w:line="580" w:lineRule="exact"/>
              <w:jc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具体参数</w:t>
            </w:r>
          </w:p>
        </w:tc>
      </w:tr>
      <w:tr w14:paraId="231A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37C4DDF6">
            <w:pPr>
              <w:spacing w:line="580" w:lineRule="exact"/>
              <w:jc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cs="宋体"/>
                <w:b w:val="0"/>
                <w:bCs w:val="0"/>
                <w:color w:val="000000"/>
                <w:sz w:val="24"/>
                <w:szCs w:val="24"/>
                <w:highlight w:val="none"/>
                <w:lang w:val="en-US" w:eastAsia="zh-CN"/>
              </w:rPr>
              <w:t>1</w:t>
            </w:r>
          </w:p>
        </w:tc>
        <w:tc>
          <w:tcPr>
            <w:tcW w:w="2292" w:type="dxa"/>
            <w:vAlign w:val="center"/>
          </w:tcPr>
          <w:p w14:paraId="707EAB9B">
            <w:pPr>
              <w:spacing w:line="580" w:lineRule="exact"/>
              <w:jc w:val="left"/>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反光热熔标线</w:t>
            </w:r>
          </w:p>
        </w:tc>
        <w:tc>
          <w:tcPr>
            <w:tcW w:w="2427" w:type="dxa"/>
            <w:vAlign w:val="center"/>
          </w:tcPr>
          <w:p w14:paraId="5ED15BA9">
            <w:pPr>
              <w:keepNext w:val="0"/>
              <w:keepLines w:val="0"/>
              <w:widowControl/>
              <w:suppressLineNumbers w:val="0"/>
              <w:jc w:val="center"/>
              <w:textAlignment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厚度1.5-2mm，颜色按要求</w:t>
            </w:r>
          </w:p>
        </w:tc>
        <w:tc>
          <w:tcPr>
            <w:tcW w:w="2975" w:type="dxa"/>
            <w:vAlign w:val="center"/>
          </w:tcPr>
          <w:p w14:paraId="1E2F9E9D">
            <w:pPr>
              <w:keepNext w:val="0"/>
              <w:keepLines w:val="0"/>
              <w:widowControl/>
              <w:suppressLineNumbers w:val="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热熔型反光道路标线涂料</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含15%-20%玻璃珠</w:t>
            </w:r>
          </w:p>
        </w:tc>
      </w:tr>
      <w:tr w14:paraId="6818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2E221878">
            <w:pPr>
              <w:spacing w:line="580" w:lineRule="exact"/>
              <w:jc w:val="center"/>
              <w:rPr>
                <w:rFonts w:hint="default" w:ascii="宋体" w:hAnsi="宋体" w:eastAsia="宋体" w:cs="宋体"/>
                <w:b w:val="0"/>
                <w:bCs w:val="0"/>
                <w:color w:val="000000"/>
                <w:kern w:val="2"/>
                <w:sz w:val="24"/>
                <w:szCs w:val="24"/>
                <w:highlight w:val="none"/>
                <w:lang w:val="en-US" w:eastAsia="zh-CN" w:bidi="ar-SA"/>
              </w:rPr>
            </w:pPr>
            <w:r>
              <w:rPr>
                <w:rFonts w:hint="eastAsia" w:ascii="宋体" w:hAnsi="宋体" w:cs="宋体"/>
                <w:b w:val="0"/>
                <w:bCs w:val="0"/>
                <w:color w:val="000000"/>
                <w:kern w:val="2"/>
                <w:sz w:val="24"/>
                <w:szCs w:val="24"/>
                <w:highlight w:val="none"/>
                <w:lang w:val="en-US" w:eastAsia="zh-CN" w:bidi="ar-SA"/>
              </w:rPr>
              <w:t>2</w:t>
            </w:r>
          </w:p>
        </w:tc>
        <w:tc>
          <w:tcPr>
            <w:tcW w:w="2292" w:type="dxa"/>
            <w:vAlign w:val="center"/>
          </w:tcPr>
          <w:p w14:paraId="4C1F861A">
            <w:pPr>
              <w:spacing w:line="580" w:lineRule="exact"/>
              <w:jc w:val="left"/>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常温冷漆标线</w:t>
            </w:r>
          </w:p>
        </w:tc>
        <w:tc>
          <w:tcPr>
            <w:tcW w:w="2427" w:type="dxa"/>
            <w:vAlign w:val="center"/>
          </w:tcPr>
          <w:p w14:paraId="1D57B6D1">
            <w:pPr>
              <w:keepNext w:val="0"/>
              <w:keepLines w:val="0"/>
              <w:widowControl/>
              <w:suppressLineNumbers w:val="0"/>
              <w:jc w:val="center"/>
              <w:textAlignment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厚度0.3-0.5mm，颜色按要求</w:t>
            </w:r>
          </w:p>
        </w:tc>
        <w:tc>
          <w:tcPr>
            <w:tcW w:w="2975" w:type="dxa"/>
            <w:vAlign w:val="center"/>
          </w:tcPr>
          <w:p w14:paraId="745F47F8">
            <w:pPr>
              <w:keepNext w:val="0"/>
              <w:keepLines w:val="0"/>
              <w:widowControl/>
              <w:suppressLineNumbers w:val="0"/>
              <w:jc w:val="center"/>
              <w:textAlignment w:val="center"/>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常温溶剂型道路标线涂料</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喷涂两遍</w:t>
            </w:r>
          </w:p>
        </w:tc>
      </w:tr>
    </w:tbl>
    <w:p w14:paraId="511AB5ED">
      <w:pPr>
        <w:keepNext w:val="0"/>
        <w:keepLines w:val="0"/>
        <w:widowControl/>
        <w:suppressLineNumbers w:val="0"/>
        <w:jc w:val="left"/>
        <w:textAlignment w:val="center"/>
        <w:rPr>
          <w:rFonts w:hint="eastAsia" w:ascii="宋体" w:hAnsi="宋体" w:eastAsia="宋体" w:cs="宋体"/>
          <w:b/>
          <w:i w:val="0"/>
          <w:color w:val="000000"/>
          <w:kern w:val="0"/>
          <w:sz w:val="24"/>
          <w:szCs w:val="24"/>
          <w:highlight w:val="none"/>
          <w:u w:val="none"/>
          <w:lang w:val="en-US" w:eastAsia="zh-CN" w:bidi="ar"/>
        </w:rPr>
      </w:pPr>
      <w:bookmarkStart w:id="1" w:name="_Toc25694_WPSOffice_Level2"/>
    </w:p>
    <w:p w14:paraId="26F241FC">
      <w:pPr>
        <w:keepNext w:val="0"/>
        <w:keepLines w:val="0"/>
        <w:widowControl/>
        <w:suppressLineNumbers w:val="0"/>
        <w:jc w:val="left"/>
        <w:textAlignment w:val="center"/>
        <w:rPr>
          <w:rFonts w:hint="default" w:ascii="宋体" w:hAnsi="宋体" w:eastAsia="宋体" w:cs="宋体"/>
          <w:b/>
          <w:i w:val="0"/>
          <w:color w:val="000000"/>
          <w:kern w:val="0"/>
          <w:sz w:val="24"/>
          <w:szCs w:val="24"/>
          <w:highlight w:val="none"/>
          <w:u w:val="none"/>
          <w:lang w:val="en-US" w:eastAsia="zh-CN" w:bidi="ar"/>
        </w:rPr>
      </w:pPr>
      <w:r>
        <w:rPr>
          <w:rFonts w:hint="eastAsia" w:ascii="宋体" w:hAnsi="宋体" w:cs="宋体"/>
          <w:b/>
          <w:i w:val="0"/>
          <w:color w:val="000000"/>
          <w:kern w:val="0"/>
          <w:sz w:val="24"/>
          <w:szCs w:val="24"/>
          <w:highlight w:val="none"/>
          <w:u w:val="none"/>
          <w:lang w:val="en-US" w:eastAsia="zh-CN" w:bidi="ar"/>
        </w:rPr>
        <w:t>说明：本项目数量为预估数量，实际结算数量以审计结果为准。单次施工费用10万元以内。</w:t>
      </w:r>
    </w:p>
    <w:p w14:paraId="36FE69CF">
      <w:pPr>
        <w:keepNext w:val="0"/>
        <w:keepLines w:val="0"/>
        <w:widowControl/>
        <w:suppressLineNumbers w:val="0"/>
        <w:jc w:val="left"/>
        <w:textAlignment w:val="center"/>
        <w:rPr>
          <w:rFonts w:hint="eastAsia" w:ascii="宋体" w:hAnsi="宋体" w:eastAsia="宋体" w:cs="宋体"/>
          <w:b/>
          <w:i w:val="0"/>
          <w:color w:val="000000"/>
          <w:kern w:val="0"/>
          <w:sz w:val="24"/>
          <w:szCs w:val="24"/>
          <w:highlight w:val="none"/>
          <w:u w:val="none"/>
          <w:lang w:val="en-US" w:eastAsia="zh-CN" w:bidi="ar"/>
        </w:rPr>
      </w:pPr>
    </w:p>
    <w:p w14:paraId="5D650E3D">
      <w:pPr>
        <w:pStyle w:val="14"/>
        <w:spacing w:line="360" w:lineRule="auto"/>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二、技术质量及工期要求</w:t>
      </w:r>
      <w:bookmarkEnd w:id="1"/>
      <w:r>
        <w:rPr>
          <w:rFonts w:hint="eastAsia" w:cs="仿宋" w:asciiTheme="minorEastAsia" w:hAnsiTheme="minorEastAsia" w:eastAsiaTheme="minorEastAsia"/>
          <w:b/>
          <w:bCs/>
          <w:sz w:val="24"/>
          <w:szCs w:val="24"/>
          <w:highlight w:val="none"/>
          <w:lang w:val="en-US" w:eastAsia="zh-CN"/>
        </w:rPr>
        <w:t>：</w:t>
      </w:r>
    </w:p>
    <w:p w14:paraId="6DC39F0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 xml:space="preserve"> </w:t>
      </w:r>
      <w:r>
        <w:rPr>
          <w:rFonts w:hint="eastAsia" w:cs="仿宋" w:asciiTheme="minorEastAsia" w:hAnsiTheme="minorEastAsia" w:eastAsiaTheme="minorEastAsia"/>
          <w:b/>
          <w:bCs/>
          <w:sz w:val="24"/>
          <w:szCs w:val="24"/>
          <w:highlight w:val="none"/>
          <w:lang w:val="en-US" w:eastAsia="zh-CN"/>
        </w:rPr>
        <w:t>1、反光热熔标线</w:t>
      </w:r>
    </w:p>
    <w:p w14:paraId="5EBFB50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（1）首先需对路面进行清洁，确保无灰尘、油污或其他杂质。气温低于5摄氏度或雨天不宜施工，以免影响涂料固化效果。</w:t>
      </w:r>
    </w:p>
    <w:p w14:paraId="0B37FD0F">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default" w:cs="仿宋" w:asciiTheme="minorEastAsia" w:hAnsiTheme="minorEastAsia" w:eastAsiaTheme="minorEastAsia"/>
          <w:sz w:val="24"/>
          <w:szCs w:val="24"/>
          <w:highlight w:val="none"/>
          <w:lang w:val="en-US" w:eastAsia="zh-CN"/>
        </w:rPr>
        <w:t>规范划线操作：划线时需要按照规定的线路和角度进行操作，确保标线的位置、宽度和角度符合相关标准要求。</w:t>
      </w:r>
      <w:r>
        <w:rPr>
          <w:rFonts w:hint="eastAsia" w:cs="仿宋" w:asciiTheme="minorEastAsia" w:hAnsiTheme="minorEastAsia" w:eastAsiaTheme="minorEastAsia"/>
          <w:sz w:val="24"/>
          <w:szCs w:val="24"/>
          <w:highlight w:val="none"/>
          <w:lang w:val="en-US" w:eastAsia="zh-CN"/>
        </w:rPr>
        <w:t>根据设计要求测量放样，确定标线的位置和形状，使用弹线或激光定位仪辅助。</w:t>
      </w:r>
    </w:p>
    <w:p w14:paraId="25DF3E0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（3）预热划线设备：使用加热设备对划线设备进行预热，使设备达到最佳工作状态，确保涂料能够均匀融化。</w:t>
      </w:r>
    </w:p>
    <w:p w14:paraId="631BECCC">
      <w:pPr>
        <w:pStyle w:val="14"/>
        <w:spacing w:line="360" w:lineRule="auto"/>
        <w:ind w:firstLine="480" w:firstLineChars="200"/>
        <w:rPr>
          <w:rFonts w:hint="default"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w:t>
      </w:r>
      <w:r>
        <w:rPr>
          <w:rFonts w:hint="default" w:cs="仿宋" w:asciiTheme="minorEastAsia" w:hAnsiTheme="minorEastAsia" w:eastAsiaTheme="minorEastAsia"/>
          <w:sz w:val="24"/>
          <w:szCs w:val="24"/>
          <w:highlight w:val="none"/>
          <w:lang w:val="en-US" w:eastAsia="zh-CN"/>
        </w:rPr>
        <w:t>搅拌涂料：在施工过程中需要不断搅拌涂料，确保涂料不会出现沉淀现象。</w:t>
      </w:r>
      <w:r>
        <w:rPr>
          <w:rFonts w:hint="eastAsia" w:cs="仿宋" w:asciiTheme="minorEastAsia" w:hAnsiTheme="minorEastAsia" w:eastAsiaTheme="minorEastAsia"/>
          <w:sz w:val="24"/>
          <w:szCs w:val="24"/>
          <w:highlight w:val="none"/>
          <w:lang w:val="en-US" w:eastAsia="zh-CN"/>
        </w:rPr>
        <w:t>施工过程中需控制涂料的温度和厚度，温度过低会导致流动性差，过高则可能烧焦材料；厚度不足会影响耐久性，过厚则增加成本且易开裂。</w:t>
      </w:r>
    </w:p>
    <w:p w14:paraId="3666F00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（5）熔化后的涂料通过划线机均匀涂布于路面。喷涂法适用于大多数标线，效率高且线条平整；刮涂法则更适合厚层标线，如减速带或特殊图案。</w:t>
      </w:r>
    </w:p>
    <w:p w14:paraId="2F1AE6F2">
      <w:pPr>
        <w:pStyle w:val="14"/>
        <w:spacing w:line="360" w:lineRule="auto"/>
        <w:ind w:firstLine="480" w:firstLineChars="200"/>
        <w:rPr>
          <w:rFonts w:hint="default"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w:t>
      </w:r>
      <w:r>
        <w:rPr>
          <w:rFonts w:hint="default" w:cs="仿宋" w:asciiTheme="minorEastAsia" w:hAnsiTheme="minorEastAsia" w:eastAsiaTheme="minorEastAsia"/>
          <w:sz w:val="24"/>
          <w:szCs w:val="24"/>
          <w:highlight w:val="none"/>
          <w:lang w:val="en-US" w:eastAsia="zh-CN"/>
        </w:rPr>
        <w:t>控制涂料的用量：在划线过程中需要精确控制涂料的用量，避免浪费涂料和影响标线的质量。</w:t>
      </w:r>
      <w:r>
        <w:rPr>
          <w:rFonts w:hint="default" w:cs="仿宋" w:asciiTheme="minorEastAsia" w:hAnsiTheme="minorEastAsia" w:eastAsiaTheme="minorEastAsia"/>
          <w:sz w:val="24"/>
          <w:szCs w:val="24"/>
          <w:highlight w:val="none"/>
          <w:lang w:val="en-US" w:eastAsia="zh-CN"/>
        </w:rPr>
        <w:br w:type="textWrapping"/>
      </w:r>
      <w:r>
        <w:rPr>
          <w:rFonts w:hint="eastAsia" w:cs="仿宋" w:asciiTheme="minorEastAsia" w:hAnsiTheme="minorEastAsia" w:eastAsiaTheme="minorEastAsia"/>
          <w:sz w:val="24"/>
          <w:szCs w:val="24"/>
          <w:highlight w:val="none"/>
          <w:lang w:val="en-US" w:eastAsia="zh-CN"/>
        </w:rPr>
        <w:t xml:space="preserve">    （7）</w:t>
      </w:r>
      <w:r>
        <w:rPr>
          <w:rFonts w:hint="default" w:cs="仿宋" w:asciiTheme="minorEastAsia" w:hAnsiTheme="minorEastAsia" w:eastAsiaTheme="minorEastAsia"/>
          <w:sz w:val="24"/>
          <w:szCs w:val="24"/>
          <w:highlight w:val="none"/>
          <w:lang w:val="en-US" w:eastAsia="zh-CN"/>
        </w:rPr>
        <w:t>均匀撒布玻璃珠：在标线上撒布玻璃珠时需要均匀撒布，确保标线反光效果良好。同时，也需要控制玻璃珠的用量，避免浪费和影响反光效果。</w:t>
      </w:r>
      <w:r>
        <w:rPr>
          <w:rFonts w:hint="eastAsia" w:cs="仿宋" w:asciiTheme="minorEastAsia" w:hAnsiTheme="minorEastAsia" w:eastAsiaTheme="minorEastAsia"/>
          <w:sz w:val="24"/>
          <w:szCs w:val="24"/>
          <w:highlight w:val="none"/>
          <w:lang w:val="en-US" w:eastAsia="zh-CN"/>
        </w:rPr>
        <w:t>反光玻璃珠的撒布是提升标线夜间可视性的关键步骤。玻璃珠通常在涂料未完全固化时均匀撒布在表面，用量约为涂料重量的15%-20%。撒布过早会导致玻璃珠沉入涂料中，过晚则无法牢固粘结。施工后需等待涂料自然冷却固化，期间避免车辆或行人碾压。</w:t>
      </w:r>
    </w:p>
    <w:p w14:paraId="69158E99">
      <w:pPr>
        <w:pStyle w:val="14"/>
        <w:spacing w:line="360" w:lineRule="auto"/>
        <w:ind w:firstLine="480" w:firstLineChars="200"/>
        <w:rPr>
          <w:rFonts w:hint="default"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w:t>
      </w:r>
      <w:r>
        <w:rPr>
          <w:rFonts w:hint="default" w:cs="仿宋" w:asciiTheme="minorEastAsia" w:hAnsiTheme="minorEastAsia" w:eastAsiaTheme="minorEastAsia"/>
          <w:sz w:val="24"/>
          <w:szCs w:val="24"/>
          <w:highlight w:val="none"/>
          <w:lang w:val="en-US" w:eastAsia="zh-CN"/>
        </w:rPr>
        <w:t>检查施工质量：施工完成后需要对标线进行仔细检查，查看标线是否符合相关标准要求，有无缺陷和不足之处。对于不符合标准要求的标线需要及时修补。</w:t>
      </w:r>
    </w:p>
    <w:p w14:paraId="32662978">
      <w:pPr>
        <w:pStyle w:val="14"/>
        <w:spacing w:line="360" w:lineRule="auto"/>
        <w:ind w:firstLine="480" w:firstLineChars="200"/>
        <w:rPr>
          <w:rFonts w:hint="default"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（9）</w:t>
      </w:r>
      <w:r>
        <w:rPr>
          <w:rFonts w:hint="default" w:cs="仿宋" w:asciiTheme="minorEastAsia" w:hAnsiTheme="minorEastAsia" w:eastAsiaTheme="minorEastAsia"/>
          <w:sz w:val="24"/>
          <w:szCs w:val="24"/>
          <w:highlight w:val="none"/>
          <w:lang w:val="en-US" w:eastAsia="zh-CN"/>
        </w:rPr>
        <w:t>清除多余玻璃珠：在标线固化前需要及时清除多余的玻璃珠，以免影响标线的反光效果和使用寿命。</w:t>
      </w:r>
    </w:p>
    <w:p w14:paraId="0ABBE04B">
      <w:pPr>
        <w:pStyle w:val="14"/>
        <w:spacing w:line="360" w:lineRule="auto"/>
        <w:ind w:firstLine="480" w:firstLineChars="200"/>
        <w:rPr>
          <w:rFonts w:hint="default"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w:t>
      </w:r>
      <w:r>
        <w:rPr>
          <w:rFonts w:hint="default" w:cs="仿宋" w:asciiTheme="minorEastAsia" w:hAnsiTheme="minorEastAsia" w:eastAsiaTheme="minorEastAsia"/>
          <w:sz w:val="24"/>
          <w:szCs w:val="24"/>
          <w:highlight w:val="none"/>
          <w:lang w:val="en-US" w:eastAsia="zh-CN"/>
        </w:rPr>
        <w:t>封闭</w:t>
      </w:r>
      <w:r>
        <w:rPr>
          <w:rFonts w:hint="eastAsia" w:cs="仿宋" w:asciiTheme="minorEastAsia" w:hAnsiTheme="minorEastAsia" w:eastAsiaTheme="minorEastAsia"/>
          <w:sz w:val="24"/>
          <w:szCs w:val="24"/>
          <w:highlight w:val="none"/>
          <w:lang w:val="en-US" w:eastAsia="zh-CN"/>
        </w:rPr>
        <w:t>养护</w:t>
      </w:r>
      <w:r>
        <w:rPr>
          <w:rFonts w:hint="default" w:cs="仿宋" w:asciiTheme="minorEastAsia" w:hAnsiTheme="minorEastAsia" w:eastAsiaTheme="minorEastAsia"/>
          <w:sz w:val="24"/>
          <w:szCs w:val="24"/>
          <w:highlight w:val="none"/>
          <w:lang w:val="en-US" w:eastAsia="zh-CN"/>
        </w:rPr>
        <w:t>：在标线完全干燥和固化前需要封闭交通，避免车辆和行人破坏标线，确保标线的完整性和使用性能。</w:t>
      </w:r>
    </w:p>
    <w:p w14:paraId="7BB42494">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2、常温冷漆标线</w:t>
      </w:r>
    </w:p>
    <w:p w14:paraId="534FC31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（1）首先需对路面进行清洁，确保无灰尘、油污或其他杂质。</w:t>
      </w:r>
    </w:p>
    <w:p w14:paraId="100109D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（2）标线定位：根据放样基准线粘贴美纹胶带或使用模板固定标线形状，确保线条平直、图形规范。</w:t>
      </w:r>
    </w:p>
    <w:p w14:paraId="6831D229">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（3）涂料搅拌与稀释：将涂料充分搅拌均匀，并根据环境温度调整稀释剂比例，以保证喷涂流畅性。</w:t>
      </w:r>
    </w:p>
    <w:p w14:paraId="10046F2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（4）喷涂作业：采用专业喷涂设备沿标线方向匀速移动，喷枪与地面保持一定距离和角度，确保涂层厚度均匀。通常需喷涂1-2遍以达到规定膜厚。</w:t>
      </w:r>
    </w:p>
    <w:p w14:paraId="0EC91C3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（5）修整与维护：喷涂完成后及时撕除胶带或模板，对局部瑕疵进行修补。施工结束后需设置围挡或警示标志，避免人员或车辆压碰未干标线。</w:t>
      </w:r>
    </w:p>
    <w:p w14:paraId="6607B74F">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三、施工要求</w:t>
      </w:r>
    </w:p>
    <w:p w14:paraId="030AB00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1.施工方在施工现场必须配备足够满足本项目需要的具有一定实践经验的工程技术人员；</w:t>
      </w:r>
    </w:p>
    <w:p w14:paraId="6AD0FD4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2.施工方在施工中要严格按照国家、行业标准和企业规范，并随时接受发包方的检查。</w:t>
      </w:r>
    </w:p>
    <w:p w14:paraId="297B188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3.施工方在施工中必须严格按施工工艺要求操作，保证施工质量。</w:t>
      </w:r>
    </w:p>
    <w:p w14:paraId="0EE9381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4.施工过程中的水、电、气等能源均由业主免费提供。</w:t>
      </w:r>
    </w:p>
    <w:p w14:paraId="00D4239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对进场的材料须是国内知名厂家的产品。必须符合合同要求和国家有关标准，具有出厂合格证，注明厂名、产品型号、规格、出厂日期和检查编号等。材料质量应符合国家或部颁标准。每批材料应有合格证或质保书。。</w:t>
      </w:r>
    </w:p>
    <w:p w14:paraId="52DEF23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6.对施工中完成的阶段成果（隐蔽工程、分项工程、主要部位），由施工方提出申请，业主方组织检验和验收，签署阶段成果检验验收记录。</w:t>
      </w:r>
    </w:p>
    <w:p w14:paraId="4E2E4CA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7.如果在施工或调试过程中发生质量事故，施工方应及时查明原因，制订解决方案，并以书面形式报告业主，并按商定的处理方案实施。</w:t>
      </w:r>
    </w:p>
    <w:p w14:paraId="1490810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8.如果施工方不能满足质量要求而被业主责令停工超过两次，业主有权要求施工方停工并撤出施工现场。本合同终止，施工方承担违约责任。</w:t>
      </w:r>
    </w:p>
    <w:p w14:paraId="7C78C4A5">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四、工程进度</w:t>
      </w:r>
    </w:p>
    <w:p w14:paraId="6FBD871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1.业主将随时检查和监督施工方施工进度执行情况，并协调各方，使外部环境条件能满足施工要求。</w:t>
      </w:r>
    </w:p>
    <w:p w14:paraId="03EA7E0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2.由于施工方原因而未能按业主规定的时间按期交工验收，施工方要承担违约责任和经济处罚。</w:t>
      </w:r>
    </w:p>
    <w:p w14:paraId="7669DF8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3.施工方要尽可能的做好保障工期的各种预案，对于遇重污染天气，市政府要求的停产停工造成的工期延误情况，由施工方自行承担。</w:t>
      </w:r>
    </w:p>
    <w:p w14:paraId="61E8FF92">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五、文明施工</w:t>
      </w:r>
    </w:p>
    <w:p w14:paraId="0125AB9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1.施工方应建立管理制度，保证施工现场井然有序。</w:t>
      </w:r>
    </w:p>
    <w:p w14:paraId="6475FA4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2.施工方在施工过程中应负责对现场的一切设施和施工工程的成品、半成品进行保护并承担费用。</w:t>
      </w:r>
    </w:p>
    <w:p w14:paraId="581AD4E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3.施工方应有统一着装（工作服），费用由施工方负担。</w:t>
      </w:r>
    </w:p>
    <w:p w14:paraId="6A2C37C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4.施工方业主存在交叉作业的情况下，应保证业主工作的正常进行。</w:t>
      </w:r>
    </w:p>
    <w:p w14:paraId="3CB29B2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5.施工方的施工设备、工具箱和材料等不允许堆放在通道上。施工方制作的半成品、部件等未安装前应码放整齐。</w:t>
      </w:r>
    </w:p>
    <w:p w14:paraId="0317A18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6.施工方应保持本单位施工区域内的清洁卫生，每天下午下班后必须整理、清扫干净施工的设备和场地，废料集中放置，垃圾倒在指定地方。</w:t>
      </w:r>
    </w:p>
    <w:p w14:paraId="77C930C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7.凡使用电焊机、切割机、砂轮机等设备作业时，应注意周围环境，避免焊渣、火星乱溅而影响他人作业或损坏设备及地面，切割机、角磨机必须有防护罩。</w:t>
      </w:r>
    </w:p>
    <w:p w14:paraId="060E937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8.施工方应安排好其施工人员的食宿，保证施工人员的身体健康，费用施工方自理。</w:t>
      </w:r>
    </w:p>
    <w:p w14:paraId="440D2AF1">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六、工期</w:t>
      </w:r>
    </w:p>
    <w:p w14:paraId="51D1016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施工工期按照各单位具体要求，施工时不能影响生产，可根据生产要求进行多次分片、分布实施，施工现场应设置隔离柱、警戒线等。</w:t>
      </w:r>
    </w:p>
    <w:p w14:paraId="34247DA2">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七、安全要求</w:t>
      </w:r>
    </w:p>
    <w:p w14:paraId="61C86CA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1.施工方应对其施工人员进行安全教育，并对他们的安全负责，保证施工现场的各项作业均遵守相关的国家安全标准规范，严禁违章操作。</w:t>
      </w:r>
    </w:p>
    <w:p w14:paraId="659BA61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2.施工方要遵守发包方单位内部的各项规章制度，按要求办理各种安全、出入等手续，接收安全监督和考核，手续费用由施工方负担。</w:t>
      </w:r>
    </w:p>
    <w:p w14:paraId="2697A9F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3.施工单位在施工前必须到业主有关部门办理动火手续，现场施工人员必须备有动火手续复印件，以备有关部门检查。</w:t>
      </w:r>
    </w:p>
    <w:p w14:paraId="4B036FFF">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4.工程开工前, 施工方应为建设工程、施工设备和施工场地内的自有人员及第三人人员生命财产办理保险，支付保险费用。如果因施工方未办理保险而造成的任何损失全部由施工方负责。</w:t>
      </w:r>
    </w:p>
    <w:p w14:paraId="4ECF362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5.施工人员进入施工现场必须穿戴安全帽、工作服和工作鞋，特殊工种要配置相应的劳保服装和工具。</w:t>
      </w:r>
    </w:p>
    <w:p w14:paraId="1FAE7C4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6.施工方应在其施工区域内设置安全警示标志，特殊区域、特殊位置应专门设置有针对性的安全警示标志。</w:t>
      </w:r>
    </w:p>
    <w:p w14:paraId="046285F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7.施工方应由专业电工负责本单位施工所用设备的临时供电和线路的安全检查。在施工现场，非电工人员不得擅自插接电源。</w:t>
      </w:r>
    </w:p>
    <w:p w14:paraId="2E82759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8.施工过程中凡利用厂房建筑结构作为起吊或搬运设备承力点时，必须书面申请并得到批准后方可操作。如果未经过批准或超负荷使用，责任人将承担发生的一切后果。</w:t>
      </w:r>
    </w:p>
    <w:p w14:paraId="3E5EF4B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9.电、焊、气割、起重、升降机、登高架设作业、汽车驾驶等特殊工种必须持有国家相关部门颁发的特种作业人员操作证上岗，决不允许无证人员上岗操作。涉及危险作业（动火、有限空间、临时线、高空作业等）的必须按照业主方相关规定办理审批手续。</w:t>
      </w:r>
    </w:p>
    <w:p w14:paraId="17AD19A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10.电焊机、切割机、砂轮机、气瓶等设备应按安全标准规范合理摆放、固定和使用。</w:t>
      </w:r>
    </w:p>
    <w:p w14:paraId="54F911B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25FCD6D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12.不得雇佣年老体弱及不具备施工能力的员工，由此出现的问题由施工方自行承担。</w:t>
      </w:r>
    </w:p>
    <w:p w14:paraId="5C159316">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八、环保要求</w:t>
      </w:r>
    </w:p>
    <w:p w14:paraId="2F6128B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1.现场需作降尘处理，防止扬尘污染环境。</w:t>
      </w:r>
    </w:p>
    <w:p w14:paraId="21BF401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2.严禁将污水排放至雨水管道。</w:t>
      </w:r>
    </w:p>
    <w:p w14:paraId="387BD057">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九、质保期</w:t>
      </w:r>
    </w:p>
    <w:p w14:paraId="6CA48549">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所有施工工程的质保期均按照行业规定。</w:t>
      </w:r>
    </w:p>
    <w:p w14:paraId="21C446D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质量保修期自工程竣工验收合格之日起计算，质保期为1年，施工方在质保期内负责对工程质量进行包修，费用由责任方承担。在质保期内，承包内容出现的任何质量问题，施工方在接到业主的通知后24小时内到达现场整改，并按要求期限整改。</w:t>
      </w:r>
    </w:p>
    <w:p w14:paraId="142198FA">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十、其他</w:t>
      </w:r>
    </w:p>
    <w:p w14:paraId="40E7503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其余未尽事宜，投标人应与招标人指派的答疑人员充分沟通，理解认可并接受相关技术规范及服务要求。</w:t>
      </w:r>
    </w:p>
    <w:p w14:paraId="2E62FFAF">
      <w:pPr>
        <w:rPr>
          <w:rFonts w:hint="eastAsia" w:hAnsi="宋体" w:cs="宋体"/>
          <w:b/>
          <w:bCs/>
          <w:color w:val="000000"/>
          <w:sz w:val="36"/>
          <w:szCs w:val="36"/>
          <w:highlight w:val="none"/>
        </w:rPr>
      </w:pPr>
      <w:r>
        <w:rPr>
          <w:rFonts w:hint="eastAsia" w:hAnsi="宋体" w:cs="宋体"/>
          <w:b/>
          <w:bCs/>
          <w:color w:val="000000"/>
          <w:sz w:val="36"/>
          <w:szCs w:val="36"/>
          <w:highlight w:val="none"/>
        </w:rPr>
        <w:br w:type="page"/>
      </w:r>
    </w:p>
    <w:p w14:paraId="030E7396">
      <w:pPr>
        <w:pStyle w:val="14"/>
        <w:spacing w:line="360" w:lineRule="auto"/>
        <w:jc w:val="center"/>
        <w:rPr>
          <w:rFonts w:ascii="黑体" w:eastAsia="黑体"/>
          <w:b/>
          <w:bCs/>
          <w:color w:val="000000"/>
          <w:sz w:val="36"/>
          <w:szCs w:val="36"/>
          <w:highlight w:val="none"/>
        </w:rPr>
      </w:pPr>
      <w:r>
        <w:rPr>
          <w:rFonts w:hint="eastAsia" w:hAnsi="宋体" w:cs="宋体"/>
          <w:b/>
          <w:bCs/>
          <w:color w:val="000000"/>
          <w:sz w:val="36"/>
          <w:szCs w:val="36"/>
          <w:highlight w:val="none"/>
        </w:rPr>
        <w:t>第</w:t>
      </w:r>
      <w:r>
        <w:rPr>
          <w:rFonts w:hint="eastAsia" w:hAnsi="宋体" w:cs="宋体"/>
          <w:b/>
          <w:bCs/>
          <w:color w:val="000000"/>
          <w:sz w:val="36"/>
          <w:szCs w:val="36"/>
          <w:highlight w:val="none"/>
          <w:lang w:val="en-US" w:eastAsia="zh-CN"/>
        </w:rPr>
        <w:t>三</w:t>
      </w:r>
      <w:r>
        <w:rPr>
          <w:rFonts w:hint="eastAsia" w:hAnsi="宋体" w:cs="宋体"/>
          <w:b/>
          <w:bCs/>
          <w:color w:val="000000"/>
          <w:sz w:val="36"/>
          <w:szCs w:val="36"/>
          <w:highlight w:val="none"/>
        </w:rPr>
        <w:t>部分  投标人须知</w:t>
      </w:r>
    </w:p>
    <w:p w14:paraId="79D03B3F">
      <w:pPr>
        <w:pStyle w:val="3"/>
        <w:spacing w:before="120" w:after="120" w:line="360" w:lineRule="auto"/>
        <w:ind w:firstLine="602" w:firstLineChars="214"/>
        <w:jc w:val="left"/>
        <w:rPr>
          <w:rFonts w:ascii="宋体" w:hAnsi="宋体" w:eastAsia="宋体" w:cs="宋体"/>
          <w:sz w:val="28"/>
          <w:szCs w:val="28"/>
          <w:highlight w:val="none"/>
        </w:rPr>
      </w:pPr>
      <w:bookmarkStart w:id="2" w:name="_Toc48665526"/>
      <w:r>
        <w:rPr>
          <w:rFonts w:hint="eastAsia" w:ascii="宋体" w:hAnsi="宋体" w:eastAsia="宋体" w:cs="宋体"/>
          <w:sz w:val="28"/>
          <w:szCs w:val="28"/>
          <w:highlight w:val="none"/>
          <w:lang w:val="en-US" w:eastAsia="zh-CN"/>
        </w:rPr>
        <w:t>一</w:t>
      </w:r>
      <w:r>
        <w:rPr>
          <w:rFonts w:hint="eastAsia" w:ascii="宋体" w:hAnsi="宋体" w:eastAsia="宋体" w:cs="宋体"/>
          <w:sz w:val="28"/>
          <w:szCs w:val="28"/>
          <w:highlight w:val="none"/>
        </w:rPr>
        <w:t>、投标文件</w:t>
      </w:r>
      <w:bookmarkEnd w:id="2"/>
    </w:p>
    <w:p w14:paraId="52816083">
      <w:pPr>
        <w:spacing w:line="360" w:lineRule="auto"/>
        <w:ind w:firstLine="482" w:firstLineChars="200"/>
        <w:rPr>
          <w:rFonts w:hint="eastAsia" w:ascii="宋体" w:hAnsi="宋体"/>
          <w:b/>
          <w:bCs/>
          <w:sz w:val="24"/>
          <w:highlight w:val="none"/>
        </w:rPr>
      </w:pPr>
      <w:bookmarkStart w:id="3" w:name="_Toc212369512"/>
      <w:bookmarkStart w:id="4" w:name="_Toc92678113"/>
      <w:r>
        <w:rPr>
          <w:rFonts w:hint="eastAsia" w:ascii="宋体" w:hAnsi="宋体"/>
          <w:b/>
          <w:bCs/>
          <w:sz w:val="24"/>
          <w:highlight w:val="none"/>
          <w:lang w:val="en-US" w:eastAsia="zh-CN"/>
        </w:rPr>
        <w:t>1</w:t>
      </w:r>
      <w:r>
        <w:rPr>
          <w:rFonts w:hint="eastAsia" w:ascii="宋体" w:hAnsi="宋体"/>
          <w:b/>
          <w:bCs/>
          <w:sz w:val="24"/>
          <w:highlight w:val="none"/>
        </w:rPr>
        <w:t>、投标报价语言及计量单位</w:t>
      </w:r>
      <w:bookmarkEnd w:id="3"/>
      <w:bookmarkEnd w:id="4"/>
    </w:p>
    <w:p w14:paraId="0902D58F">
      <w:pPr>
        <w:pStyle w:val="14"/>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lang w:val="en-US" w:eastAsia="zh-CN"/>
        </w:rPr>
        <w:t>1</w:t>
      </w:r>
      <w:r>
        <w:rPr>
          <w:rFonts w:hint="eastAsia" w:cs="仿宋" w:asciiTheme="minorEastAsia" w:hAnsiTheme="minorEastAsia" w:eastAsiaTheme="minorEastAsia"/>
          <w:sz w:val="24"/>
          <w:szCs w:val="24"/>
          <w:highlight w:val="none"/>
        </w:rPr>
        <w:t>.1投标文件和与投标有关的所有文件均应使用中文。</w:t>
      </w:r>
    </w:p>
    <w:p w14:paraId="2F7EB4AC">
      <w:pPr>
        <w:pStyle w:val="14"/>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lang w:val="en-US" w:eastAsia="zh-CN"/>
        </w:rPr>
        <w:t>1</w:t>
      </w:r>
      <w:r>
        <w:rPr>
          <w:rFonts w:hint="eastAsia" w:cs="仿宋" w:asciiTheme="minorEastAsia" w:hAnsiTheme="minorEastAsia" w:eastAsiaTheme="minorEastAsia"/>
          <w:sz w:val="24"/>
          <w:szCs w:val="24"/>
          <w:highlight w:val="none"/>
        </w:rPr>
        <w:t>.2 除投标文件的技术规格中另有规定外，投标文件中所使用的计量单位应为中华人民共和国法定计量单位。</w:t>
      </w:r>
    </w:p>
    <w:p w14:paraId="5FE17AD0">
      <w:pPr>
        <w:spacing w:line="360" w:lineRule="auto"/>
        <w:ind w:firstLine="482" w:firstLineChars="200"/>
        <w:rPr>
          <w:rFonts w:hint="eastAsia" w:ascii="宋体" w:hAnsi="宋体"/>
          <w:b/>
          <w:bCs/>
          <w:sz w:val="24"/>
          <w:highlight w:val="none"/>
        </w:rPr>
      </w:pPr>
      <w:bookmarkStart w:id="5" w:name="_Toc212369513"/>
      <w:bookmarkStart w:id="6" w:name="_Toc92678114"/>
      <w:r>
        <w:rPr>
          <w:rFonts w:hint="eastAsia" w:ascii="宋体" w:hAnsi="宋体"/>
          <w:b/>
          <w:bCs/>
          <w:sz w:val="24"/>
          <w:highlight w:val="none"/>
          <w:lang w:val="en-US" w:eastAsia="zh-CN"/>
        </w:rPr>
        <w:t>2</w:t>
      </w:r>
      <w:r>
        <w:rPr>
          <w:rFonts w:hint="eastAsia" w:ascii="宋体" w:hAnsi="宋体"/>
          <w:b/>
          <w:bCs/>
          <w:sz w:val="24"/>
          <w:highlight w:val="none"/>
        </w:rPr>
        <w:t>、投标文件组成</w:t>
      </w:r>
      <w:bookmarkEnd w:id="5"/>
      <w:bookmarkEnd w:id="6"/>
    </w:p>
    <w:p w14:paraId="772ECC1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投标人的投标文件由资格证明文件、投标文件技术部分、投标文件商务部分共三部分构成，分别封装（正本各一份）。</w:t>
      </w:r>
    </w:p>
    <w:p w14:paraId="1982B953">
      <w:pPr>
        <w:pStyle w:val="14"/>
        <w:spacing w:line="360" w:lineRule="auto"/>
        <w:ind w:firstLine="480" w:firstLineChars="200"/>
        <w:rPr>
          <w:rFonts w:hint="eastAsia" w:cs="仿宋" w:asciiTheme="minorEastAsia" w:hAnsiTheme="minorEastAsia" w:eastAsiaTheme="minorEastAsia"/>
          <w:sz w:val="24"/>
          <w:szCs w:val="24"/>
          <w:highlight w:val="none"/>
          <w:u w:val="single"/>
          <w:lang w:val="en-US" w:eastAsia="zh-CN"/>
        </w:rPr>
      </w:pPr>
      <w:r>
        <w:rPr>
          <w:rFonts w:hint="eastAsia" w:cs="仿宋" w:asciiTheme="minorEastAsia" w:hAnsiTheme="minorEastAsia" w:eastAsiaTheme="minorEastAsia"/>
          <w:sz w:val="24"/>
          <w:szCs w:val="24"/>
          <w:highlight w:val="none"/>
          <w:u w:val="single"/>
          <w:lang w:val="en-US" w:eastAsia="zh-CN"/>
        </w:rPr>
        <w:t>注1：招标文件给定格式的按给定的格式填写，未给定格式的，由投标人自行编制，但需包含以下内容。</w:t>
      </w:r>
    </w:p>
    <w:p w14:paraId="2AC12B68">
      <w:pPr>
        <w:pStyle w:val="14"/>
        <w:spacing w:line="360" w:lineRule="auto"/>
        <w:ind w:firstLine="480" w:firstLineChars="200"/>
        <w:rPr>
          <w:rFonts w:hint="eastAsia" w:cs="仿宋" w:asciiTheme="minorEastAsia" w:hAnsiTheme="minorEastAsia" w:eastAsiaTheme="minorEastAsia"/>
          <w:sz w:val="24"/>
          <w:szCs w:val="24"/>
          <w:highlight w:val="none"/>
          <w:u w:val="single"/>
          <w:lang w:val="en-US" w:eastAsia="zh-CN"/>
        </w:rPr>
      </w:pPr>
      <w:r>
        <w:rPr>
          <w:rFonts w:hint="eastAsia" w:cs="仿宋" w:asciiTheme="minorEastAsia" w:hAnsiTheme="minorEastAsia" w:eastAsiaTheme="minorEastAsia"/>
          <w:sz w:val="24"/>
          <w:szCs w:val="24"/>
          <w:highlight w:val="none"/>
          <w:u w:val="single"/>
          <w:lang w:val="en-US" w:eastAsia="zh-CN"/>
        </w:rPr>
        <w:t>注2：以下需（可）提供的招标文件均需加盖公章。</w:t>
      </w:r>
    </w:p>
    <w:p w14:paraId="7927DDA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bookmarkStart w:id="7" w:name="_Toc212369516"/>
      <w:r>
        <w:rPr>
          <w:rFonts w:hint="eastAsia" w:cs="仿宋" w:asciiTheme="minorEastAsia" w:hAnsiTheme="minorEastAsia" w:eastAsiaTheme="minorEastAsia"/>
          <w:sz w:val="24"/>
          <w:szCs w:val="24"/>
          <w:highlight w:val="none"/>
          <w:lang w:val="en-US" w:eastAsia="zh-CN"/>
        </w:rPr>
        <w:t>2.1资格证明文件包括</w:t>
      </w:r>
      <w:bookmarkEnd w:id="7"/>
      <w:r>
        <w:rPr>
          <w:rFonts w:hint="eastAsia" w:cs="仿宋" w:asciiTheme="minorEastAsia" w:hAnsiTheme="minorEastAsia" w:eastAsiaTheme="minorEastAsia"/>
          <w:sz w:val="24"/>
          <w:szCs w:val="24"/>
          <w:highlight w:val="none"/>
          <w:lang w:val="en-US" w:eastAsia="zh-CN"/>
        </w:rPr>
        <w:t>：</w:t>
      </w:r>
    </w:p>
    <w:p w14:paraId="041D7E7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（1）营业执照复印件；</w:t>
      </w:r>
    </w:p>
    <w:p w14:paraId="691ADEE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（2）法定代表人（或负责人）授权委托书和被授权人身份证复印件；</w:t>
      </w:r>
    </w:p>
    <w:p w14:paraId="11F89E4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（3）投标人基本情况表。</w:t>
      </w:r>
    </w:p>
    <w:p w14:paraId="47ED3F7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bookmarkStart w:id="8" w:name="_Toc212369515"/>
      <w:r>
        <w:rPr>
          <w:rFonts w:hint="eastAsia" w:cs="仿宋" w:asciiTheme="minorEastAsia" w:hAnsiTheme="minorEastAsia" w:eastAsiaTheme="minorEastAsia"/>
          <w:sz w:val="24"/>
          <w:szCs w:val="24"/>
          <w:highlight w:val="none"/>
          <w:lang w:val="en-US" w:eastAsia="zh-CN"/>
        </w:rPr>
        <w:t>2.2技术部分</w:t>
      </w:r>
      <w:bookmarkEnd w:id="8"/>
      <w:r>
        <w:rPr>
          <w:rFonts w:hint="eastAsia" w:cs="仿宋" w:asciiTheme="minorEastAsia" w:hAnsiTheme="minorEastAsia" w:eastAsiaTheme="minorEastAsia"/>
          <w:sz w:val="24"/>
          <w:szCs w:val="24"/>
          <w:highlight w:val="none"/>
          <w:lang w:val="en-US" w:eastAsia="zh-CN"/>
        </w:rPr>
        <w:t>文件包括：</w:t>
      </w:r>
    </w:p>
    <w:p w14:paraId="71711C9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为提高评标效率，请投标人按照技术部分所列的资料清单内容及顺序编制技术部分投标</w:t>
      </w:r>
      <w:r>
        <w:rPr>
          <w:rFonts w:hint="eastAsia" w:ascii="宋体" w:hAnsi="宋体" w:cs="Times New Roman"/>
          <w:bCs/>
          <w:sz w:val="24"/>
          <w:szCs w:val="22"/>
          <w:highlight w:val="none"/>
        </w:rPr>
        <w:t>文件，如投标人未按照以下内容及顺序编制投标文件技术部分，可能会影响技术部分得分，请各</w:t>
      </w:r>
      <w:r>
        <w:rPr>
          <w:rFonts w:hint="eastAsia" w:cs="仿宋" w:asciiTheme="minorEastAsia" w:hAnsiTheme="minorEastAsia" w:eastAsiaTheme="minorEastAsia"/>
          <w:sz w:val="24"/>
          <w:szCs w:val="24"/>
          <w:highlight w:val="none"/>
          <w:lang w:val="en-US" w:eastAsia="zh-CN"/>
        </w:rPr>
        <w:t>投标单位务必注意。</w:t>
      </w:r>
    </w:p>
    <w:p w14:paraId="4965B0E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（1）技术规格偏离表；</w:t>
      </w:r>
    </w:p>
    <w:p w14:paraId="54D6EB3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（2）施工流程方案：方案的合理性、实施的安全性、配置的合理性；</w:t>
      </w:r>
    </w:p>
    <w:p w14:paraId="6485EC6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（3）投标单位针对本次项目提出合理化建议。</w:t>
      </w:r>
    </w:p>
    <w:p w14:paraId="771758A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bookmarkStart w:id="9" w:name="_Toc212369514"/>
      <w:r>
        <w:rPr>
          <w:rFonts w:hint="eastAsia" w:cs="仿宋" w:asciiTheme="minorEastAsia" w:hAnsiTheme="minorEastAsia" w:eastAsiaTheme="minorEastAsia"/>
          <w:sz w:val="24"/>
          <w:szCs w:val="24"/>
          <w:highlight w:val="none"/>
          <w:lang w:val="en-US" w:eastAsia="zh-CN"/>
        </w:rPr>
        <w:t>2.3商务部分文件包括</w:t>
      </w:r>
      <w:bookmarkEnd w:id="9"/>
      <w:r>
        <w:rPr>
          <w:rFonts w:hint="eastAsia" w:cs="仿宋" w:asciiTheme="minorEastAsia" w:hAnsiTheme="minorEastAsia" w:eastAsiaTheme="minorEastAsia"/>
          <w:sz w:val="24"/>
          <w:szCs w:val="24"/>
          <w:highlight w:val="none"/>
          <w:lang w:val="en-US" w:eastAsia="zh-CN"/>
        </w:rPr>
        <w:t>：</w:t>
      </w:r>
    </w:p>
    <w:p w14:paraId="61F67CF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投标函；</w:t>
      </w:r>
    </w:p>
    <w:p w14:paraId="61612722">
      <w:pPr>
        <w:pStyle w:val="14"/>
        <w:spacing w:line="360" w:lineRule="auto"/>
        <w:ind w:firstLine="480" w:firstLineChars="200"/>
        <w:rPr>
          <w:rFonts w:hint="eastAsia" w:cs="仿宋" w:asciiTheme="minorEastAsia" w:hAnsiTheme="minorEastAsia" w:eastAsiaTheme="minorEastAsia"/>
          <w:strike w:val="0"/>
          <w:dstrike w:val="0"/>
          <w:sz w:val="24"/>
          <w:szCs w:val="24"/>
          <w:highlight w:val="none"/>
          <w:u w:val="single"/>
          <w:lang w:val="en-US" w:eastAsia="zh-CN"/>
        </w:rPr>
      </w:pPr>
      <w:r>
        <w:rPr>
          <w:rFonts w:hint="eastAsia" w:cs="仿宋" w:asciiTheme="minorEastAsia" w:hAnsiTheme="minorEastAsia" w:eastAsiaTheme="minorEastAsia"/>
          <w:strike w:val="0"/>
          <w:dstrike w:val="0"/>
          <w:sz w:val="24"/>
          <w:szCs w:val="24"/>
          <w:highlight w:val="none"/>
          <w:u w:val="single"/>
          <w:lang w:val="en-US" w:eastAsia="zh-CN"/>
        </w:rPr>
        <w:t>开标一览表，为在开标仪式上唱标的内容。</w:t>
      </w:r>
    </w:p>
    <w:p w14:paraId="21A348E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投标报价明细表，按以下规格分别形成投标报价明细；</w:t>
      </w:r>
    </w:p>
    <w:p w14:paraId="2AC56AD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商务条款偏离表：</w:t>
      </w:r>
    </w:p>
    <w:p w14:paraId="5E5DC3F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经营业绩一览表；</w:t>
      </w:r>
    </w:p>
    <w:p w14:paraId="4327C0B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服务承诺函；</w:t>
      </w:r>
    </w:p>
    <w:p w14:paraId="0F0BD81F">
      <w:pPr>
        <w:pStyle w:val="14"/>
        <w:spacing w:line="360" w:lineRule="auto"/>
        <w:ind w:firstLine="480" w:firstLineChars="200"/>
        <w:rPr>
          <w:rFonts w:hint="eastAsia"/>
          <w:lang w:val="en-US" w:eastAsia="zh-CN"/>
        </w:rPr>
      </w:pPr>
      <w:r>
        <w:rPr>
          <w:rFonts w:hint="eastAsia" w:cs="仿宋" w:asciiTheme="minorEastAsia" w:hAnsiTheme="minorEastAsia" w:eastAsiaTheme="minorEastAsia"/>
          <w:sz w:val="24"/>
          <w:szCs w:val="24"/>
          <w:highlight w:val="none"/>
          <w:lang w:val="en-US" w:eastAsia="zh-CN"/>
        </w:rPr>
        <w:t>对本项目招标文件、招标文本的澄清/答疑/修改及“合同条款”的认同及优惠条件说明。</w:t>
      </w:r>
    </w:p>
    <w:p w14:paraId="1F1A0BEF">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lang w:val="en-US" w:eastAsia="zh-CN"/>
        </w:rPr>
        <w:t>3</w:t>
      </w:r>
      <w:r>
        <w:rPr>
          <w:rFonts w:hint="eastAsia" w:ascii="宋体" w:hAnsi="宋体"/>
          <w:b/>
          <w:bCs/>
          <w:color w:val="auto"/>
          <w:sz w:val="24"/>
          <w:highlight w:val="none"/>
        </w:rPr>
        <w:t>、投标文件的装订、密封和标记</w:t>
      </w:r>
    </w:p>
    <w:p w14:paraId="20BE224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3.1投标文件的装订：</w:t>
      </w:r>
    </w:p>
    <w:p w14:paraId="0E7EE55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投标人必须将投标文件按照投标文件组成的顺序装订成册，并在首页编制“投标文件目录”。</w:t>
      </w:r>
    </w:p>
    <w:p w14:paraId="56C46D09">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3.2投标文件的密封、标记：</w:t>
      </w:r>
    </w:p>
    <w:p w14:paraId="2CBE2AD9">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投标人应将投标文件的一并密封并在封面明显处注明以下内容：</w:t>
      </w:r>
    </w:p>
    <w:p w14:paraId="1F0EB5C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项目编号、项目名称；</w:t>
      </w:r>
    </w:p>
    <w:p w14:paraId="7D10886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投标人名称（加盖公章）、地址、邮编、电话、传真；</w:t>
      </w:r>
    </w:p>
    <w:p w14:paraId="1384029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密封件在封口处注明“于    年   月   日   时   分之前不准启封”字样。</w:t>
      </w:r>
    </w:p>
    <w:p w14:paraId="0A838110">
      <w:pPr>
        <w:spacing w:line="360" w:lineRule="auto"/>
        <w:ind w:firstLine="482" w:firstLineChars="200"/>
        <w:rPr>
          <w:rFonts w:hint="eastAsia" w:ascii="宋体" w:hAnsi="宋体"/>
          <w:b/>
          <w:bCs/>
          <w:sz w:val="24"/>
          <w:highlight w:val="none"/>
        </w:rPr>
      </w:pPr>
      <w:bookmarkStart w:id="10" w:name="_Toc212369519"/>
      <w:r>
        <w:rPr>
          <w:rFonts w:hint="eastAsia" w:ascii="宋体" w:hAnsi="宋体"/>
          <w:b/>
          <w:bCs/>
          <w:sz w:val="24"/>
          <w:highlight w:val="none"/>
          <w:lang w:val="en-US" w:eastAsia="zh-CN"/>
        </w:rPr>
        <w:t>4</w:t>
      </w:r>
      <w:r>
        <w:rPr>
          <w:rFonts w:hint="eastAsia" w:ascii="宋体" w:hAnsi="宋体"/>
          <w:b/>
          <w:bCs/>
          <w:sz w:val="24"/>
          <w:highlight w:val="none"/>
        </w:rPr>
        <w:t>、投标报价</w:t>
      </w:r>
      <w:bookmarkEnd w:id="10"/>
    </w:p>
    <w:p w14:paraId="0237153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4.1投标报价包括：全部（全新）消耗物品价、专用工具价、运杂费（包括现场卸车费）、人工费、验收、服务费、资料费、税费等所有费用的总和。所有投标均以人民币报价。</w:t>
      </w:r>
    </w:p>
    <w:p w14:paraId="516C407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bookmarkStart w:id="11" w:name="_Toc346306744"/>
      <w:bookmarkStart w:id="12" w:name="_Toc346372891"/>
      <w:bookmarkStart w:id="13" w:name="_Toc352332865"/>
      <w:r>
        <w:rPr>
          <w:rFonts w:hint="eastAsia" w:cs="仿宋" w:asciiTheme="minorEastAsia" w:hAnsiTheme="minorEastAsia" w:eastAsiaTheme="minorEastAsia"/>
          <w:sz w:val="24"/>
          <w:szCs w:val="24"/>
          <w:highlight w:val="none"/>
          <w:lang w:val="en-US" w:eastAsia="zh-CN"/>
        </w:rPr>
        <w:t>4.2投标人要按投标规格名称、投标报价明细表（统一格式）的内容填写产品单价、总价及其他事项，并由法人代表或授权代表签署。</w:t>
      </w:r>
    </w:p>
    <w:p w14:paraId="31C6529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4.3对于非标准货物的投标，还应填分解报价表（分解报价表格式由投标人自行设计）。</w:t>
      </w:r>
    </w:p>
    <w:p w14:paraId="2772F2E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4.4投标人如需用外汇购入某些投标货物，须折合人民币计入总报价中。</w:t>
      </w:r>
    </w:p>
    <w:p w14:paraId="45851BC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4.5招标人不接受任何选择报价，对每一种货物只允许一个报价。</w:t>
      </w:r>
    </w:p>
    <w:p w14:paraId="68CA4666">
      <w:pPr>
        <w:pStyle w:val="14"/>
        <w:spacing w:line="360" w:lineRule="auto"/>
        <w:ind w:firstLine="480" w:firstLineChars="200"/>
        <w:rPr>
          <w:rFonts w:hint="eastAsia" w:ascii="宋体" w:hAnsi="宋体" w:cs="宋体"/>
          <w:sz w:val="24"/>
          <w:szCs w:val="22"/>
          <w:highlight w:val="none"/>
          <w:lang w:val="en-US" w:eastAsia="zh-CN"/>
        </w:rPr>
      </w:pPr>
      <w:r>
        <w:rPr>
          <w:rFonts w:hint="eastAsia" w:cs="仿宋" w:asciiTheme="minorEastAsia" w:hAnsiTheme="minorEastAsia" w:eastAsiaTheme="minorEastAsia"/>
          <w:sz w:val="24"/>
          <w:szCs w:val="24"/>
          <w:highlight w:val="none"/>
          <w:lang w:val="en-US" w:eastAsia="zh-CN"/>
        </w:rPr>
        <w:t>4.6 投标人须提供分项单价和报价总价，如果单价和总价不符，以单价为准，并根据单价修正总价。评标委员会认为单价有明显的小数点错误，应以标出的总价为准，并修改单</w:t>
      </w:r>
      <w:r>
        <w:rPr>
          <w:rFonts w:hint="eastAsia" w:ascii="宋体" w:hAnsi="宋体" w:cs="宋体"/>
          <w:sz w:val="24"/>
          <w:szCs w:val="22"/>
          <w:highlight w:val="none"/>
          <w:lang w:val="en-US" w:eastAsia="zh-CN"/>
        </w:rPr>
        <w:t>价。</w:t>
      </w:r>
    </w:p>
    <w:p w14:paraId="78BD665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4.7如果大写的金额和小写的金额不一致时，以大写的金额为准。</w:t>
      </w:r>
    </w:p>
    <w:p w14:paraId="154E067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4.8投标人免费提供的项目，应先填写该项目的实际价格，并注明免费。此项不计入总报价。</w:t>
      </w:r>
    </w:p>
    <w:p w14:paraId="2E8267F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4.9最低报价不能作为中标的保证。</w:t>
      </w:r>
    </w:p>
    <w:p w14:paraId="3288F3C6">
      <w:pPr>
        <w:spacing w:line="360" w:lineRule="auto"/>
        <w:ind w:firstLine="482" w:firstLineChars="200"/>
        <w:rPr>
          <w:rFonts w:hint="eastAsia" w:ascii="宋体" w:hAnsi="宋体"/>
          <w:b/>
          <w:bCs/>
          <w:sz w:val="24"/>
          <w:szCs w:val="22"/>
          <w:highlight w:val="none"/>
        </w:rPr>
      </w:pPr>
      <w:r>
        <w:rPr>
          <w:rFonts w:hint="eastAsia" w:ascii="宋体" w:hAnsi="宋体"/>
          <w:b/>
          <w:bCs/>
          <w:sz w:val="24"/>
          <w:szCs w:val="22"/>
          <w:highlight w:val="none"/>
          <w:lang w:val="en-US" w:eastAsia="zh-CN"/>
        </w:rPr>
        <w:t>5</w:t>
      </w:r>
      <w:r>
        <w:rPr>
          <w:rFonts w:hint="eastAsia" w:ascii="宋体" w:hAnsi="宋体"/>
          <w:b/>
          <w:bCs/>
          <w:sz w:val="24"/>
          <w:szCs w:val="22"/>
          <w:highlight w:val="none"/>
        </w:rPr>
        <w:t>、投标文件签署</w:t>
      </w:r>
      <w:bookmarkEnd w:id="11"/>
      <w:bookmarkEnd w:id="12"/>
      <w:bookmarkEnd w:id="13"/>
    </w:p>
    <w:p w14:paraId="33A963C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5.1投标文件应加盖投标人单位公章（不得使用其他形式如带有“专用章”等字样的印章）并经法定代表人（或负责人）或其委托代理人签字。</w:t>
      </w:r>
    </w:p>
    <w:p w14:paraId="48F2A38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5.2本招标文件提供的投标文件式中，标注有盖公章、签字之处，应有投标人的盖章、委托代理人的签字或法定代表人（或负责人）的签字。</w:t>
      </w:r>
    </w:p>
    <w:p w14:paraId="5BF4E19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5.3投标单位法人或委托代理人亲自签署。由委托代理人签字的投标资格证明文件中须附授权委托书。</w:t>
      </w:r>
    </w:p>
    <w:p w14:paraId="1CEB63C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5.4签字须使用黑色或蓝色不可退色签字笔。</w:t>
      </w:r>
    </w:p>
    <w:p w14:paraId="6BDAC15F">
      <w:pPr>
        <w:pStyle w:val="14"/>
        <w:spacing w:line="360" w:lineRule="auto"/>
        <w:ind w:firstLine="480" w:firstLineChars="200"/>
        <w:rPr>
          <w:rFonts w:hint="eastAsia" w:cs="仿宋" w:asciiTheme="minorEastAsia" w:hAnsiTheme="minorEastAsia" w:eastAsiaTheme="minorEastAsia"/>
          <w:sz w:val="24"/>
          <w:szCs w:val="24"/>
          <w:highlight w:val="none"/>
          <w:u w:val="single"/>
          <w:lang w:val="en-US" w:eastAsia="zh-CN"/>
        </w:rPr>
      </w:pPr>
      <w:r>
        <w:rPr>
          <w:rFonts w:hint="eastAsia" w:cs="仿宋" w:asciiTheme="minorEastAsia" w:hAnsiTheme="minorEastAsia" w:eastAsiaTheme="minorEastAsia"/>
          <w:sz w:val="24"/>
          <w:szCs w:val="24"/>
          <w:highlight w:val="none"/>
          <w:u w:val="single"/>
          <w:lang w:val="en-US" w:eastAsia="zh-CN"/>
        </w:rPr>
        <w:t>注：投标人代表必须按招标文件的规定签署投标文件（正本、副本及各附件）。</w:t>
      </w:r>
    </w:p>
    <w:p w14:paraId="17DF7984">
      <w:pPr>
        <w:spacing w:line="360" w:lineRule="auto"/>
        <w:ind w:firstLine="482" w:firstLineChars="200"/>
        <w:rPr>
          <w:rFonts w:hint="eastAsia" w:ascii="宋体" w:hAnsi="宋体"/>
          <w:b/>
          <w:bCs/>
          <w:sz w:val="24"/>
          <w:szCs w:val="22"/>
          <w:highlight w:val="none"/>
        </w:rPr>
      </w:pPr>
      <w:bookmarkStart w:id="14" w:name="_Toc352332867"/>
      <w:bookmarkStart w:id="15" w:name="_Toc346372893"/>
      <w:bookmarkStart w:id="16" w:name="_Toc346306746"/>
      <w:r>
        <w:rPr>
          <w:rFonts w:hint="eastAsia" w:ascii="宋体" w:hAnsi="宋体"/>
          <w:b/>
          <w:bCs/>
          <w:sz w:val="24"/>
          <w:szCs w:val="22"/>
          <w:highlight w:val="none"/>
          <w:lang w:val="en-US" w:eastAsia="zh-CN"/>
        </w:rPr>
        <w:t>6</w:t>
      </w:r>
      <w:r>
        <w:rPr>
          <w:rFonts w:hint="eastAsia" w:ascii="宋体" w:hAnsi="宋体"/>
          <w:b/>
          <w:bCs/>
          <w:sz w:val="24"/>
          <w:szCs w:val="22"/>
          <w:highlight w:val="none"/>
        </w:rPr>
        <w:t>、投标保证金</w:t>
      </w:r>
      <w:bookmarkEnd w:id="14"/>
      <w:bookmarkEnd w:id="15"/>
      <w:bookmarkEnd w:id="16"/>
    </w:p>
    <w:p w14:paraId="609F48C2">
      <w:pPr>
        <w:pStyle w:val="14"/>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z w:val="24"/>
          <w:szCs w:val="24"/>
          <w:highlight w:val="none"/>
        </w:rPr>
      </w:pPr>
      <w:bookmarkStart w:id="17" w:name="_Toc352332868"/>
      <w:bookmarkStart w:id="18" w:name="_Toc346306747"/>
      <w:bookmarkStart w:id="19" w:name="_Toc346372894"/>
      <w:r>
        <w:rPr>
          <w:rFonts w:hint="eastAsia" w:ascii="宋体" w:hAnsi="宋体" w:eastAsia="宋体" w:cs="宋体"/>
          <w:sz w:val="24"/>
          <w:szCs w:val="24"/>
          <w:highlight w:val="none"/>
        </w:rPr>
        <w:t>（1）</w:t>
      </w:r>
      <w:r>
        <w:rPr>
          <w:rFonts w:hint="eastAsia" w:ascii="Times New Roman" w:hAnsi="Times New Roman"/>
          <w:sz w:val="24"/>
          <w:szCs w:val="24"/>
          <w:highlight w:val="none"/>
        </w:rPr>
        <w:t>投标人在报名参与本项目的同时，应提供</w:t>
      </w:r>
      <w:r>
        <w:rPr>
          <w:rFonts w:hint="eastAsia" w:ascii="宋体" w:hAnsi="宋体" w:eastAsia="宋体" w:cs="宋体"/>
          <w:b/>
          <w:bCs/>
          <w:sz w:val="24"/>
          <w:szCs w:val="24"/>
          <w:highlight w:val="none"/>
          <w:u w:val="single"/>
          <w:lang w:val="en-US" w:eastAsia="zh-CN"/>
        </w:rPr>
        <w:t>5</w:t>
      </w:r>
      <w:r>
        <w:rPr>
          <w:rFonts w:hint="eastAsia" w:ascii="宋体" w:hAnsi="宋体" w:eastAsia="宋体" w:cs="宋体"/>
          <w:b/>
          <w:bCs/>
          <w:sz w:val="24"/>
          <w:szCs w:val="24"/>
          <w:highlight w:val="none"/>
          <w:u w:val="single"/>
        </w:rPr>
        <w:t>000</w:t>
      </w:r>
      <w:r>
        <w:rPr>
          <w:rFonts w:hint="eastAsia" w:ascii="Times New Roman" w:hAnsi="Times New Roman"/>
          <w:b/>
          <w:bCs/>
          <w:sz w:val="24"/>
          <w:szCs w:val="24"/>
          <w:highlight w:val="none"/>
          <w:u w:val="single"/>
        </w:rPr>
        <w:t>元</w:t>
      </w:r>
      <w:r>
        <w:rPr>
          <w:rFonts w:hint="eastAsia" w:ascii="Times New Roman" w:hAnsi="Times New Roman"/>
          <w:sz w:val="24"/>
          <w:szCs w:val="24"/>
          <w:highlight w:val="none"/>
        </w:rPr>
        <w:t>的投标保证金，并作为其投标文件的组成部分。投标保证金应在投标截止时间</w:t>
      </w:r>
      <w:r>
        <w:rPr>
          <w:rFonts w:hint="eastAsia" w:ascii="宋体" w:hAnsi="宋体" w:eastAsia="宋体" w:cs="宋体"/>
          <w:sz w:val="24"/>
          <w:szCs w:val="24"/>
          <w:highlight w:val="none"/>
        </w:rPr>
        <w:t>1</w:t>
      </w:r>
      <w:r>
        <w:rPr>
          <w:rFonts w:hint="eastAsia" w:ascii="Times New Roman" w:hAnsi="Times New Roman"/>
          <w:sz w:val="24"/>
          <w:szCs w:val="24"/>
          <w:highlight w:val="none"/>
        </w:rPr>
        <w:t>日前将投标保证金从投标人单位基本帐户转出并到账，否则按否决投标处理；未按规定提交保证金的投标人，其投标文件按否决投标处理；保证金提交后，请报名时提供转账依据。</w:t>
      </w:r>
    </w:p>
    <w:p w14:paraId="52D14A66">
      <w:pPr>
        <w:pStyle w:val="14"/>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z w:val="24"/>
          <w:szCs w:val="24"/>
          <w:highlight w:val="none"/>
        </w:rPr>
      </w:pPr>
      <w:r>
        <w:rPr>
          <w:rFonts w:hint="eastAsia" w:ascii="宋体" w:hAnsi="宋体" w:eastAsia="宋体" w:cs="宋体"/>
          <w:sz w:val="24"/>
          <w:szCs w:val="24"/>
          <w:highlight w:val="none"/>
        </w:rPr>
        <w:t>（2）</w:t>
      </w:r>
      <w:r>
        <w:rPr>
          <w:rFonts w:hint="eastAsia" w:ascii="Times New Roman" w:hAnsi="Times New Roman"/>
          <w:sz w:val="24"/>
          <w:szCs w:val="24"/>
          <w:highlight w:val="none"/>
        </w:rPr>
        <w:t>招标人银行账户信息如下：</w:t>
      </w:r>
    </w:p>
    <w:p w14:paraId="4B13DF91">
      <w:pPr>
        <w:spacing w:line="360" w:lineRule="auto"/>
        <w:ind w:firstLine="480" w:firstLineChars="200"/>
        <w:rPr>
          <w:rFonts w:hint="eastAsia" w:ascii="宋体" w:hAnsi="宋体" w:cs="Times New Roman"/>
          <w:b/>
          <w:bCs/>
          <w:sz w:val="24"/>
          <w:szCs w:val="22"/>
          <w:highlight w:val="none"/>
          <w:lang w:val="en-US" w:eastAsia="zh-CN"/>
        </w:rPr>
      </w:pPr>
      <w:r>
        <w:rPr>
          <w:rFonts w:hint="eastAsia" w:ascii="Times New Roman" w:hAnsi="Times New Roman"/>
          <w:sz w:val="24"/>
          <w:szCs w:val="24"/>
          <w:highlight w:val="none"/>
        </w:rPr>
        <w:t>账号：</w:t>
      </w:r>
      <w:r>
        <w:rPr>
          <w:rFonts w:hint="eastAsia" w:ascii="宋体" w:hAnsi="宋体" w:cs="Times New Roman"/>
          <w:b/>
          <w:bCs/>
          <w:sz w:val="24"/>
          <w:szCs w:val="22"/>
          <w:highlight w:val="none"/>
          <w:lang w:val="en-US" w:eastAsia="zh-CN"/>
        </w:rPr>
        <w:t>37001616508050150300</w:t>
      </w:r>
    </w:p>
    <w:p w14:paraId="56786C9D">
      <w:pPr>
        <w:pStyle w:val="14"/>
        <w:pageBreakBefore w:val="0"/>
        <w:kinsoku/>
        <w:wordWrap/>
        <w:overflowPunct/>
        <w:topLinePunct w:val="0"/>
        <w:autoSpaceDE/>
        <w:autoSpaceDN/>
        <w:bidi w:val="0"/>
        <w:adjustRightInd/>
        <w:snapToGrid/>
        <w:spacing w:line="360" w:lineRule="auto"/>
        <w:ind w:firstLine="470" w:firstLineChars="196"/>
        <w:textAlignment w:val="auto"/>
        <w:rPr>
          <w:rFonts w:hint="eastAsia" w:ascii="Times New Roman" w:hAnsi="Times New Roman" w:eastAsia="宋体"/>
          <w:sz w:val="24"/>
          <w:szCs w:val="24"/>
          <w:highlight w:val="none"/>
          <w:lang w:eastAsia="zh-CN"/>
        </w:rPr>
      </w:pPr>
      <w:r>
        <w:rPr>
          <w:rFonts w:hint="eastAsia" w:ascii="Times New Roman" w:hAnsi="Times New Roman"/>
          <w:sz w:val="24"/>
          <w:szCs w:val="24"/>
          <w:highlight w:val="none"/>
        </w:rPr>
        <w:t>开户行：</w:t>
      </w:r>
      <w:r>
        <w:rPr>
          <w:rFonts w:hint="eastAsia" w:ascii="宋体" w:hAnsi="宋体" w:cs="Times New Roman"/>
          <w:b/>
          <w:bCs/>
          <w:sz w:val="24"/>
          <w:szCs w:val="22"/>
          <w:highlight w:val="none"/>
          <w:lang w:val="en-US" w:eastAsia="zh-CN"/>
        </w:rPr>
        <w:t>中国建设银行济南天桥支行</w:t>
      </w:r>
      <w:r>
        <w:rPr>
          <w:rFonts w:hint="eastAsia" w:ascii="Times New Roman" w:hAnsi="Times New Roman"/>
          <w:sz w:val="24"/>
          <w:szCs w:val="24"/>
          <w:highlight w:val="none"/>
          <w:lang w:val="en-US" w:eastAsia="zh-CN"/>
        </w:rPr>
        <w:t xml:space="preserve"> </w:t>
      </w:r>
    </w:p>
    <w:p w14:paraId="41E17661">
      <w:pPr>
        <w:pStyle w:val="14"/>
        <w:pageBreakBefore w:val="0"/>
        <w:kinsoku/>
        <w:wordWrap/>
        <w:overflowPunct/>
        <w:topLinePunct w:val="0"/>
        <w:autoSpaceDE/>
        <w:autoSpaceDN/>
        <w:bidi w:val="0"/>
        <w:adjustRightInd/>
        <w:snapToGrid/>
        <w:spacing w:line="360" w:lineRule="auto"/>
        <w:ind w:firstLine="470" w:firstLineChars="196"/>
        <w:textAlignment w:val="auto"/>
        <w:rPr>
          <w:rFonts w:hint="eastAsia" w:ascii="Times New Roman" w:hAnsi="Times New Roman"/>
          <w:sz w:val="24"/>
          <w:szCs w:val="24"/>
          <w:highlight w:val="none"/>
        </w:rPr>
      </w:pPr>
      <w:r>
        <w:rPr>
          <w:rFonts w:hint="eastAsia" w:ascii="Times New Roman" w:hAnsi="Times New Roman"/>
          <w:sz w:val="24"/>
          <w:szCs w:val="24"/>
          <w:highlight w:val="none"/>
        </w:rPr>
        <w:t>单位名称：</w:t>
      </w:r>
      <w:r>
        <w:rPr>
          <w:rFonts w:hint="eastAsia" w:ascii="宋体" w:hAnsi="宋体" w:cs="Times New Roman"/>
          <w:b/>
          <w:bCs/>
          <w:sz w:val="24"/>
          <w:szCs w:val="22"/>
          <w:highlight w:val="none"/>
          <w:lang w:val="en-US" w:eastAsia="zh-CN"/>
        </w:rPr>
        <w:t>中国重汽集团济南动力有限公司</w:t>
      </w:r>
    </w:p>
    <w:p w14:paraId="510CE338">
      <w:pPr>
        <w:pStyle w:val="14"/>
        <w:pageBreakBefore w:val="0"/>
        <w:kinsoku/>
        <w:wordWrap/>
        <w:overflowPunct/>
        <w:topLinePunct w:val="0"/>
        <w:autoSpaceDE/>
        <w:autoSpaceDN/>
        <w:bidi w:val="0"/>
        <w:adjustRightInd/>
        <w:snapToGrid/>
        <w:spacing w:line="360" w:lineRule="auto"/>
        <w:ind w:firstLine="470" w:firstLineChars="196"/>
        <w:textAlignment w:val="auto"/>
        <w:rPr>
          <w:rFonts w:ascii="Times New Roman" w:hAnsi="Times New Roman"/>
          <w:sz w:val="24"/>
          <w:szCs w:val="24"/>
          <w:highlight w:val="none"/>
        </w:rPr>
      </w:pPr>
      <w:r>
        <w:rPr>
          <w:rFonts w:hint="eastAsia" w:ascii="Times New Roman" w:hAnsi="Times New Roman"/>
          <w:sz w:val="24"/>
          <w:szCs w:val="24"/>
          <w:highlight w:val="none"/>
        </w:rPr>
        <w:t>投标保证金形式</w:t>
      </w:r>
    </w:p>
    <w:p w14:paraId="6EF2CEAB">
      <w:pPr>
        <w:pStyle w:val="14"/>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eastAsia="zh-CN"/>
        </w:rPr>
        <w:t>（</w:t>
      </w:r>
      <w:r>
        <w:rPr>
          <w:rFonts w:hint="eastAsia" w:hAnsi="宋体" w:cs="宋体"/>
          <w:sz w:val="24"/>
          <w:szCs w:val="24"/>
          <w:highlight w:val="none"/>
          <w:lang w:val="en-US" w:eastAsia="zh-CN"/>
        </w:rPr>
        <w:t>一</w:t>
      </w:r>
      <w:r>
        <w:rPr>
          <w:rFonts w:hint="eastAsia" w:hAnsi="宋体" w:cs="宋体"/>
          <w:sz w:val="24"/>
          <w:szCs w:val="24"/>
          <w:highlight w:val="none"/>
          <w:lang w:eastAsia="zh-CN"/>
        </w:rPr>
        <w:t>）</w:t>
      </w:r>
      <w:r>
        <w:rPr>
          <w:rFonts w:hint="eastAsia" w:ascii="宋体" w:hAnsi="宋体" w:eastAsia="宋体" w:cs="宋体"/>
          <w:sz w:val="24"/>
          <w:szCs w:val="24"/>
          <w:highlight w:val="none"/>
        </w:rPr>
        <w:t>该银行账户只接受电汇</w:t>
      </w:r>
      <w:r>
        <w:rPr>
          <w:rFonts w:hint="eastAsia" w:ascii="宋体" w:hAnsi="宋体" w:eastAsia="宋体" w:cs="仿宋"/>
          <w:b/>
          <w:bCs/>
          <w:sz w:val="24"/>
          <w:szCs w:val="24"/>
          <w:lang w:val="en-US" w:eastAsia="zh-CN"/>
        </w:rPr>
        <w:t>（备注“</w:t>
      </w:r>
      <w:r>
        <w:rPr>
          <w:rFonts w:hint="eastAsia" w:hAnsi="宋体" w:cs="仿宋"/>
          <w:b/>
          <w:bCs/>
          <w:sz w:val="24"/>
          <w:szCs w:val="24"/>
          <w:lang w:val="en-US" w:eastAsia="zh-CN"/>
        </w:rPr>
        <w:t>道路划线</w:t>
      </w:r>
      <w:r>
        <w:rPr>
          <w:rFonts w:hint="eastAsia" w:ascii="宋体" w:hAnsi="宋体" w:eastAsia="宋体" w:cs="仿宋"/>
          <w:b/>
          <w:bCs/>
          <w:sz w:val="24"/>
          <w:szCs w:val="24"/>
          <w:lang w:val="en-US" w:eastAsia="zh-CN"/>
        </w:rPr>
        <w:t>项目”）</w:t>
      </w:r>
      <w:r>
        <w:rPr>
          <w:rFonts w:hint="eastAsia" w:hAnsi="宋体" w:cs="宋体"/>
          <w:sz w:val="24"/>
          <w:szCs w:val="24"/>
          <w:highlight w:val="none"/>
          <w:lang w:eastAsia="zh-CN"/>
        </w:rPr>
        <w:t>。</w:t>
      </w:r>
    </w:p>
    <w:p w14:paraId="02088DD2">
      <w:pPr>
        <w:pStyle w:val="14"/>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投标保证金应从投标人的基本账户转出至上述账户并到账，否则视为无效投标。</w:t>
      </w:r>
    </w:p>
    <w:p w14:paraId="53BAD043">
      <w:pPr>
        <w:pStyle w:val="14"/>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转账附言：</w:t>
      </w:r>
      <w:r>
        <w:rPr>
          <w:rFonts w:hint="eastAsia" w:ascii="宋体" w:hAnsi="宋体" w:eastAsia="宋体" w:cs="宋体"/>
          <w:sz w:val="24"/>
          <w:szCs w:val="24"/>
          <w:highlight w:val="none"/>
          <w:u w:val="single"/>
        </w:rPr>
        <w:t>公司名称+项目名称+投标保证金</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不按照此要求备注，不保证保证金退还时间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14:paraId="3BF35A32">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四</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投标保证金将于招标人内部完成中标人评审并确认最终中标人后在30工作日内予以原路返还。</w:t>
      </w:r>
    </w:p>
    <w:p w14:paraId="6253EEC4">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五</w:t>
      </w:r>
      <w:r>
        <w:rPr>
          <w:rFonts w:hint="eastAsia" w:ascii="宋体" w:hAnsi="宋体" w:eastAsia="宋体" w:cs="宋体"/>
          <w:color w:val="000000"/>
          <w:sz w:val="24"/>
          <w:szCs w:val="24"/>
          <w:highlight w:val="none"/>
        </w:rPr>
        <w:t xml:space="preserve">）有下列情形之一的，投标保证金将不予退还：                                                            </w:t>
      </w:r>
    </w:p>
    <w:p w14:paraId="175A63EB">
      <w:pPr>
        <w:pageBreakBefore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（1）截至开标前2天，投标人无正当理由、未以书面形式递交说明而在投标截止日不来投标的；</w:t>
      </w:r>
    </w:p>
    <w:p w14:paraId="1C071555">
      <w:pPr>
        <w:pageBreakBefore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（2）投标人递送文件后，无正当理由放弃投标的；</w:t>
      </w:r>
    </w:p>
    <w:p w14:paraId="26DE807A">
      <w:pPr>
        <w:pageBreakBefore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（3）自中标（成交）通知书发出之日起</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rPr>
        <w:t>0日内，中标人无正当理由不签订合同的；</w:t>
      </w:r>
    </w:p>
    <w:p w14:paraId="10354BB4">
      <w:pPr>
        <w:pageBreakBefore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（4）投标过程中被查实有串标、围标、陪标等违规违纪行为的；</w:t>
      </w:r>
    </w:p>
    <w:p w14:paraId="01CD2878">
      <w:pPr>
        <w:pageBreakBefore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（5）投标人有违约违规行为或被投诉、举报的、在调查处理期间，保证金暂不退还，待调查处理结束后按有关规定处理。</w:t>
      </w:r>
    </w:p>
    <w:p w14:paraId="783B9EF6">
      <w:pPr>
        <w:spacing w:line="360" w:lineRule="auto"/>
        <w:ind w:firstLine="482" w:firstLineChars="200"/>
        <w:rPr>
          <w:rFonts w:hint="eastAsia" w:ascii="宋体" w:hAnsi="宋体"/>
          <w:b/>
          <w:bCs/>
          <w:sz w:val="24"/>
          <w:szCs w:val="22"/>
          <w:highlight w:val="none"/>
        </w:rPr>
      </w:pPr>
      <w:r>
        <w:rPr>
          <w:rFonts w:hint="eastAsia" w:ascii="宋体" w:hAnsi="宋体"/>
          <w:b/>
          <w:bCs/>
          <w:sz w:val="24"/>
          <w:szCs w:val="22"/>
          <w:highlight w:val="none"/>
          <w:lang w:val="en-US" w:eastAsia="zh-CN"/>
        </w:rPr>
        <w:t>7</w:t>
      </w:r>
      <w:r>
        <w:rPr>
          <w:rFonts w:hint="eastAsia" w:ascii="宋体" w:hAnsi="宋体"/>
          <w:b/>
          <w:bCs/>
          <w:sz w:val="24"/>
          <w:szCs w:val="22"/>
          <w:highlight w:val="none"/>
        </w:rPr>
        <w:t>、投标有效期</w:t>
      </w:r>
      <w:bookmarkEnd w:id="17"/>
      <w:bookmarkEnd w:id="18"/>
      <w:bookmarkEnd w:id="19"/>
    </w:p>
    <w:p w14:paraId="3C870AD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7.1本项目投标有效期：自开标之日起 30 个日历天。</w:t>
      </w:r>
    </w:p>
    <w:p w14:paraId="1A2F5064">
      <w:pPr>
        <w:pStyle w:val="14"/>
        <w:spacing w:line="360" w:lineRule="auto"/>
        <w:ind w:firstLine="480" w:firstLineChars="200"/>
        <w:rPr>
          <w:rFonts w:hint="eastAsia" w:cs="仿宋" w:asciiTheme="minorEastAsia" w:hAnsiTheme="minorEastAsia" w:eastAsiaTheme="minorEastAsia"/>
          <w:sz w:val="24"/>
          <w:szCs w:val="24"/>
          <w:highlight w:val="none"/>
          <w:u w:val="single"/>
          <w:lang w:val="en-US" w:eastAsia="zh-CN"/>
        </w:rPr>
      </w:pPr>
      <w:r>
        <w:rPr>
          <w:rFonts w:hint="eastAsia" w:cs="仿宋" w:asciiTheme="minorEastAsia" w:hAnsiTheme="minorEastAsia" w:eastAsiaTheme="minorEastAsia"/>
          <w:sz w:val="24"/>
          <w:szCs w:val="24"/>
          <w:highlight w:val="none"/>
          <w:u w:val="single"/>
          <w:lang w:val="en-US" w:eastAsia="zh-CN"/>
        </w:rPr>
        <w:t>注：投标函的有效期比本须知规定的有效期短的，将被视为非响应性投标，该投标文件按无效投标处理。</w:t>
      </w:r>
    </w:p>
    <w:p w14:paraId="036EBC1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7.2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14:paraId="46E71CA3">
      <w:pPr>
        <w:pStyle w:val="3"/>
        <w:spacing w:before="120" w:after="120" w:line="360" w:lineRule="auto"/>
        <w:ind w:firstLine="602" w:firstLineChars="214"/>
        <w:jc w:val="left"/>
        <w:rPr>
          <w:rFonts w:ascii="宋体" w:hAnsi="宋体" w:eastAsia="宋体" w:cs="宋体"/>
          <w:sz w:val="28"/>
          <w:szCs w:val="28"/>
          <w:highlight w:val="none"/>
        </w:rPr>
      </w:pPr>
      <w:bookmarkStart w:id="20" w:name="_Toc48665527"/>
      <w:r>
        <w:rPr>
          <w:rFonts w:hint="eastAsia" w:ascii="宋体" w:hAnsi="宋体" w:eastAsia="宋体" w:cs="宋体"/>
          <w:sz w:val="28"/>
          <w:szCs w:val="28"/>
          <w:highlight w:val="none"/>
          <w:lang w:val="en-US" w:eastAsia="zh-CN"/>
        </w:rPr>
        <w:t>二</w:t>
      </w:r>
      <w:r>
        <w:rPr>
          <w:rFonts w:hint="eastAsia" w:ascii="宋体" w:hAnsi="宋体" w:eastAsia="宋体" w:cs="宋体"/>
          <w:sz w:val="28"/>
          <w:szCs w:val="28"/>
          <w:highlight w:val="none"/>
        </w:rPr>
        <w:t>、投标文件递交</w:t>
      </w:r>
      <w:bookmarkEnd w:id="20"/>
    </w:p>
    <w:p w14:paraId="6C72279B">
      <w:pPr>
        <w:pStyle w:val="10"/>
        <w:tabs>
          <w:tab w:val="left" w:pos="955"/>
        </w:tabs>
        <w:spacing w:after="0" w:line="360" w:lineRule="auto"/>
        <w:ind w:left="1146" w:leftChars="273" w:hanging="573" w:hangingChars="238"/>
        <w:rPr>
          <w:rFonts w:hint="eastAsia" w:ascii="宋体" w:hAnsi="宋体" w:eastAsia="宋体" w:cs="宋体"/>
          <w:b/>
          <w:bCs/>
          <w:sz w:val="24"/>
          <w:szCs w:val="24"/>
          <w:highlight w:val="none"/>
        </w:rPr>
      </w:pPr>
      <w:bookmarkStart w:id="21" w:name="_Toc352332870"/>
      <w:bookmarkStart w:id="22" w:name="_Toc346372896"/>
      <w:bookmarkStart w:id="23" w:name="_Toc346306749"/>
      <w:r>
        <w:rPr>
          <w:rFonts w:hint="eastAsia" w:ascii="宋体" w:hAnsi="宋体" w:eastAsia="宋体" w:cs="宋体"/>
          <w:b/>
          <w:bCs/>
          <w:sz w:val="24"/>
          <w:szCs w:val="24"/>
          <w:highlight w:val="none"/>
          <w:lang w:val="en-US" w:eastAsia="zh-CN"/>
        </w:rPr>
        <w:t>8</w:t>
      </w:r>
      <w:r>
        <w:rPr>
          <w:rFonts w:hint="eastAsia" w:ascii="宋体" w:hAnsi="宋体" w:eastAsia="宋体" w:cs="宋体"/>
          <w:b/>
          <w:bCs/>
          <w:sz w:val="24"/>
          <w:szCs w:val="24"/>
          <w:highlight w:val="none"/>
        </w:rPr>
        <w:t>、投标文件递交时间和地点</w:t>
      </w:r>
      <w:bookmarkEnd w:id="21"/>
      <w:bookmarkEnd w:id="22"/>
      <w:bookmarkEnd w:id="23"/>
    </w:p>
    <w:p w14:paraId="2FE2970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8.1投标文件（此处不含投标保证金）递交起止时间及地点</w:t>
      </w:r>
    </w:p>
    <w:p w14:paraId="1E1CA09E">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（1）投标文件递交开始时间：</w:t>
      </w:r>
      <w:r>
        <w:rPr>
          <w:rFonts w:hint="eastAsia" w:cs="仿宋" w:asciiTheme="minorEastAsia" w:hAnsiTheme="minorEastAsia" w:eastAsiaTheme="minorEastAsia"/>
          <w:sz w:val="24"/>
          <w:szCs w:val="24"/>
          <w:highlight w:val="none"/>
          <w:u w:val="single"/>
          <w:lang w:val="en-US" w:eastAsia="zh-CN"/>
        </w:rPr>
        <w:t xml:space="preserve">            见议程安排                 </w:t>
      </w:r>
      <w:r>
        <w:rPr>
          <w:rFonts w:hint="eastAsia" w:cs="仿宋" w:asciiTheme="minorEastAsia" w:hAnsiTheme="minorEastAsia" w:eastAsiaTheme="minorEastAsia"/>
          <w:sz w:val="24"/>
          <w:szCs w:val="24"/>
          <w:highlight w:val="none"/>
          <w:lang w:val="en-US" w:eastAsia="zh-CN"/>
        </w:rPr>
        <w:t xml:space="preserve">；                  </w:t>
      </w:r>
    </w:p>
    <w:p w14:paraId="7DAA7AA2">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（2）投标文件递交截止时间：</w:t>
      </w:r>
      <w:r>
        <w:rPr>
          <w:rFonts w:hint="eastAsia" w:cs="仿宋" w:asciiTheme="minorEastAsia" w:hAnsiTheme="minorEastAsia" w:eastAsiaTheme="minorEastAsia"/>
          <w:sz w:val="24"/>
          <w:szCs w:val="24"/>
          <w:highlight w:val="none"/>
          <w:u w:val="single"/>
          <w:lang w:val="en-US" w:eastAsia="zh-CN"/>
        </w:rPr>
        <w:t xml:space="preserve">            见议程安排                 </w:t>
      </w:r>
      <w:r>
        <w:rPr>
          <w:rFonts w:hint="eastAsia" w:cs="仿宋" w:asciiTheme="minorEastAsia" w:hAnsiTheme="minorEastAsia" w:eastAsiaTheme="minorEastAsia"/>
          <w:sz w:val="24"/>
          <w:szCs w:val="24"/>
          <w:highlight w:val="none"/>
          <w:lang w:val="en-US" w:eastAsia="zh-CN"/>
        </w:rPr>
        <w:t>；</w:t>
      </w:r>
    </w:p>
    <w:p w14:paraId="33636EC1">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sz w:val="24"/>
          <w:szCs w:val="24"/>
          <w:highlight w:val="none"/>
          <w:u w:val="single"/>
          <w:lang w:val="en-US" w:eastAsia="zh-CN"/>
        </w:rPr>
      </w:pPr>
      <w:r>
        <w:rPr>
          <w:rFonts w:hint="eastAsia" w:cs="仿宋" w:asciiTheme="minorEastAsia" w:hAnsiTheme="minorEastAsia" w:eastAsiaTheme="minorEastAsia"/>
          <w:sz w:val="24"/>
          <w:szCs w:val="24"/>
          <w:highlight w:val="none"/>
          <w:lang w:val="en-US" w:eastAsia="zh-CN"/>
        </w:rPr>
        <w:t>（3）投标文件递交地点：</w:t>
      </w:r>
      <w:r>
        <w:rPr>
          <w:rFonts w:hint="eastAsia" w:cs="仿宋" w:asciiTheme="minorEastAsia" w:hAnsiTheme="minorEastAsia" w:eastAsiaTheme="minorEastAsia"/>
          <w:sz w:val="24"/>
          <w:szCs w:val="24"/>
          <w:highlight w:val="none"/>
          <w:u w:val="single"/>
          <w:lang w:val="en-US" w:eastAsia="zh-CN"/>
        </w:rPr>
        <w:t xml:space="preserve">济南市高新区华奥路777号重汽科技大厦  </w:t>
      </w:r>
    </w:p>
    <w:p w14:paraId="0EA4EF39">
      <w:pPr>
        <w:keepNext w:val="0"/>
        <w:keepLines w:val="0"/>
        <w:pageBreakBefore w:val="0"/>
        <w:widowControl w:val="0"/>
        <w:kinsoku/>
        <w:wordWrap/>
        <w:overflowPunct/>
        <w:topLinePunct w:val="0"/>
        <w:autoSpaceDE/>
        <w:autoSpaceDN/>
        <w:bidi w:val="0"/>
        <w:adjustRightInd/>
        <w:snapToGrid/>
        <w:spacing w:line="360" w:lineRule="auto"/>
        <w:ind w:firstLine="2400" w:firstLineChars="1000"/>
        <w:textAlignment w:val="auto"/>
        <w:rPr>
          <w:rFonts w:hint="default"/>
          <w:highlight w:val="none"/>
          <w:u w:val="single"/>
          <w:lang w:val="en-US" w:eastAsia="zh-CN"/>
        </w:rPr>
      </w:pPr>
      <w:r>
        <w:rPr>
          <w:rFonts w:hint="eastAsia" w:cs="仿宋" w:asciiTheme="minorEastAsia" w:hAnsiTheme="minorEastAsia" w:eastAsiaTheme="minorEastAsia"/>
          <w:sz w:val="24"/>
          <w:szCs w:val="24"/>
          <w:highlight w:val="none"/>
          <w:u w:val="none"/>
          <w:lang w:val="en-US" w:eastAsia="zh-CN"/>
        </w:rPr>
        <w:t>收件人：</w:t>
      </w:r>
      <w:r>
        <w:rPr>
          <w:rFonts w:hint="eastAsia" w:ascii="宋体" w:hAnsi="宋体" w:eastAsia="宋体" w:cs="宋体"/>
          <w:sz w:val="24"/>
          <w:szCs w:val="24"/>
          <w:highlight w:val="none"/>
          <w:u w:val="single"/>
          <w:lang w:val="en-US" w:eastAsia="zh-CN"/>
        </w:rPr>
        <w:t>刘琦13668800214</w:t>
      </w:r>
    </w:p>
    <w:p w14:paraId="7E1657B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8.2投标人代表必须在投标截止时间前将投标文件送达指定地点。如因招标文件的修</w:t>
      </w:r>
      <w:r>
        <w:rPr>
          <w:rFonts w:hint="eastAsia" w:ascii="宋体" w:hAnsi="宋体"/>
          <w:spacing w:val="4"/>
          <w:sz w:val="24"/>
          <w:highlight w:val="none"/>
        </w:rPr>
        <w:t>改推</w:t>
      </w:r>
      <w:r>
        <w:rPr>
          <w:rFonts w:hint="eastAsia" w:cs="仿宋" w:asciiTheme="minorEastAsia" w:hAnsiTheme="minorEastAsia" w:eastAsiaTheme="minorEastAsia"/>
          <w:sz w:val="24"/>
          <w:szCs w:val="24"/>
          <w:highlight w:val="none"/>
          <w:lang w:val="en-US" w:eastAsia="zh-CN"/>
        </w:rPr>
        <w:t>迟投标截止日期的，则按招标人另行通知规定的时间递交。</w:t>
      </w:r>
    </w:p>
    <w:p w14:paraId="6136760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8.3招标人不接收投标截止时间后送达的投标文件。</w:t>
      </w:r>
    </w:p>
    <w:p w14:paraId="03AB3E69">
      <w:pPr>
        <w:pStyle w:val="10"/>
        <w:tabs>
          <w:tab w:val="left" w:pos="955"/>
        </w:tabs>
        <w:spacing w:after="0" w:line="360" w:lineRule="auto"/>
        <w:ind w:left="1146" w:leftChars="273" w:hanging="573" w:hangingChars="238"/>
        <w:rPr>
          <w:rFonts w:hint="eastAsia" w:ascii="宋体" w:hAnsi="宋体" w:eastAsia="宋体" w:cs="宋体"/>
          <w:b/>
          <w:bCs/>
          <w:color w:val="auto"/>
          <w:sz w:val="24"/>
          <w:szCs w:val="24"/>
          <w:highlight w:val="none"/>
        </w:rPr>
      </w:pPr>
      <w:bookmarkStart w:id="24" w:name="_Toc346372897"/>
      <w:bookmarkStart w:id="25" w:name="_Toc346306750"/>
      <w:bookmarkStart w:id="26" w:name="_Toc352332871"/>
      <w:r>
        <w:rPr>
          <w:rFonts w:hint="eastAsia" w:ascii="宋体" w:hAnsi="宋体" w:cs="宋体"/>
          <w:b/>
          <w:bCs/>
          <w:color w:val="auto"/>
          <w:sz w:val="24"/>
          <w:szCs w:val="24"/>
          <w:highlight w:val="none"/>
          <w:lang w:val="en-US" w:eastAsia="zh-CN"/>
        </w:rPr>
        <w:t>9</w:t>
      </w:r>
      <w:r>
        <w:rPr>
          <w:rFonts w:hint="eastAsia" w:ascii="宋体" w:hAnsi="宋体" w:cs="宋体"/>
          <w:b/>
          <w:bCs/>
          <w:color w:val="auto"/>
          <w:sz w:val="24"/>
          <w:szCs w:val="24"/>
          <w:highlight w:val="none"/>
        </w:rPr>
        <w:t>、</w:t>
      </w:r>
      <w:r>
        <w:rPr>
          <w:rFonts w:hint="eastAsia" w:ascii="宋体" w:hAnsi="宋体" w:eastAsia="宋体" w:cs="宋体"/>
          <w:b/>
          <w:bCs/>
          <w:color w:val="auto"/>
          <w:sz w:val="24"/>
          <w:szCs w:val="24"/>
          <w:highlight w:val="none"/>
        </w:rPr>
        <w:t>投标文件签收</w:t>
      </w:r>
      <w:bookmarkEnd w:id="24"/>
      <w:bookmarkEnd w:id="25"/>
      <w:bookmarkEnd w:id="26"/>
    </w:p>
    <w:p w14:paraId="63259E5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9.1本项目只接受现场递交书面形式的投标，其他形式的投标不予接收。</w:t>
      </w:r>
    </w:p>
    <w:p w14:paraId="59B00B2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9.2投标截止时间后对投标人已提交的投标文件不予退还。</w:t>
      </w:r>
      <w:bookmarkStart w:id="27" w:name="_Toc352332872"/>
      <w:bookmarkStart w:id="28" w:name="_Toc346306751"/>
      <w:bookmarkStart w:id="29" w:name="_Toc346372898"/>
    </w:p>
    <w:p w14:paraId="11D8DCA8">
      <w:pPr>
        <w:spacing w:line="360" w:lineRule="auto"/>
        <w:ind w:left="124" w:leftChars="59" w:firstLine="487" w:firstLineChars="202"/>
        <w:rPr>
          <w:rFonts w:ascii="宋体" w:hAnsi="宋体"/>
          <w:b/>
          <w:bCs/>
          <w:sz w:val="24"/>
          <w:szCs w:val="24"/>
          <w:highlight w:val="none"/>
        </w:rPr>
      </w:pPr>
      <w:r>
        <w:rPr>
          <w:rFonts w:ascii="宋体" w:hAnsi="宋体" w:cs="宋体"/>
          <w:b/>
          <w:bCs/>
          <w:sz w:val="24"/>
          <w:szCs w:val="24"/>
          <w:highlight w:val="none"/>
        </w:rPr>
        <w:t>1</w:t>
      </w:r>
      <w:r>
        <w:rPr>
          <w:rFonts w:hint="eastAsia" w:ascii="宋体" w:hAnsi="宋体" w:cs="宋体"/>
          <w:b/>
          <w:bCs/>
          <w:sz w:val="24"/>
          <w:szCs w:val="24"/>
          <w:highlight w:val="none"/>
          <w:lang w:val="en-US" w:eastAsia="zh-CN"/>
        </w:rPr>
        <w:t>0</w:t>
      </w:r>
      <w:r>
        <w:rPr>
          <w:rFonts w:hint="eastAsia" w:ascii="宋体" w:hAnsi="宋体" w:cs="宋体"/>
          <w:b/>
          <w:bCs/>
          <w:sz w:val="24"/>
          <w:szCs w:val="24"/>
          <w:highlight w:val="none"/>
        </w:rPr>
        <w:t>、投标文件修改与撤回</w:t>
      </w:r>
      <w:bookmarkEnd w:id="27"/>
      <w:bookmarkEnd w:id="28"/>
      <w:bookmarkEnd w:id="29"/>
    </w:p>
    <w:p w14:paraId="58B0BBA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10.1投标人在招标文件要求提交投标文件的截止时间前，可以修改或者撤回已提交的投标文件，按并书面形式通知招标人。</w:t>
      </w:r>
    </w:p>
    <w:p w14:paraId="35DBBCF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10.2任何修改内容必须由投标人的法定代表人（或负责人）或其授权代理人签字，不得涂抹。经法定代表人（或负责人）或其授权代理人正式签署的修改文件组成投标文件的一部分，份数和密封要求同投标文件一致。由委托代理人签字的投标资格证明文件中须附授权委托书。</w:t>
      </w:r>
    </w:p>
    <w:p w14:paraId="48F1B03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10.3投标截止时间后不允许对投标文件做实质性修改。</w:t>
      </w:r>
    </w:p>
    <w:p w14:paraId="0BC09AB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10.4投标有效期内不得撤回投标。</w:t>
      </w:r>
    </w:p>
    <w:p w14:paraId="1A1D8E2F">
      <w:pPr>
        <w:spacing w:line="360" w:lineRule="auto"/>
        <w:ind w:left="124" w:leftChars="59" w:firstLine="487" w:firstLineChars="202"/>
        <w:rPr>
          <w:rFonts w:ascii="宋体" w:hAnsi="宋体" w:cs="宋体"/>
          <w:b/>
          <w:bCs/>
          <w:sz w:val="24"/>
          <w:szCs w:val="24"/>
          <w:highlight w:val="none"/>
        </w:rPr>
      </w:pPr>
      <w:bookmarkStart w:id="30" w:name="_Toc48665528"/>
      <w:r>
        <w:rPr>
          <w:rFonts w:hint="eastAsia" w:ascii="宋体" w:hAnsi="宋体" w:cs="宋体"/>
          <w:b/>
          <w:bCs/>
          <w:sz w:val="24"/>
          <w:szCs w:val="24"/>
          <w:highlight w:val="none"/>
          <w:lang w:val="en-US" w:eastAsia="zh-CN"/>
        </w:rPr>
        <w:t>三</w:t>
      </w:r>
      <w:r>
        <w:rPr>
          <w:rFonts w:hint="eastAsia" w:ascii="宋体" w:hAnsi="宋体" w:cs="宋体"/>
          <w:b/>
          <w:bCs/>
          <w:sz w:val="24"/>
          <w:szCs w:val="24"/>
          <w:highlight w:val="none"/>
        </w:rPr>
        <w:t>、开标与评标</w:t>
      </w:r>
      <w:bookmarkEnd w:id="30"/>
    </w:p>
    <w:p w14:paraId="7011091E">
      <w:pPr>
        <w:spacing w:line="360" w:lineRule="auto"/>
        <w:ind w:firstLine="482" w:firstLineChars="200"/>
        <w:rPr>
          <w:rFonts w:hint="eastAsia" w:ascii="宋体" w:hAnsi="宋体" w:cs="宋体"/>
          <w:b/>
          <w:bCs/>
          <w:sz w:val="24"/>
          <w:szCs w:val="24"/>
          <w:highlight w:val="none"/>
        </w:rPr>
      </w:pPr>
      <w:bookmarkStart w:id="31" w:name="_Toc212369527"/>
      <w:r>
        <w:rPr>
          <w:rFonts w:hint="eastAsia" w:ascii="宋体" w:hAnsi="宋体" w:cs="宋体"/>
          <w:b/>
          <w:bCs/>
          <w:sz w:val="24"/>
          <w:szCs w:val="24"/>
          <w:highlight w:val="none"/>
        </w:rPr>
        <w:t>1</w:t>
      </w:r>
      <w:r>
        <w:rPr>
          <w:rFonts w:hint="eastAsia" w:ascii="宋体" w:hAnsi="宋体" w:cs="宋体"/>
          <w:b/>
          <w:bCs/>
          <w:sz w:val="24"/>
          <w:szCs w:val="24"/>
          <w:highlight w:val="none"/>
          <w:lang w:val="en-US" w:eastAsia="zh-CN"/>
        </w:rPr>
        <w:t>1</w:t>
      </w:r>
      <w:r>
        <w:rPr>
          <w:rFonts w:hint="eastAsia" w:ascii="宋体" w:hAnsi="宋体" w:cs="宋体"/>
          <w:b/>
          <w:bCs/>
          <w:sz w:val="24"/>
          <w:szCs w:val="24"/>
          <w:highlight w:val="none"/>
        </w:rPr>
        <w:t>、开标</w:t>
      </w:r>
      <w:bookmarkEnd w:id="31"/>
    </w:p>
    <w:p w14:paraId="22307A3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11.1本次招标的开标、评标由招标人依法组织实施。</w:t>
      </w:r>
    </w:p>
    <w:p w14:paraId="6DA0727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11.2本项目开标时间和地点见投标人须知。开标会议由招标人组织并主持。招标人和招标人邀请各投标人派员参加开标会议。投标人未参加开标的，视同认可开标结果。</w:t>
      </w:r>
    </w:p>
    <w:p w14:paraId="7049193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11.3开标程序</w:t>
      </w:r>
      <w:bookmarkStart w:id="32" w:name="_Toc92678127"/>
    </w:p>
    <w:p w14:paraId="22BCD01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（1）宣布开标会议开始。</w:t>
      </w:r>
    </w:p>
    <w:p w14:paraId="109851A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（2）宣读评标纪律，并确认。</w:t>
      </w:r>
    </w:p>
    <w:p w14:paraId="123FEAA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（3）投标人或投标人推选的代表对投标文件密封情况进行检查（投标人未参加现场开标会议的，视同认可投标文件密封完好）。</w:t>
      </w:r>
    </w:p>
    <w:p w14:paraId="3FB18FF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（4）经确认无误后，由工作人员当众拆封，拆启投标人资格证明文件进行核验，再拆启技术标书，商务标书、开标一览表暂时不拆启，由招标人指定专人保管。</w:t>
      </w:r>
    </w:p>
    <w:p w14:paraId="558586F1">
      <w:pPr>
        <w:pStyle w:val="14"/>
        <w:spacing w:line="360" w:lineRule="auto"/>
        <w:ind w:firstLine="480" w:firstLineChars="200"/>
        <w:rPr>
          <w:rFonts w:hint="eastAsia" w:ascii="宋体" w:hAnsi="宋体"/>
          <w:spacing w:val="4"/>
          <w:sz w:val="24"/>
          <w:highlight w:val="none"/>
        </w:rPr>
      </w:pPr>
      <w:r>
        <w:rPr>
          <w:rFonts w:hint="eastAsia" w:cs="仿宋" w:asciiTheme="minorEastAsia" w:hAnsiTheme="minorEastAsia" w:eastAsiaTheme="minorEastAsia"/>
          <w:sz w:val="24"/>
          <w:szCs w:val="24"/>
          <w:highlight w:val="none"/>
          <w:lang w:val="en-US" w:eastAsia="zh-CN"/>
        </w:rPr>
        <w:t>（5）由评标专家组对所有投标方的技术方案进行综合评定和打分，确定进入商务标</w:t>
      </w:r>
      <w:r>
        <w:rPr>
          <w:rFonts w:hint="eastAsia" w:ascii="宋体" w:hAnsi="宋体"/>
          <w:spacing w:val="4"/>
          <w:sz w:val="24"/>
          <w:highlight w:val="none"/>
        </w:rPr>
        <w:t>评阶段的投标方。</w:t>
      </w:r>
    </w:p>
    <w:p w14:paraId="24E93DC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根据技术标评审结果，通知未进入商务标评标资格的投标方离场，商务投标书不可带走。经进入商务标的投标方对投标一览表、商务标书密封性进行检查，经确认无误后，由工作人员当众拆封进入商务标评标资格单位的开标一览表，宣读投标人名称、投标价格和投标文件的其他主要内容，投标人授权代表现场确认无误后进行商务标的评标，招标专家组可与投标方进行多次商务谈判。</w:t>
      </w:r>
    </w:p>
    <w:p w14:paraId="6259646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（7）根据技术标及商务标综合得分，形成专家意见汇总，确定投标人排序及入围方。</w:t>
      </w:r>
    </w:p>
    <w:p w14:paraId="57E6A8B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（8）招标人有权根据项目情况，采取多级评标模式，最终确定中标人。</w:t>
      </w:r>
    </w:p>
    <w:p w14:paraId="2ABAF1A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（9）投标前请各投标方按照招标文件要求对项目方案进行充分准备，投标单位已默认认可上述开标、评标过程，无异议。招标人无义务对未入围投标方及未中标方做任何解释。</w:t>
      </w:r>
    </w:p>
    <w:p w14:paraId="03C32CA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（10）开标结束后，招标方仍可组织对投标人的投标资格进行审查，评标委员会对投标人是否实质性响应招标文件要求进行符合性审查。</w:t>
      </w:r>
    </w:p>
    <w:p w14:paraId="0FF9853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对招标文件的实质性要求和条件做出响应的投标应该是与招标文件要求的全部条款、条件、指标和规格相符，没有重大偏离的投标。招标方和评委判定投标的响应性只根据投标本身的内容，而不寻求外部的证据。评标委员会认为有必要时，将要求投标人述标或对投标文件中某些内容做出澄清或说明，但不接受投标人主动提出的澄清和说明。</w:t>
      </w:r>
    </w:p>
    <w:p w14:paraId="50BCBF8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11.4投标文件及评标过程出现（但不限于）下列情况之一的，由评标委员会评审后有权拒绝其投标或作无效投标处理：</w:t>
      </w:r>
    </w:p>
    <w:p w14:paraId="61E8C1F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（1）超出经营范围投标的；</w:t>
      </w:r>
    </w:p>
    <w:p w14:paraId="3465954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（2）不具备招标文件规定的资格条件及未按招标文件规定的要求提供资格证明文件的；</w:t>
      </w:r>
    </w:p>
    <w:p w14:paraId="111371A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（3）无法定代表人（或负责人）签字或盖章的，签字人无法定代表人（或负责人）有效授权的，应加盖投标人公章而未盖章的，未按照招标文件要求密封的；</w:t>
      </w:r>
    </w:p>
    <w:p w14:paraId="1DF6516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（4）投标人名称或组织结构与资格预审时不一致的；</w:t>
      </w:r>
    </w:p>
    <w:p w14:paraId="7EE1F12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（5）投标有效期不足的；</w:t>
      </w:r>
    </w:p>
    <w:p w14:paraId="240FEC6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（6）同一投标人提交两个及以上投标报价的；</w:t>
      </w:r>
    </w:p>
    <w:p w14:paraId="7B2F07B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（7）投标报价不合理，低于成本的；</w:t>
      </w:r>
    </w:p>
    <w:p w14:paraId="5120906D">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（8）重要内容或关键字迹模糊不清无法辨认的；</w:t>
      </w:r>
    </w:p>
    <w:p w14:paraId="10348D6F">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（9）其他未对招标文件实质性要求和条件做出响应的；</w:t>
      </w:r>
    </w:p>
    <w:p w14:paraId="017101A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（10）不同投标人投标文件相互混装的；不同投标人投标文件中的项目相关人员出现同一人的；不同投标人的投标文件内容出现非正常一致的；</w:t>
      </w:r>
    </w:p>
    <w:p w14:paraId="15A2FAC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（11）故意哄抬价格或压价等其他恶意串通投标的；有损害招标方和用户利益的规定的。</w:t>
      </w:r>
    </w:p>
    <w:p w14:paraId="2F686553">
      <w:pPr>
        <w:spacing w:line="360" w:lineRule="auto"/>
        <w:ind w:left="124" w:leftChars="59" w:firstLine="487" w:firstLineChars="202"/>
        <w:rPr>
          <w:rFonts w:hint="eastAsia" w:ascii="宋体" w:hAnsi="宋体" w:cs="宋体"/>
          <w:b/>
          <w:bCs/>
          <w:sz w:val="24"/>
          <w:szCs w:val="24"/>
          <w:highlight w:val="none"/>
        </w:rPr>
      </w:pPr>
      <w:r>
        <w:rPr>
          <w:rFonts w:hint="eastAsia" w:ascii="宋体" w:hAnsi="宋体" w:cs="宋体"/>
          <w:b/>
          <w:bCs/>
          <w:sz w:val="24"/>
          <w:szCs w:val="24"/>
          <w:highlight w:val="none"/>
        </w:rPr>
        <w:t>1</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rPr>
        <w:t>、评标</w:t>
      </w:r>
      <w:bookmarkEnd w:id="32"/>
    </w:p>
    <w:p w14:paraId="0264D2A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12.1评标委员会</w:t>
      </w:r>
    </w:p>
    <w:p w14:paraId="15C2C45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招标人将根据本项目的特点组建评标委员会，评标委员会负责对投标文件进行审查、质疑、评标，提出书面评标报告，并向招标人推荐中标候选人排序名单。</w:t>
      </w:r>
    </w:p>
    <w:p w14:paraId="546C5AC0">
      <w:pPr>
        <w:spacing w:line="360" w:lineRule="auto"/>
        <w:ind w:left="124" w:leftChars="59" w:firstLine="487" w:firstLineChars="202"/>
        <w:rPr>
          <w:rFonts w:hint="eastAsia" w:ascii="宋体" w:hAnsi="宋体" w:cs="宋体"/>
          <w:b/>
          <w:bCs/>
          <w:sz w:val="24"/>
          <w:szCs w:val="24"/>
          <w:highlight w:val="none"/>
        </w:rPr>
      </w:pPr>
      <w:bookmarkStart w:id="33" w:name="_Toc212369528"/>
      <w:bookmarkStart w:id="34" w:name="_Toc92678128"/>
      <w:r>
        <w:rPr>
          <w:rFonts w:hint="eastAsia" w:ascii="宋体" w:hAnsi="宋体" w:cs="宋体"/>
          <w:b/>
          <w:bCs/>
          <w:sz w:val="24"/>
          <w:szCs w:val="24"/>
          <w:highlight w:val="none"/>
          <w:lang w:val="en-US" w:eastAsia="zh-CN"/>
        </w:rPr>
        <w:t>12.2</w:t>
      </w:r>
      <w:r>
        <w:rPr>
          <w:rFonts w:hint="eastAsia" w:ascii="宋体" w:hAnsi="宋体" w:cs="宋体"/>
          <w:b/>
          <w:bCs/>
          <w:sz w:val="24"/>
          <w:szCs w:val="24"/>
          <w:highlight w:val="none"/>
        </w:rPr>
        <w:t>评标原则</w:t>
      </w:r>
      <w:bookmarkEnd w:id="33"/>
      <w:bookmarkEnd w:id="34"/>
    </w:p>
    <w:p w14:paraId="12132B0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bookmarkStart w:id="35" w:name="_Toc212369529"/>
      <w:r>
        <w:rPr>
          <w:rFonts w:hint="eastAsia" w:cs="仿宋" w:asciiTheme="minorEastAsia" w:hAnsiTheme="minorEastAsia" w:eastAsiaTheme="minorEastAsia"/>
          <w:sz w:val="24"/>
          <w:szCs w:val="24"/>
          <w:highlight w:val="none"/>
          <w:lang w:val="en-US" w:eastAsia="zh-CN"/>
        </w:rPr>
        <w:t>“公平、公正、科学、择优”为本次评标的基本原则，评标委员会按照这一原则的要求，公正、平等地对待各投标人。同时，在评标过程中恪守以下原则：</w:t>
      </w:r>
      <w:bookmarkEnd w:id="35"/>
    </w:p>
    <w:p w14:paraId="139E380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（1）客观性原则：评标委员会将严格按照招标文件要求的内容，对投标人的投标文件进行认真评审；评标委员会对投标文件的评审仅依据投标文件本身，而不依靠投标文件以外的任何因素；</w:t>
      </w:r>
    </w:p>
    <w:p w14:paraId="19B7D8E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（2）统一性原则：评标委员会将按照统一的评标原则和评标办法，用同一标准进行评审。</w:t>
      </w:r>
    </w:p>
    <w:p w14:paraId="67287F1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（3）独立性原则：评标工作在评标委员会内部独立进行，不受外界任何因素的干扰和影响。评标委员会成员对出具的评审意见承担个人责任。</w:t>
      </w:r>
    </w:p>
    <w:p w14:paraId="0F3A54A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（4）保密性原则：招标人应当采取必要的措施，保证评标在严格保密的情况下进行。</w:t>
      </w:r>
    </w:p>
    <w:p w14:paraId="68BE89E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（5）综合性原则：评标委员会将综合分析、评审投标人的各项指标，而不以单项指标的优劣评定出中标人。</w:t>
      </w:r>
    </w:p>
    <w:p w14:paraId="617B5B84">
      <w:pPr>
        <w:spacing w:line="360" w:lineRule="auto"/>
        <w:ind w:left="124" w:leftChars="59" w:firstLine="487" w:firstLineChars="202"/>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12.3</w:t>
      </w:r>
      <w:r>
        <w:rPr>
          <w:rFonts w:hint="eastAsia" w:ascii="宋体" w:hAnsi="宋体" w:eastAsia="宋体" w:cs="宋体"/>
          <w:b/>
          <w:bCs/>
          <w:sz w:val="24"/>
          <w:szCs w:val="24"/>
          <w:highlight w:val="none"/>
          <w:lang w:val="en-US" w:eastAsia="zh-CN"/>
        </w:rPr>
        <w:t>评分细则</w:t>
      </w:r>
    </w:p>
    <w:p w14:paraId="3FB9D1E6">
      <w:pPr>
        <w:spacing w:line="360" w:lineRule="auto"/>
        <w:ind w:firstLine="566" w:firstLineChars="236"/>
        <w:rPr>
          <w:rFonts w:hint="eastAsia" w:ascii="宋体" w:hAnsi="宋体" w:cs="宋体"/>
          <w:b w:val="0"/>
          <w:bCs w:val="0"/>
          <w:sz w:val="24"/>
          <w:highlight w:val="none"/>
        </w:rPr>
      </w:pPr>
      <w:r>
        <w:rPr>
          <w:rFonts w:hint="eastAsia" w:ascii="宋体" w:hAnsi="宋体" w:cs="宋体"/>
          <w:b w:val="0"/>
          <w:bCs w:val="0"/>
          <w:sz w:val="24"/>
          <w:highlight w:val="none"/>
        </w:rPr>
        <w:t>评标工作由招标人为该项目依法组织的、由三人及以上单数成员（视标的额大小按规定确定专家人数）组成的评标工作小组负责，参照以下评分标准，</w:t>
      </w:r>
      <w:r>
        <w:rPr>
          <w:rFonts w:hint="eastAsia" w:ascii="宋体" w:hAnsi="宋体" w:cs="宋体"/>
          <w:b/>
          <w:bCs/>
          <w:sz w:val="24"/>
          <w:highlight w:val="none"/>
          <w:lang w:val="en-US" w:eastAsia="zh-CN"/>
        </w:rPr>
        <w:t>采用技术标入围后，商务标实行低价中标</w:t>
      </w:r>
      <w:r>
        <w:rPr>
          <w:rFonts w:hint="eastAsia" w:ascii="宋体" w:hAnsi="宋体" w:cs="宋体"/>
          <w:b w:val="0"/>
          <w:bCs w:val="0"/>
          <w:sz w:val="24"/>
          <w:highlight w:val="none"/>
        </w:rPr>
        <w:t>，即由评标工作小组按照国家招投标有关规定，本着公平、公正、公开、有序的原则，在最大限度地满足招标文件实质性要求的前提下，按照招标文件中规定的各项因素进行评审，并根据</w:t>
      </w:r>
      <w:r>
        <w:rPr>
          <w:rFonts w:hint="eastAsia" w:ascii="宋体" w:hAnsi="宋体" w:cs="宋体"/>
          <w:b w:val="0"/>
          <w:bCs w:val="0"/>
          <w:sz w:val="24"/>
          <w:highlight w:val="none"/>
          <w:lang w:val="en-US" w:eastAsia="zh-CN"/>
        </w:rPr>
        <w:t>材料、维修费</w:t>
      </w:r>
      <w:r>
        <w:rPr>
          <w:rFonts w:hint="eastAsia" w:ascii="宋体" w:hAnsi="宋体" w:cs="宋体"/>
          <w:b w:val="0"/>
          <w:bCs w:val="0"/>
          <w:sz w:val="24"/>
          <w:highlight w:val="none"/>
        </w:rPr>
        <w:t>报价情况，依据本招标书列示的相关报价</w:t>
      </w:r>
      <w:r>
        <w:rPr>
          <w:rFonts w:hint="eastAsia" w:ascii="宋体" w:hAnsi="宋体" w:cs="宋体"/>
          <w:b w:val="0"/>
          <w:bCs w:val="0"/>
          <w:sz w:val="24"/>
          <w:highlight w:val="none"/>
          <w:lang w:val="en-US" w:eastAsia="zh-CN"/>
        </w:rPr>
        <w:t>评审</w:t>
      </w:r>
      <w:r>
        <w:rPr>
          <w:rFonts w:hint="eastAsia" w:ascii="宋体" w:hAnsi="宋体" w:cs="宋体"/>
          <w:b w:val="0"/>
          <w:bCs w:val="0"/>
          <w:sz w:val="24"/>
          <w:highlight w:val="none"/>
        </w:rPr>
        <w:t>规则，</w:t>
      </w:r>
      <w:r>
        <w:rPr>
          <w:rFonts w:hint="eastAsia" w:ascii="宋体" w:hAnsi="宋体" w:cs="宋体"/>
          <w:b/>
          <w:bCs/>
          <w:sz w:val="24"/>
          <w:highlight w:val="none"/>
          <w:lang w:val="en-US" w:eastAsia="zh-CN"/>
        </w:rPr>
        <w:t>按需</w:t>
      </w:r>
      <w:r>
        <w:rPr>
          <w:rFonts w:hint="eastAsia" w:ascii="宋体" w:hAnsi="宋体" w:cs="宋体"/>
          <w:b/>
          <w:bCs/>
          <w:sz w:val="24"/>
          <w:highlight w:val="none"/>
        </w:rPr>
        <w:t>确定中标候选人</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中标人不唯一</w:t>
      </w:r>
      <w:r>
        <w:rPr>
          <w:rFonts w:hint="eastAsia" w:ascii="宋体" w:hAnsi="宋体" w:cs="宋体"/>
          <w:b/>
          <w:bCs/>
          <w:sz w:val="24"/>
          <w:highlight w:val="none"/>
          <w:lang w:eastAsia="zh-CN"/>
        </w:rPr>
        <w:t>）</w:t>
      </w:r>
      <w:r>
        <w:rPr>
          <w:rFonts w:hint="eastAsia" w:ascii="宋体" w:hAnsi="宋体" w:cs="宋体"/>
          <w:b w:val="0"/>
          <w:bCs w:val="0"/>
          <w:sz w:val="24"/>
          <w:highlight w:val="none"/>
        </w:rPr>
        <w:t>，对未中标人不做任何解释。</w:t>
      </w:r>
    </w:p>
    <w:p w14:paraId="0EA4E33F">
      <w:pPr>
        <w:spacing w:line="360" w:lineRule="auto"/>
        <w:ind w:firstLine="569" w:firstLineChars="236"/>
        <w:rPr>
          <w:rFonts w:ascii="宋体" w:cs="宋体"/>
          <w:b/>
          <w:bCs/>
          <w:kern w:val="0"/>
          <w:sz w:val="24"/>
          <w:highlight w:val="none"/>
        </w:rPr>
      </w:pPr>
      <w:r>
        <w:rPr>
          <w:rFonts w:hint="eastAsia" w:ascii="宋体" w:hAnsi="宋体" w:cs="宋体"/>
          <w:b/>
          <w:bCs/>
          <w:sz w:val="24"/>
          <w:highlight w:val="none"/>
        </w:rPr>
        <w:t>评分细则如下：</w:t>
      </w:r>
    </w:p>
    <w:p w14:paraId="7B8F3746">
      <w:pPr>
        <w:pStyle w:val="80"/>
        <w:spacing w:before="0" w:after="0"/>
        <w:jc w:val="center"/>
        <w:rPr>
          <w:rStyle w:val="82"/>
          <w:rFonts w:hAnsi="宋体"/>
          <w:highlight w:val="none"/>
        </w:rPr>
      </w:pPr>
      <w:r>
        <w:rPr>
          <w:rStyle w:val="82"/>
          <w:rFonts w:hint="eastAsia" w:ascii="宋体" w:hAnsi="宋体"/>
          <w:sz w:val="24"/>
          <w:highlight w:val="none"/>
        </w:rPr>
        <w:t>技术标评分细则（满分100分）</w:t>
      </w:r>
    </w:p>
    <w:p w14:paraId="4F36916A">
      <w:pPr>
        <w:pStyle w:val="80"/>
        <w:spacing w:before="0" w:after="0"/>
        <w:jc w:val="center"/>
        <w:rPr>
          <w:rStyle w:val="82"/>
          <w:rFonts w:ascii="宋体" w:hAnsi="宋体"/>
          <w:sz w:val="24"/>
          <w:highlight w:val="none"/>
        </w:rPr>
      </w:pPr>
    </w:p>
    <w:tbl>
      <w:tblPr>
        <w:tblStyle w:val="31"/>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083"/>
        <w:gridCol w:w="886"/>
        <w:gridCol w:w="7452"/>
      </w:tblGrid>
      <w:tr w14:paraId="2230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38" w:type="dxa"/>
            <w:tcBorders>
              <w:top w:val="single" w:color="auto" w:sz="4" w:space="0"/>
              <w:left w:val="single" w:color="auto" w:sz="4" w:space="0"/>
              <w:bottom w:val="single" w:color="auto" w:sz="4" w:space="0"/>
              <w:right w:val="single" w:color="auto" w:sz="4" w:space="0"/>
            </w:tcBorders>
            <w:noWrap/>
            <w:vAlign w:val="center"/>
          </w:tcPr>
          <w:p w14:paraId="133A4601">
            <w:pPr>
              <w:widowControl/>
              <w:spacing w:line="360" w:lineRule="auto"/>
              <w:jc w:val="center"/>
              <w:rPr>
                <w:rFonts w:cs="宋体"/>
                <w:spacing w:val="-20"/>
                <w:highlight w:val="none"/>
              </w:rPr>
            </w:pPr>
            <w:r>
              <w:rPr>
                <w:rFonts w:hint="eastAsia" w:ascii="宋体" w:cs="宋体"/>
                <w:spacing w:val="-20"/>
                <w:kern w:val="0"/>
                <w:szCs w:val="21"/>
                <w:highlight w:val="none"/>
              </w:rPr>
              <w:t>序号</w:t>
            </w:r>
          </w:p>
        </w:tc>
        <w:tc>
          <w:tcPr>
            <w:tcW w:w="1084" w:type="dxa"/>
            <w:tcBorders>
              <w:top w:val="single" w:color="auto" w:sz="4" w:space="0"/>
              <w:left w:val="single" w:color="auto" w:sz="4" w:space="0"/>
              <w:bottom w:val="single" w:color="auto" w:sz="4" w:space="0"/>
              <w:right w:val="single" w:color="auto" w:sz="4" w:space="0"/>
            </w:tcBorders>
            <w:noWrap/>
            <w:vAlign w:val="center"/>
          </w:tcPr>
          <w:p w14:paraId="3E4870EB">
            <w:pPr>
              <w:widowControl/>
              <w:spacing w:line="360" w:lineRule="auto"/>
              <w:jc w:val="center"/>
              <w:rPr>
                <w:rFonts w:ascii="宋体" w:cs="宋体"/>
                <w:highlight w:val="none"/>
              </w:rPr>
            </w:pPr>
            <w:r>
              <w:rPr>
                <w:rFonts w:hint="eastAsia" w:ascii="宋体" w:cs="宋体"/>
                <w:kern w:val="0"/>
                <w:szCs w:val="21"/>
                <w:highlight w:val="none"/>
              </w:rPr>
              <w:t>类别</w:t>
            </w:r>
          </w:p>
        </w:tc>
        <w:tc>
          <w:tcPr>
            <w:tcW w:w="887" w:type="dxa"/>
            <w:tcBorders>
              <w:top w:val="single" w:color="auto" w:sz="4" w:space="0"/>
              <w:left w:val="single" w:color="auto" w:sz="4" w:space="0"/>
              <w:bottom w:val="single" w:color="auto" w:sz="4" w:space="0"/>
              <w:right w:val="single" w:color="auto" w:sz="4" w:space="0"/>
            </w:tcBorders>
            <w:noWrap/>
            <w:vAlign w:val="center"/>
          </w:tcPr>
          <w:p w14:paraId="099DF68F">
            <w:pPr>
              <w:widowControl/>
              <w:spacing w:line="360" w:lineRule="auto"/>
              <w:jc w:val="center"/>
              <w:rPr>
                <w:rFonts w:ascii="宋体" w:cs="宋体"/>
                <w:highlight w:val="none"/>
              </w:rPr>
            </w:pPr>
            <w:r>
              <w:rPr>
                <w:rFonts w:hint="eastAsia" w:ascii="宋体" w:cs="宋体"/>
                <w:kern w:val="0"/>
                <w:szCs w:val="21"/>
                <w:highlight w:val="none"/>
              </w:rPr>
              <w:t>满分</w:t>
            </w:r>
          </w:p>
        </w:tc>
        <w:tc>
          <w:tcPr>
            <w:tcW w:w="7458" w:type="dxa"/>
            <w:tcBorders>
              <w:top w:val="single" w:color="auto" w:sz="4" w:space="0"/>
              <w:left w:val="single" w:color="auto" w:sz="4" w:space="0"/>
              <w:bottom w:val="single" w:color="auto" w:sz="4" w:space="0"/>
              <w:right w:val="single" w:color="auto" w:sz="4" w:space="0"/>
            </w:tcBorders>
            <w:noWrap/>
            <w:vAlign w:val="center"/>
          </w:tcPr>
          <w:p w14:paraId="02C8C33A">
            <w:pPr>
              <w:widowControl/>
              <w:spacing w:line="360" w:lineRule="auto"/>
              <w:jc w:val="center"/>
              <w:rPr>
                <w:rFonts w:ascii="宋体" w:cs="宋体"/>
                <w:highlight w:val="none"/>
              </w:rPr>
            </w:pPr>
            <w:r>
              <w:rPr>
                <w:rFonts w:hint="eastAsia" w:ascii="宋体" w:cs="宋体"/>
                <w:kern w:val="0"/>
                <w:szCs w:val="21"/>
                <w:highlight w:val="none"/>
              </w:rPr>
              <w:t>得  分  标  准</w:t>
            </w:r>
          </w:p>
        </w:tc>
      </w:tr>
      <w:tr w14:paraId="6571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38" w:type="dxa"/>
            <w:tcBorders>
              <w:top w:val="single" w:color="auto" w:sz="4" w:space="0"/>
              <w:left w:val="single" w:color="auto" w:sz="4" w:space="0"/>
              <w:bottom w:val="single" w:color="auto" w:sz="4" w:space="0"/>
              <w:right w:val="single" w:color="auto" w:sz="4" w:space="0"/>
            </w:tcBorders>
            <w:noWrap/>
            <w:vAlign w:val="center"/>
          </w:tcPr>
          <w:p w14:paraId="191F3C73">
            <w:pPr>
              <w:widowControl/>
              <w:spacing w:line="360" w:lineRule="auto"/>
              <w:jc w:val="center"/>
              <w:rPr>
                <w:rFonts w:ascii="宋体" w:cs="宋体"/>
                <w:kern w:val="0"/>
                <w:szCs w:val="21"/>
                <w:highlight w:val="none"/>
              </w:rPr>
            </w:pPr>
            <w:r>
              <w:rPr>
                <w:rFonts w:hint="eastAsia" w:ascii="宋体" w:cs="宋体"/>
                <w:kern w:val="0"/>
                <w:szCs w:val="21"/>
                <w:highlight w:val="none"/>
              </w:rPr>
              <w:t>1</w:t>
            </w:r>
          </w:p>
        </w:tc>
        <w:tc>
          <w:tcPr>
            <w:tcW w:w="1084" w:type="dxa"/>
            <w:tcBorders>
              <w:top w:val="single" w:color="auto" w:sz="4" w:space="0"/>
              <w:left w:val="single" w:color="auto" w:sz="4" w:space="0"/>
              <w:bottom w:val="single" w:color="auto" w:sz="4" w:space="0"/>
              <w:right w:val="single" w:color="auto" w:sz="4" w:space="0"/>
            </w:tcBorders>
            <w:noWrap/>
            <w:vAlign w:val="center"/>
          </w:tcPr>
          <w:p w14:paraId="57E86AFF">
            <w:pPr>
              <w:widowControl/>
              <w:spacing w:line="360" w:lineRule="auto"/>
              <w:rPr>
                <w:rFonts w:ascii="宋体" w:cs="宋体"/>
                <w:highlight w:val="none"/>
              </w:rPr>
            </w:pPr>
            <w:r>
              <w:rPr>
                <w:rFonts w:hint="eastAsia" w:ascii="宋体" w:cs="宋体"/>
                <w:kern w:val="0"/>
                <w:szCs w:val="21"/>
                <w:highlight w:val="none"/>
              </w:rPr>
              <w:t>施工</w:t>
            </w:r>
          </w:p>
          <w:p w14:paraId="0C80E74B">
            <w:pPr>
              <w:widowControl/>
              <w:spacing w:line="360" w:lineRule="auto"/>
              <w:rPr>
                <w:rFonts w:ascii="宋体" w:cs="宋体"/>
                <w:kern w:val="0"/>
                <w:szCs w:val="21"/>
                <w:highlight w:val="none"/>
              </w:rPr>
            </w:pPr>
            <w:r>
              <w:rPr>
                <w:rFonts w:hint="eastAsia" w:ascii="宋体" w:cs="宋体"/>
                <w:kern w:val="0"/>
                <w:szCs w:val="21"/>
                <w:highlight w:val="none"/>
              </w:rPr>
              <w:t>方案</w:t>
            </w:r>
          </w:p>
        </w:tc>
        <w:tc>
          <w:tcPr>
            <w:tcW w:w="887" w:type="dxa"/>
            <w:tcBorders>
              <w:top w:val="single" w:color="auto" w:sz="4" w:space="0"/>
              <w:left w:val="single" w:color="auto" w:sz="4" w:space="0"/>
              <w:bottom w:val="single" w:color="auto" w:sz="4" w:space="0"/>
              <w:right w:val="single" w:color="auto" w:sz="4" w:space="0"/>
            </w:tcBorders>
            <w:noWrap/>
            <w:vAlign w:val="center"/>
          </w:tcPr>
          <w:p w14:paraId="0958C8A0">
            <w:pPr>
              <w:widowControl/>
              <w:spacing w:line="360" w:lineRule="auto"/>
              <w:ind w:left="2520" w:hanging="2520"/>
              <w:jc w:val="center"/>
              <w:rPr>
                <w:rFonts w:ascii="宋体" w:cs="宋体"/>
                <w:kern w:val="0"/>
                <w:szCs w:val="21"/>
                <w:highlight w:val="none"/>
              </w:rPr>
            </w:pPr>
            <w:r>
              <w:rPr>
                <w:rFonts w:hint="eastAsia" w:ascii="宋体" w:cs="宋体"/>
                <w:kern w:val="0"/>
                <w:szCs w:val="21"/>
                <w:highlight w:val="none"/>
              </w:rPr>
              <w:t>20分</w:t>
            </w:r>
          </w:p>
        </w:tc>
        <w:tc>
          <w:tcPr>
            <w:tcW w:w="7458" w:type="dxa"/>
            <w:tcBorders>
              <w:top w:val="single" w:color="auto" w:sz="4" w:space="0"/>
              <w:left w:val="single" w:color="auto" w:sz="4" w:space="0"/>
              <w:bottom w:val="single" w:color="auto" w:sz="4" w:space="0"/>
              <w:right w:val="single" w:color="auto" w:sz="4" w:space="0"/>
            </w:tcBorders>
            <w:noWrap/>
          </w:tcPr>
          <w:p w14:paraId="2A9CC1B2">
            <w:pPr>
              <w:pStyle w:val="9"/>
              <w:widowControl/>
              <w:spacing w:line="360" w:lineRule="auto"/>
              <w:rPr>
                <w:rFonts w:ascii="宋体" w:hAnsi="Calibri" w:cs="宋体"/>
                <w:highlight w:val="none"/>
              </w:rPr>
            </w:pPr>
            <w:r>
              <w:rPr>
                <w:rFonts w:hint="eastAsia" w:ascii="宋体" w:hAnsi="Calibri" w:cs="宋体"/>
                <w:highlight w:val="none"/>
              </w:rPr>
              <w:t>提</w:t>
            </w:r>
            <w:r>
              <w:rPr>
                <w:rFonts w:hint="eastAsia" w:ascii="宋体" w:hAnsi="Calibri" w:eastAsia="宋体" w:cs="宋体"/>
                <w:highlight w:val="none"/>
              </w:rPr>
              <w:t>供</w:t>
            </w:r>
            <w:r>
              <w:rPr>
                <w:rFonts w:hint="eastAsia" w:ascii="宋体" w:hAnsi="Calibri" w:eastAsia="宋体" w:cs="宋体"/>
                <w:highlight w:val="none"/>
                <w:lang w:val="en-US" w:eastAsia="zh-CN"/>
              </w:rPr>
              <w:t>施工方案</w:t>
            </w:r>
            <w:r>
              <w:rPr>
                <w:rFonts w:hint="eastAsia" w:ascii="宋体" w:hAnsi="Calibri" w:cs="宋体"/>
                <w:highlight w:val="none"/>
              </w:rPr>
              <w:t>，对整体</w:t>
            </w:r>
            <w:r>
              <w:rPr>
                <w:rFonts w:hint="eastAsia" w:ascii="宋体" w:hAnsi="Calibri" w:cs="宋体"/>
                <w:highlight w:val="none"/>
                <w:lang w:val="en-US" w:eastAsia="zh-CN"/>
              </w:rPr>
              <w:t>方案</w:t>
            </w:r>
            <w:r>
              <w:rPr>
                <w:rFonts w:hint="eastAsia" w:ascii="宋体" w:hAnsi="Calibri" w:cs="宋体"/>
                <w:highlight w:val="none"/>
              </w:rPr>
              <w:t>等进行评价，一般、良、优，</w:t>
            </w:r>
            <w:r>
              <w:rPr>
                <w:rFonts w:hint="eastAsia" w:ascii="宋体" w:hAnsi="Times New Roman" w:cs="宋体"/>
                <w:kern w:val="0"/>
                <w:szCs w:val="21"/>
                <w:highlight w:val="none"/>
              </w:rPr>
              <w:t>分别酌情得0-10分,10-15分,15-20</w:t>
            </w:r>
            <w:r>
              <w:rPr>
                <w:rFonts w:hint="eastAsia" w:ascii="宋体" w:cs="宋体"/>
                <w:highlight w:val="none"/>
              </w:rPr>
              <w:t>分。</w:t>
            </w:r>
          </w:p>
        </w:tc>
      </w:tr>
      <w:tr w14:paraId="697F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restart"/>
            <w:tcBorders>
              <w:top w:val="single" w:color="auto" w:sz="4" w:space="0"/>
              <w:left w:val="single" w:color="auto" w:sz="4" w:space="0"/>
              <w:bottom w:val="single" w:color="auto" w:sz="4" w:space="0"/>
              <w:right w:val="single" w:color="auto" w:sz="4" w:space="0"/>
            </w:tcBorders>
            <w:noWrap/>
            <w:vAlign w:val="center"/>
          </w:tcPr>
          <w:p w14:paraId="17462DC1">
            <w:pPr>
              <w:widowControl/>
              <w:spacing w:line="360" w:lineRule="auto"/>
              <w:jc w:val="center"/>
              <w:rPr>
                <w:rFonts w:ascii="宋体" w:cs="宋体"/>
                <w:highlight w:val="none"/>
              </w:rPr>
            </w:pPr>
            <w:r>
              <w:rPr>
                <w:rFonts w:hint="eastAsia" w:ascii="宋体" w:cs="宋体"/>
                <w:kern w:val="0"/>
                <w:szCs w:val="21"/>
                <w:highlight w:val="none"/>
              </w:rPr>
              <w:t>2</w:t>
            </w:r>
          </w:p>
        </w:tc>
        <w:tc>
          <w:tcPr>
            <w:tcW w:w="1084" w:type="dxa"/>
            <w:vMerge w:val="restart"/>
            <w:tcBorders>
              <w:top w:val="single" w:color="auto" w:sz="4" w:space="0"/>
              <w:left w:val="single" w:color="auto" w:sz="4" w:space="0"/>
              <w:bottom w:val="single" w:color="auto" w:sz="4" w:space="0"/>
              <w:right w:val="single" w:color="auto" w:sz="4" w:space="0"/>
            </w:tcBorders>
            <w:noWrap/>
            <w:vAlign w:val="center"/>
          </w:tcPr>
          <w:p w14:paraId="22F08BE7">
            <w:pPr>
              <w:widowControl/>
              <w:spacing w:line="360" w:lineRule="auto"/>
              <w:rPr>
                <w:rFonts w:ascii="宋体" w:cs="宋体"/>
                <w:highlight w:val="none"/>
              </w:rPr>
            </w:pPr>
            <w:r>
              <w:rPr>
                <w:rFonts w:hint="eastAsia" w:ascii="宋体" w:cs="宋体"/>
                <w:kern w:val="0"/>
                <w:szCs w:val="21"/>
                <w:highlight w:val="none"/>
              </w:rPr>
              <w:t>施工</w:t>
            </w:r>
          </w:p>
          <w:p w14:paraId="75F08AF2">
            <w:pPr>
              <w:widowControl/>
              <w:spacing w:line="360" w:lineRule="auto"/>
              <w:rPr>
                <w:rFonts w:hint="eastAsia" w:ascii="宋体" w:cs="宋体"/>
                <w:kern w:val="0"/>
                <w:szCs w:val="21"/>
                <w:highlight w:val="none"/>
              </w:rPr>
            </w:pPr>
            <w:r>
              <w:rPr>
                <w:rFonts w:hint="eastAsia" w:ascii="宋体" w:cs="宋体"/>
                <w:kern w:val="0"/>
                <w:szCs w:val="21"/>
                <w:highlight w:val="none"/>
              </w:rPr>
              <w:t>组织</w:t>
            </w:r>
          </w:p>
          <w:p w14:paraId="289DF4DE">
            <w:pPr>
              <w:widowControl/>
              <w:spacing w:line="360" w:lineRule="auto"/>
              <w:rPr>
                <w:rFonts w:hint="eastAsia" w:ascii="宋体" w:cs="宋体"/>
                <w:kern w:val="0"/>
                <w:szCs w:val="21"/>
                <w:highlight w:val="none"/>
              </w:rPr>
            </w:pPr>
            <w:r>
              <w:rPr>
                <w:rFonts w:hint="eastAsia" w:ascii="宋体" w:cs="宋体"/>
                <w:kern w:val="0"/>
                <w:szCs w:val="21"/>
                <w:highlight w:val="none"/>
              </w:rPr>
              <w:t>设计</w:t>
            </w:r>
          </w:p>
          <w:p w14:paraId="70706935">
            <w:pPr>
              <w:widowControl/>
              <w:spacing w:line="360" w:lineRule="auto"/>
              <w:rPr>
                <w:rFonts w:ascii="宋体" w:cs="宋体"/>
                <w:highlight w:val="none"/>
              </w:rPr>
            </w:pPr>
            <w:r>
              <w:rPr>
                <w:rFonts w:hint="eastAsia" w:ascii="宋体" w:cs="宋体"/>
                <w:kern w:val="0"/>
                <w:szCs w:val="21"/>
                <w:highlight w:val="none"/>
              </w:rPr>
              <w:t>（80分）</w:t>
            </w:r>
          </w:p>
        </w:tc>
        <w:tc>
          <w:tcPr>
            <w:tcW w:w="887" w:type="dxa"/>
            <w:tcBorders>
              <w:top w:val="single" w:color="auto" w:sz="4" w:space="0"/>
              <w:left w:val="single" w:color="auto" w:sz="4" w:space="0"/>
              <w:bottom w:val="single" w:color="auto" w:sz="4" w:space="0"/>
              <w:right w:val="single" w:color="auto" w:sz="4" w:space="0"/>
            </w:tcBorders>
            <w:noWrap/>
            <w:vAlign w:val="center"/>
          </w:tcPr>
          <w:p w14:paraId="0D92926A">
            <w:pPr>
              <w:widowControl/>
              <w:spacing w:line="360" w:lineRule="auto"/>
              <w:jc w:val="center"/>
              <w:rPr>
                <w:rFonts w:ascii="宋体" w:cs="宋体"/>
                <w:highlight w:val="none"/>
              </w:rPr>
            </w:pPr>
            <w:r>
              <w:rPr>
                <w:rFonts w:hint="eastAsia" w:ascii="宋体" w:cs="宋体"/>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38C7C11B">
            <w:pPr>
              <w:pStyle w:val="9"/>
              <w:widowControl/>
              <w:spacing w:line="360" w:lineRule="auto"/>
              <w:rPr>
                <w:rFonts w:ascii="宋体" w:hAnsi="Calibri" w:cs="宋体"/>
                <w:highlight w:val="none"/>
              </w:rPr>
            </w:pPr>
            <w:r>
              <w:rPr>
                <w:rFonts w:hint="eastAsia" w:ascii="宋体" w:hAnsi="Calibri" w:cs="宋体"/>
                <w:highlight w:val="none"/>
              </w:rPr>
              <w:t>施工组织总体方案（</w:t>
            </w:r>
            <w:r>
              <w:rPr>
                <w:rFonts w:hint="eastAsia" w:ascii="宋体" w:cs="宋体"/>
                <w:highlight w:val="none"/>
              </w:rPr>
              <w:t>对项目特点认知、项目管理机构组建、施工准备、施工总平面布置、施工组织等）等进行阐述，</w:t>
            </w:r>
            <w:r>
              <w:rPr>
                <w:rFonts w:hint="eastAsia" w:ascii="宋体" w:hAnsi="Calibri" w:cs="宋体"/>
                <w:highlight w:val="none"/>
              </w:rPr>
              <w:t>力求简洁。评委根</w:t>
            </w:r>
            <w:r>
              <w:rPr>
                <w:rFonts w:hint="eastAsia" w:ascii="宋体" w:hAnsi="Calibri" w:cs="宋体"/>
                <w:b w:val="0"/>
                <w:bCs w:val="0"/>
                <w:highlight w:val="none"/>
              </w:rPr>
              <w:t>据投标文件情况及项目经理现场答辩情况分为一般、良、优，</w:t>
            </w:r>
            <w:r>
              <w:rPr>
                <w:rFonts w:hint="eastAsia" w:ascii="宋体" w:hAnsi="Times New Roman" w:cs="宋体"/>
                <w:b w:val="0"/>
                <w:bCs w:val="0"/>
                <w:kern w:val="0"/>
                <w:szCs w:val="21"/>
                <w:highlight w:val="none"/>
              </w:rPr>
              <w:t>分别酌情得0-5分,</w:t>
            </w:r>
            <w:r>
              <w:rPr>
                <w:rFonts w:hint="eastAsia" w:ascii="宋体" w:hAnsi="Times New Roman" w:cs="宋体"/>
                <w:kern w:val="0"/>
                <w:szCs w:val="21"/>
                <w:highlight w:val="none"/>
              </w:rPr>
              <w:t>5-10分,10-15</w:t>
            </w:r>
            <w:r>
              <w:rPr>
                <w:rFonts w:hint="eastAsia" w:ascii="宋体" w:cs="宋体"/>
                <w:highlight w:val="none"/>
              </w:rPr>
              <w:t>分，</w:t>
            </w:r>
            <w:r>
              <w:rPr>
                <w:rFonts w:hint="eastAsia" w:ascii="宋体" w:hAnsi="Calibri" w:cs="宋体"/>
                <w:highlight w:val="none"/>
              </w:rPr>
              <w:t>内容不全酌情扣分，若此条缺项不得分。</w:t>
            </w:r>
          </w:p>
        </w:tc>
      </w:tr>
      <w:tr w14:paraId="7FAB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5CABE812">
            <w:pPr>
              <w:widowControl/>
              <w:jc w:val="left"/>
              <w:rPr>
                <w:rFonts w:ascii="宋体" w:cs="宋体"/>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29AFE66B">
            <w:pPr>
              <w:widowControl/>
              <w:jc w:val="left"/>
              <w:rPr>
                <w:rFonts w:ascii="宋体" w:cs="宋体"/>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5A6CB0CB">
            <w:pPr>
              <w:widowControl/>
              <w:spacing w:line="360" w:lineRule="auto"/>
              <w:jc w:val="center"/>
              <w:rPr>
                <w:rFonts w:ascii="宋体" w:cs="宋体"/>
                <w:highlight w:val="none"/>
              </w:rPr>
            </w:pPr>
            <w:r>
              <w:rPr>
                <w:rFonts w:hint="eastAsia" w:ascii="宋体" w:cs="宋体"/>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4701152D">
            <w:pPr>
              <w:widowControl/>
              <w:spacing w:line="360" w:lineRule="auto"/>
              <w:rPr>
                <w:rFonts w:ascii="宋体" w:cs="宋体"/>
                <w:highlight w:val="none"/>
              </w:rPr>
            </w:pPr>
            <w:r>
              <w:rPr>
                <w:rFonts w:hint="eastAsia" w:ascii="宋体" w:cs="宋体"/>
                <w:kern w:val="0"/>
                <w:szCs w:val="21"/>
                <w:highlight w:val="none"/>
              </w:rPr>
              <w:t>施工进度计划及保证措施（1、要求根据建设单位提供的关键节点，提供施工总进度横道图或网络图计划，施工内容要切合实际、全面；2、列举分析本工程的工期风险点及应对保证措施）。评委根据投标文件情况分为一般、良、优，分别酌情得0-5分,5-10分,10-15</w:t>
            </w:r>
            <w:r>
              <w:rPr>
                <w:rFonts w:hint="eastAsia" w:ascii="宋体" w:cs="宋体"/>
                <w:highlight w:val="none"/>
              </w:rPr>
              <w:t>分</w:t>
            </w:r>
            <w:r>
              <w:rPr>
                <w:rFonts w:hint="eastAsia" w:ascii="宋体" w:cs="宋体"/>
                <w:kern w:val="0"/>
                <w:szCs w:val="21"/>
                <w:highlight w:val="none"/>
              </w:rPr>
              <w:t>，内容不全酌情扣分，若此条缺项不得分。</w:t>
            </w:r>
          </w:p>
        </w:tc>
      </w:tr>
      <w:tr w14:paraId="34F8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096B20CF">
            <w:pPr>
              <w:widowControl/>
              <w:jc w:val="left"/>
              <w:rPr>
                <w:rFonts w:ascii="宋体" w:cs="宋体"/>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5FE0B964">
            <w:pPr>
              <w:widowControl/>
              <w:jc w:val="left"/>
              <w:rPr>
                <w:rFonts w:ascii="宋体" w:cs="宋体"/>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1845BE2F">
            <w:pPr>
              <w:widowControl/>
              <w:spacing w:line="360" w:lineRule="auto"/>
              <w:jc w:val="center"/>
              <w:rPr>
                <w:rFonts w:ascii="宋体" w:cs="宋体"/>
                <w:highlight w:val="none"/>
              </w:rPr>
            </w:pPr>
            <w:r>
              <w:rPr>
                <w:rFonts w:hint="eastAsia" w:ascii="宋体" w:cs="宋体"/>
                <w:kern w:val="0"/>
                <w:szCs w:val="21"/>
                <w:highlight w:val="none"/>
              </w:rPr>
              <w:t>20分</w:t>
            </w:r>
          </w:p>
        </w:tc>
        <w:tc>
          <w:tcPr>
            <w:tcW w:w="7458" w:type="dxa"/>
            <w:tcBorders>
              <w:top w:val="single" w:color="auto" w:sz="4" w:space="0"/>
              <w:left w:val="single" w:color="auto" w:sz="4" w:space="0"/>
              <w:bottom w:val="single" w:color="auto" w:sz="4" w:space="0"/>
              <w:right w:val="single" w:color="auto" w:sz="4" w:space="0"/>
            </w:tcBorders>
            <w:noWrap/>
          </w:tcPr>
          <w:p w14:paraId="118E1E66">
            <w:pPr>
              <w:widowControl/>
              <w:spacing w:line="360" w:lineRule="auto"/>
              <w:rPr>
                <w:rFonts w:ascii="宋体" w:cs="宋体"/>
                <w:highlight w:val="none"/>
              </w:rPr>
            </w:pPr>
            <w:r>
              <w:rPr>
                <w:rFonts w:hint="eastAsia" w:ascii="宋体" w:cs="宋体"/>
                <w:kern w:val="0"/>
                <w:szCs w:val="21"/>
                <w:highlight w:val="none"/>
              </w:rPr>
              <w:t>关键施工技术、工艺及工程实施的重点、难点分析。要求提炼出招标项目的关键施工工艺、施工重难点、危险性较大的专项工程等。评委根据投标文件情况分为一般、良、优，别酌情得分别酌情得0-10分,10-15分,15-20</w:t>
            </w:r>
            <w:r>
              <w:rPr>
                <w:rFonts w:hint="eastAsia" w:ascii="宋体" w:cs="宋体"/>
                <w:highlight w:val="none"/>
              </w:rPr>
              <w:t>分</w:t>
            </w:r>
            <w:r>
              <w:rPr>
                <w:rFonts w:hint="eastAsia" w:ascii="宋体" w:cs="宋体"/>
                <w:kern w:val="0"/>
                <w:szCs w:val="21"/>
                <w:highlight w:val="none"/>
              </w:rPr>
              <w:t>，内容不全酌情扣分，若此条缺项不得分。</w:t>
            </w:r>
          </w:p>
        </w:tc>
      </w:tr>
      <w:tr w14:paraId="3B07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3CB78DF3">
            <w:pPr>
              <w:widowControl/>
              <w:jc w:val="left"/>
              <w:rPr>
                <w:rFonts w:ascii="宋体" w:cs="宋体"/>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399ABBE8">
            <w:pPr>
              <w:widowControl/>
              <w:jc w:val="left"/>
              <w:rPr>
                <w:rFonts w:ascii="宋体" w:cs="宋体"/>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19323EF7">
            <w:pPr>
              <w:widowControl/>
              <w:spacing w:line="360" w:lineRule="auto"/>
              <w:jc w:val="center"/>
              <w:rPr>
                <w:rFonts w:ascii="宋体" w:cs="宋体"/>
                <w:highlight w:val="none"/>
              </w:rPr>
            </w:pPr>
            <w:r>
              <w:rPr>
                <w:rFonts w:hint="eastAsia" w:ascii="宋体" w:cs="宋体"/>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1D38591C">
            <w:pPr>
              <w:widowControl/>
              <w:spacing w:line="360" w:lineRule="auto"/>
              <w:rPr>
                <w:rFonts w:ascii="宋体" w:cs="宋体"/>
                <w:highlight w:val="none"/>
              </w:rPr>
            </w:pPr>
            <w:r>
              <w:rPr>
                <w:rFonts w:hint="eastAsia" w:ascii="宋体" w:cs="宋体"/>
                <w:kern w:val="0"/>
                <w:szCs w:val="21"/>
                <w:highlight w:val="none"/>
              </w:rPr>
              <w:t>质量保证措施。（要求针对性分析本工程容易出现的质量通病、质量控制重点和保证措施）评委根据投标文件情况分为一般、良、优，</w:t>
            </w:r>
            <w:r>
              <w:rPr>
                <w:rFonts w:hint="eastAsia" w:ascii="宋体" w:hAnsi="Calibri" w:cs="宋体"/>
                <w:highlight w:val="none"/>
              </w:rPr>
              <w:t>分别酌情得</w:t>
            </w:r>
            <w:r>
              <w:rPr>
                <w:rFonts w:hint="eastAsia" w:ascii="宋体" w:cs="宋体"/>
                <w:kern w:val="0"/>
                <w:szCs w:val="21"/>
                <w:highlight w:val="none"/>
              </w:rPr>
              <w:t>分别酌情得0-5分,5-10分,10-15</w:t>
            </w:r>
            <w:r>
              <w:rPr>
                <w:rFonts w:hint="eastAsia" w:ascii="宋体" w:cs="宋体"/>
                <w:highlight w:val="none"/>
              </w:rPr>
              <w:t>分</w:t>
            </w:r>
            <w:r>
              <w:rPr>
                <w:rFonts w:hint="eastAsia" w:ascii="宋体" w:cs="宋体"/>
                <w:kern w:val="0"/>
                <w:szCs w:val="21"/>
                <w:highlight w:val="none"/>
              </w:rPr>
              <w:t>，内容不全酌情扣分，若此条缺项不得分。</w:t>
            </w:r>
          </w:p>
        </w:tc>
      </w:tr>
      <w:tr w14:paraId="47E8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3FD111C9">
            <w:pPr>
              <w:widowControl/>
              <w:jc w:val="left"/>
              <w:rPr>
                <w:rFonts w:ascii="宋体" w:cs="宋体"/>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5708F8F3">
            <w:pPr>
              <w:widowControl/>
              <w:jc w:val="left"/>
              <w:rPr>
                <w:rFonts w:ascii="宋体" w:cs="宋体"/>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147E7787">
            <w:pPr>
              <w:widowControl/>
              <w:spacing w:line="360" w:lineRule="auto"/>
              <w:jc w:val="center"/>
              <w:rPr>
                <w:rFonts w:ascii="宋体" w:cs="宋体"/>
                <w:highlight w:val="none"/>
              </w:rPr>
            </w:pPr>
            <w:r>
              <w:rPr>
                <w:rFonts w:hint="eastAsia" w:ascii="宋体" w:cs="宋体"/>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6FE4FB1F">
            <w:pPr>
              <w:widowControl/>
              <w:spacing w:line="360" w:lineRule="auto"/>
              <w:rPr>
                <w:rFonts w:ascii="宋体" w:cs="宋体"/>
                <w:highlight w:val="none"/>
              </w:rPr>
            </w:pPr>
            <w:r>
              <w:rPr>
                <w:rFonts w:hint="eastAsia" w:ascii="宋体" w:cs="宋体"/>
                <w:kern w:val="0"/>
                <w:szCs w:val="21"/>
                <w:highlight w:val="none"/>
              </w:rPr>
              <w:t>安全文明施工措施。（要求对安全生产、文明施工、环境保护及防尘施工措施，制定保证措施和承诺）。评委根据投标文件情况分为一般、良、优，</w:t>
            </w:r>
            <w:r>
              <w:rPr>
                <w:rFonts w:hint="eastAsia" w:ascii="宋体" w:hAnsi="Calibri" w:cs="宋体"/>
                <w:highlight w:val="none"/>
              </w:rPr>
              <w:t>分别酌情</w:t>
            </w:r>
            <w:r>
              <w:rPr>
                <w:rFonts w:hint="eastAsia" w:ascii="宋体" w:cs="宋体"/>
                <w:kern w:val="0"/>
                <w:szCs w:val="21"/>
                <w:highlight w:val="none"/>
              </w:rPr>
              <w:t>得0-5分,5-10分,10-15</w:t>
            </w:r>
            <w:r>
              <w:rPr>
                <w:rFonts w:hint="eastAsia" w:ascii="宋体" w:cs="宋体"/>
                <w:highlight w:val="none"/>
              </w:rPr>
              <w:t>分</w:t>
            </w:r>
            <w:r>
              <w:rPr>
                <w:rFonts w:hint="eastAsia" w:ascii="宋体" w:cs="宋体"/>
                <w:kern w:val="0"/>
                <w:szCs w:val="21"/>
                <w:highlight w:val="none"/>
              </w:rPr>
              <w:t>，内容不全酌情扣分，若此条缺项不得分。</w:t>
            </w:r>
          </w:p>
        </w:tc>
      </w:tr>
      <w:tr w14:paraId="6DF1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38"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65D739AD">
            <w:pPr>
              <w:widowControl/>
              <w:spacing w:line="360" w:lineRule="auto"/>
              <w:jc w:val="center"/>
              <w:rPr>
                <w:rFonts w:ascii="宋体" w:cs="宋体"/>
                <w:highlight w:val="none"/>
              </w:rPr>
            </w:pPr>
            <w:r>
              <w:rPr>
                <w:rFonts w:hint="eastAsia" w:ascii="宋体" w:cs="宋体"/>
                <w:kern w:val="0"/>
                <w:szCs w:val="21"/>
                <w:highlight w:val="none"/>
              </w:rPr>
              <w:t>3</w:t>
            </w:r>
          </w:p>
        </w:tc>
        <w:tc>
          <w:tcPr>
            <w:tcW w:w="1084"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0293D240">
            <w:pPr>
              <w:widowControl/>
              <w:spacing w:line="360" w:lineRule="auto"/>
              <w:jc w:val="center"/>
              <w:rPr>
                <w:rFonts w:ascii="宋体" w:cs="宋体"/>
                <w:highlight w:val="none"/>
              </w:rPr>
            </w:pPr>
            <w:r>
              <w:rPr>
                <w:rFonts w:hint="eastAsia" w:ascii="宋体" w:cs="宋体"/>
                <w:kern w:val="0"/>
                <w:szCs w:val="21"/>
                <w:highlight w:val="none"/>
              </w:rPr>
              <w:t>合计</w:t>
            </w:r>
          </w:p>
        </w:tc>
        <w:tc>
          <w:tcPr>
            <w:tcW w:w="887"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6FE2F91A">
            <w:pPr>
              <w:widowControl/>
              <w:spacing w:line="360" w:lineRule="auto"/>
              <w:jc w:val="center"/>
              <w:rPr>
                <w:rFonts w:ascii="宋体" w:cs="宋体"/>
                <w:highlight w:val="none"/>
              </w:rPr>
            </w:pPr>
            <w:r>
              <w:rPr>
                <w:rFonts w:hint="eastAsia" w:ascii="宋体" w:cs="宋体"/>
                <w:kern w:val="0"/>
                <w:szCs w:val="21"/>
                <w:highlight w:val="none"/>
              </w:rPr>
              <w:t>100分</w:t>
            </w:r>
          </w:p>
        </w:tc>
        <w:tc>
          <w:tcPr>
            <w:tcW w:w="7458"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39C456ED">
            <w:pPr>
              <w:widowControl/>
              <w:spacing w:line="360" w:lineRule="auto"/>
              <w:rPr>
                <w:rFonts w:ascii="宋体" w:cs="宋体"/>
                <w:highlight w:val="none"/>
              </w:rPr>
            </w:pPr>
            <w:r>
              <w:rPr>
                <w:rFonts w:hint="eastAsia" w:ascii="宋体" w:cs="宋体"/>
                <w:kern w:val="0"/>
                <w:szCs w:val="21"/>
                <w:highlight w:val="none"/>
              </w:rPr>
              <w:t>=1+2</w:t>
            </w:r>
          </w:p>
        </w:tc>
      </w:tr>
      <w:tr w14:paraId="2E5A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967" w:type="dxa"/>
            <w:gridSpan w:val="4"/>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48CD1982">
            <w:pPr>
              <w:widowControl/>
              <w:spacing w:line="360" w:lineRule="auto"/>
              <w:rPr>
                <w:rFonts w:ascii="宋体" w:cs="宋体"/>
                <w:b/>
                <w:kern w:val="0"/>
                <w:szCs w:val="21"/>
                <w:highlight w:val="none"/>
              </w:rPr>
            </w:pPr>
            <w:r>
              <w:rPr>
                <w:rFonts w:hint="eastAsia" w:ascii="宋体" w:cs="宋体"/>
                <w:b/>
                <w:kern w:val="0"/>
                <w:szCs w:val="21"/>
                <w:highlight w:val="none"/>
              </w:rPr>
              <w:t>1、投标人技术标的最终得分为所有评委打分汇总后的算术平均值。</w:t>
            </w:r>
          </w:p>
          <w:p w14:paraId="0F288E81">
            <w:pPr>
              <w:widowControl/>
              <w:spacing w:line="360" w:lineRule="auto"/>
              <w:rPr>
                <w:highlight w:val="none"/>
              </w:rPr>
            </w:pPr>
            <w:r>
              <w:rPr>
                <w:rFonts w:hint="eastAsia" w:ascii="宋体" w:cs="宋体"/>
                <w:b/>
                <w:kern w:val="0"/>
                <w:szCs w:val="21"/>
                <w:highlight w:val="none"/>
              </w:rPr>
              <w:t>2、技术标根据评分办法进行打分，技术标评标小组推荐至少3家技术得分70分以上的投标人进入商务标。技术入围投标人不足三家时，本次按废标处理，招标人有权根据招标采购管理流程重新组织招标。</w:t>
            </w:r>
          </w:p>
        </w:tc>
      </w:tr>
    </w:tbl>
    <w:p w14:paraId="78496644">
      <w:pPr>
        <w:pStyle w:val="80"/>
        <w:spacing w:before="0" w:after="0"/>
        <w:rPr>
          <w:rStyle w:val="82"/>
          <w:highlight w:val="none"/>
        </w:rPr>
      </w:pPr>
    </w:p>
    <w:p w14:paraId="7CC0873E">
      <w:pPr>
        <w:spacing w:line="360" w:lineRule="auto"/>
        <w:ind w:firstLine="569" w:firstLineChars="236"/>
        <w:rPr>
          <w:rFonts w:ascii="宋体" w:cs="宋体"/>
          <w:b/>
          <w:bCs/>
          <w:sz w:val="24"/>
          <w:highlight w:val="none"/>
          <w:lang w:bidi="ar"/>
        </w:rPr>
      </w:pPr>
    </w:p>
    <w:p w14:paraId="23452DF4">
      <w:pPr>
        <w:pStyle w:val="80"/>
        <w:spacing w:before="0" w:after="0"/>
        <w:jc w:val="center"/>
        <w:rPr>
          <w:rStyle w:val="82"/>
          <w:rFonts w:ascii="宋体" w:hAnsi="宋体"/>
          <w:sz w:val="24"/>
          <w:highlight w:val="none"/>
        </w:rPr>
      </w:pPr>
      <w:r>
        <w:rPr>
          <w:rStyle w:val="82"/>
          <w:rFonts w:ascii="宋体" w:hAnsi="宋体"/>
          <w:sz w:val="24"/>
          <w:highlight w:val="none"/>
        </w:rPr>
        <w:t>商务标评分细则</w:t>
      </w:r>
    </w:p>
    <w:tbl>
      <w:tblPr>
        <w:tblStyle w:val="31"/>
        <w:tblW w:w="9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1676"/>
        <w:gridCol w:w="699"/>
        <w:gridCol w:w="6764"/>
      </w:tblGrid>
      <w:tr w14:paraId="65012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320C7B39">
            <w:pPr>
              <w:jc w:val="center"/>
              <w:rPr>
                <w:rStyle w:val="82"/>
                <w:rFonts w:ascii="宋体" w:hAnsi="宋体"/>
                <w:bCs/>
                <w:highlight w:val="none"/>
              </w:rPr>
            </w:pPr>
            <w:r>
              <w:rPr>
                <w:rStyle w:val="82"/>
                <w:rFonts w:ascii="宋体" w:hAnsi="宋体"/>
                <w:bCs/>
                <w:highlight w:val="none"/>
              </w:rPr>
              <w:t>序号</w:t>
            </w:r>
          </w:p>
        </w:tc>
        <w:tc>
          <w:tcPr>
            <w:tcW w:w="1676" w:type="dxa"/>
            <w:tcBorders>
              <w:top w:val="single" w:color="000000" w:sz="4" w:space="0"/>
              <w:left w:val="single" w:color="000000" w:sz="4" w:space="0"/>
              <w:bottom w:val="single" w:color="000000" w:sz="4" w:space="0"/>
              <w:right w:val="single" w:color="000000" w:sz="4" w:space="0"/>
            </w:tcBorders>
            <w:vAlign w:val="center"/>
          </w:tcPr>
          <w:p w14:paraId="1C5A8547">
            <w:pPr>
              <w:jc w:val="center"/>
              <w:rPr>
                <w:rStyle w:val="82"/>
                <w:rFonts w:ascii="宋体" w:hAnsi="宋体"/>
                <w:bCs/>
                <w:highlight w:val="none"/>
              </w:rPr>
            </w:pPr>
            <w:r>
              <w:rPr>
                <w:rStyle w:val="82"/>
                <w:rFonts w:ascii="宋体" w:hAnsi="宋体"/>
                <w:bCs/>
                <w:highlight w:val="none"/>
              </w:rPr>
              <w:t>类别</w:t>
            </w:r>
          </w:p>
        </w:tc>
        <w:tc>
          <w:tcPr>
            <w:tcW w:w="699" w:type="dxa"/>
            <w:tcBorders>
              <w:top w:val="single" w:color="000000" w:sz="4" w:space="0"/>
              <w:left w:val="single" w:color="000000" w:sz="4" w:space="0"/>
              <w:bottom w:val="single" w:color="000000" w:sz="4" w:space="0"/>
              <w:right w:val="single" w:color="000000" w:sz="4" w:space="0"/>
            </w:tcBorders>
            <w:vAlign w:val="center"/>
          </w:tcPr>
          <w:p w14:paraId="3C3A2C66">
            <w:pPr>
              <w:jc w:val="center"/>
              <w:rPr>
                <w:rStyle w:val="82"/>
                <w:rFonts w:ascii="宋体" w:hAnsi="宋体"/>
                <w:bCs/>
                <w:highlight w:val="none"/>
              </w:rPr>
            </w:pPr>
            <w:r>
              <w:rPr>
                <w:rStyle w:val="82"/>
                <w:rFonts w:ascii="宋体" w:hAnsi="宋体"/>
                <w:bCs/>
                <w:highlight w:val="none"/>
              </w:rPr>
              <w:t>满分</w:t>
            </w:r>
          </w:p>
        </w:tc>
        <w:tc>
          <w:tcPr>
            <w:tcW w:w="6764" w:type="dxa"/>
            <w:tcBorders>
              <w:top w:val="single" w:color="000000" w:sz="4" w:space="0"/>
              <w:left w:val="single" w:color="000000" w:sz="4" w:space="0"/>
              <w:bottom w:val="single" w:color="000000" w:sz="4" w:space="0"/>
              <w:right w:val="single" w:color="000000" w:sz="4" w:space="0"/>
            </w:tcBorders>
            <w:vAlign w:val="center"/>
          </w:tcPr>
          <w:p w14:paraId="6AFF6A85">
            <w:pPr>
              <w:jc w:val="center"/>
              <w:rPr>
                <w:rStyle w:val="82"/>
                <w:rFonts w:ascii="宋体" w:hAnsi="宋体"/>
                <w:bCs/>
                <w:sz w:val="20"/>
                <w:szCs w:val="22"/>
                <w:highlight w:val="none"/>
              </w:rPr>
            </w:pPr>
            <w:r>
              <w:rPr>
                <w:rFonts w:hint="eastAsia" w:ascii="宋体" w:hAnsi="宋体" w:cs="宋体"/>
                <w:highlight w:val="none"/>
              </w:rPr>
              <w:t>得   分   标   准</w:t>
            </w:r>
          </w:p>
        </w:tc>
      </w:tr>
      <w:tr w14:paraId="6D12D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764BC835">
            <w:pPr>
              <w:jc w:val="center"/>
              <w:rPr>
                <w:rStyle w:val="82"/>
                <w:rFonts w:ascii="宋体" w:hAnsi="宋体"/>
                <w:bCs/>
                <w:highlight w:val="none"/>
              </w:rPr>
            </w:pPr>
            <w:r>
              <w:rPr>
                <w:rStyle w:val="82"/>
                <w:rFonts w:ascii="宋体" w:hAnsi="宋体"/>
                <w:bCs/>
                <w:highlight w:val="none"/>
              </w:rPr>
              <w:t>1</w:t>
            </w:r>
          </w:p>
        </w:tc>
        <w:tc>
          <w:tcPr>
            <w:tcW w:w="1676" w:type="dxa"/>
            <w:tcBorders>
              <w:top w:val="single" w:color="000000" w:sz="4" w:space="0"/>
              <w:left w:val="single" w:color="000000" w:sz="4" w:space="0"/>
              <w:bottom w:val="single" w:color="000000" w:sz="4" w:space="0"/>
              <w:right w:val="single" w:color="000000" w:sz="4" w:space="0"/>
            </w:tcBorders>
            <w:vAlign w:val="center"/>
          </w:tcPr>
          <w:p w14:paraId="3ECDDF01">
            <w:pPr>
              <w:jc w:val="center"/>
              <w:rPr>
                <w:rStyle w:val="82"/>
                <w:rFonts w:ascii="宋体" w:hAnsi="宋体"/>
                <w:bCs/>
                <w:highlight w:val="none"/>
              </w:rPr>
            </w:pPr>
            <w:r>
              <w:rPr>
                <w:rStyle w:val="82"/>
                <w:rFonts w:ascii="宋体" w:hAnsi="宋体"/>
                <w:bCs/>
                <w:highlight w:val="none"/>
              </w:rPr>
              <w:t>工程总报价</w:t>
            </w:r>
          </w:p>
        </w:tc>
        <w:tc>
          <w:tcPr>
            <w:tcW w:w="699" w:type="dxa"/>
            <w:tcBorders>
              <w:top w:val="single" w:color="000000" w:sz="4" w:space="0"/>
              <w:left w:val="single" w:color="000000" w:sz="4" w:space="0"/>
              <w:bottom w:val="single" w:color="000000" w:sz="4" w:space="0"/>
              <w:right w:val="single" w:color="000000" w:sz="4" w:space="0"/>
            </w:tcBorders>
            <w:vAlign w:val="center"/>
          </w:tcPr>
          <w:p w14:paraId="4A29B9ED">
            <w:pPr>
              <w:jc w:val="center"/>
              <w:rPr>
                <w:rStyle w:val="82"/>
                <w:rFonts w:ascii="宋体" w:hAnsi="宋体"/>
                <w:bCs/>
                <w:highlight w:val="none"/>
              </w:rPr>
            </w:pPr>
            <w:r>
              <w:rPr>
                <w:rStyle w:val="82"/>
                <w:rFonts w:hint="eastAsia" w:ascii="宋体" w:hAnsi="宋体"/>
                <w:bCs/>
                <w:highlight w:val="none"/>
              </w:rPr>
              <w:t>/</w:t>
            </w:r>
          </w:p>
        </w:tc>
        <w:tc>
          <w:tcPr>
            <w:tcW w:w="6764" w:type="dxa"/>
            <w:tcBorders>
              <w:top w:val="single" w:color="000000" w:sz="4" w:space="0"/>
              <w:left w:val="single" w:color="000000" w:sz="4" w:space="0"/>
              <w:bottom w:val="single" w:color="000000" w:sz="4" w:space="0"/>
              <w:right w:val="single" w:color="000000" w:sz="4" w:space="0"/>
            </w:tcBorders>
            <w:vAlign w:val="center"/>
          </w:tcPr>
          <w:p w14:paraId="0B40DC9C">
            <w:pPr>
              <w:spacing w:line="360" w:lineRule="auto"/>
              <w:ind w:firstLine="420" w:firstLineChars="200"/>
              <w:jc w:val="left"/>
              <w:rPr>
                <w:rFonts w:ascii="宋体" w:hAnsi="宋体" w:cs="宋体"/>
                <w:bCs/>
                <w:szCs w:val="21"/>
                <w:highlight w:val="none"/>
                <w:lang w:bidi="ar"/>
              </w:rPr>
            </w:pPr>
            <w:r>
              <w:rPr>
                <w:rFonts w:hint="eastAsia" w:ascii="宋体" w:hAnsi="宋体" w:cs="宋体"/>
                <w:bCs/>
                <w:szCs w:val="21"/>
                <w:highlight w:val="none"/>
                <w:lang w:bidi="ar"/>
              </w:rPr>
              <w:t>在开标价的基础上进行至少</w:t>
            </w:r>
            <w:r>
              <w:rPr>
                <w:rFonts w:hint="eastAsia" w:ascii="宋体" w:hAnsi="宋体" w:cs="宋体"/>
                <w:bCs/>
                <w:szCs w:val="21"/>
                <w:highlight w:val="none"/>
                <w:lang w:val="en-US" w:eastAsia="zh-CN" w:bidi="ar"/>
              </w:rPr>
              <w:t>2</w:t>
            </w:r>
            <w:r>
              <w:rPr>
                <w:rFonts w:hint="eastAsia" w:ascii="宋体" w:hAnsi="宋体" w:cs="宋体"/>
                <w:bCs/>
                <w:szCs w:val="21"/>
                <w:highlight w:val="none"/>
                <w:lang w:bidi="ar"/>
              </w:rPr>
              <w:t>轮商务谈判并实行淘汰制，</w:t>
            </w:r>
            <w:r>
              <w:rPr>
                <w:rFonts w:hint="eastAsia" w:ascii="宋体" w:cs="宋体"/>
                <w:bCs/>
                <w:kern w:val="0"/>
                <w:szCs w:val="21"/>
                <w:highlight w:val="none"/>
                <w:lang w:bidi="ar"/>
              </w:rPr>
              <w:t>根据最终有效报价的由低到高进行排序，报价最低者排名第一，报价次低者排名第二，以此类推，报价最高者排名最后。</w:t>
            </w:r>
            <w:r>
              <w:rPr>
                <w:rFonts w:hint="eastAsia" w:ascii="宋体" w:hAnsi="宋体" w:cs="宋体"/>
                <w:bCs/>
                <w:szCs w:val="21"/>
                <w:highlight w:val="none"/>
                <w:lang w:bidi="ar"/>
              </w:rPr>
              <w:t>最终排名第一的推荐为拟中标人，但是报价明显低于成本的除外。</w:t>
            </w:r>
          </w:p>
          <w:p w14:paraId="3647FE07">
            <w:pPr>
              <w:spacing w:line="360" w:lineRule="auto"/>
              <w:ind w:firstLine="422" w:firstLineChars="200"/>
              <w:jc w:val="left"/>
              <w:rPr>
                <w:rFonts w:ascii="宋体" w:hAnsi="宋体" w:cs="宋体"/>
                <w:b/>
                <w:szCs w:val="21"/>
                <w:highlight w:val="none"/>
              </w:rPr>
            </w:pPr>
            <w:r>
              <w:rPr>
                <w:rFonts w:hint="eastAsia" w:ascii="宋体" w:hAnsi="宋体" w:cs="宋体"/>
                <w:b/>
                <w:szCs w:val="21"/>
                <w:highlight w:val="none"/>
              </w:rPr>
              <w:t>不允许采用不平衡报价。</w:t>
            </w:r>
          </w:p>
          <w:p w14:paraId="63354622">
            <w:pPr>
              <w:spacing w:line="360" w:lineRule="auto"/>
              <w:ind w:firstLine="422" w:firstLineChars="200"/>
              <w:jc w:val="left"/>
              <w:rPr>
                <w:rFonts w:ascii="宋体" w:cs="宋体"/>
                <w:b/>
                <w:kern w:val="0"/>
                <w:szCs w:val="21"/>
                <w:highlight w:val="none"/>
                <w:lang w:bidi="ar"/>
              </w:rPr>
            </w:pPr>
            <w:r>
              <w:rPr>
                <w:rFonts w:hint="eastAsia" w:ascii="宋体" w:cs="宋体"/>
                <w:b/>
                <w:kern w:val="0"/>
                <w:szCs w:val="21"/>
                <w:highlight w:val="none"/>
                <w:lang w:bidi="ar"/>
              </w:rPr>
              <w:t>开标清标后按照招标人清标发现的问题进行纠偏调整，形成修正版工程量清单并同步修正开标报价（但不得高于开标唱标价），推荐拟中标价格以此修正版清单进行同比例下浮，下浮系数=商务标最后一轮澄清总报价/开标清标修正后的总报价。单独澄清的清单项除外。</w:t>
            </w:r>
          </w:p>
          <w:p w14:paraId="065B5A1D">
            <w:pPr>
              <w:spacing w:line="360" w:lineRule="auto"/>
              <w:ind w:firstLine="422" w:firstLineChars="200"/>
              <w:jc w:val="left"/>
              <w:rPr>
                <w:highlight w:val="none"/>
              </w:rPr>
            </w:pPr>
            <w:r>
              <w:rPr>
                <w:rFonts w:hint="eastAsia" w:ascii="宋体" w:cs="宋体"/>
                <w:b/>
                <w:kern w:val="0"/>
                <w:szCs w:val="21"/>
                <w:highlight w:val="none"/>
                <w:lang w:bidi="ar"/>
              </w:rPr>
              <w:t>招标人对下浮后的工程量清单价格进一步价格审核，如发现不平衡报价，招标人有权对其高报价部分予以调低，同时降低拟中标总价。</w:t>
            </w:r>
          </w:p>
        </w:tc>
      </w:tr>
    </w:tbl>
    <w:p w14:paraId="357D1514">
      <w:pPr>
        <w:pStyle w:val="14"/>
        <w:spacing w:line="360" w:lineRule="auto"/>
        <w:ind w:firstLine="480" w:firstLineChars="200"/>
        <w:rPr>
          <w:rFonts w:hint="eastAsia" w:cs="仿宋" w:asciiTheme="minorEastAsia" w:hAnsiTheme="minorEastAsia" w:eastAsiaTheme="minorEastAsia"/>
          <w:sz w:val="24"/>
          <w:szCs w:val="24"/>
          <w:highlight w:val="none"/>
          <w:u w:val="single"/>
          <w:lang w:val="en-US" w:eastAsia="zh-CN"/>
        </w:rPr>
      </w:pPr>
    </w:p>
    <w:p w14:paraId="6E33361A">
      <w:pPr>
        <w:spacing w:line="360" w:lineRule="auto"/>
        <w:ind w:firstLine="569" w:firstLineChars="236"/>
        <w:rPr>
          <w:rFonts w:hint="eastAsia" w:ascii="宋体" w:hAnsi="宋体" w:eastAsia="宋体" w:cs="宋体"/>
          <w:b/>
          <w:bCs/>
          <w:sz w:val="24"/>
          <w:highlight w:val="none"/>
        </w:rPr>
      </w:pPr>
      <w:r>
        <w:rPr>
          <w:rFonts w:hint="eastAsia" w:ascii="宋体" w:hAnsi="宋体" w:eastAsia="宋体" w:cs="宋体"/>
          <w:b/>
          <w:bCs/>
          <w:sz w:val="24"/>
          <w:highlight w:val="none"/>
          <w:lang w:val="en-US" w:eastAsia="zh-CN"/>
        </w:rPr>
        <w:t>12.4</w:t>
      </w:r>
      <w:r>
        <w:rPr>
          <w:rFonts w:hint="eastAsia" w:ascii="宋体" w:hAnsi="宋体" w:eastAsia="宋体" w:cs="宋体"/>
          <w:b/>
          <w:bCs/>
          <w:sz w:val="24"/>
          <w:highlight w:val="none"/>
        </w:rPr>
        <w:t>评标方法</w:t>
      </w:r>
    </w:p>
    <w:p w14:paraId="74614ABA">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（1）技术标和商务标同时开标、分阶段评标的模式。</w:t>
      </w:r>
    </w:p>
    <w:p w14:paraId="64268496">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（2）首先进行技术标评审，由评标专家组对所有投标方的技术标部分综合评定和打分，确定进入商务标评比资格的投标方（技术标评分不带入商务标）。</w:t>
      </w:r>
    </w:p>
    <w:p w14:paraId="635DF287">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（3）然后进行商务标的评标，招标人有权根据项目情况，商务标采取多轮（至少</w:t>
      </w:r>
      <w:r>
        <w:rPr>
          <w:rFonts w:hint="eastAsia" w:ascii="宋体" w:hAnsi="宋体" w:cs="宋体"/>
          <w:b w:val="0"/>
          <w:bCs w:val="0"/>
          <w:sz w:val="24"/>
          <w:highlight w:val="none"/>
          <w:lang w:val="en-US" w:eastAsia="zh-CN"/>
        </w:rPr>
        <w:t>2</w:t>
      </w:r>
      <w:r>
        <w:rPr>
          <w:rFonts w:hint="eastAsia" w:ascii="宋体" w:hAnsi="宋体" w:eastAsia="宋体" w:cs="宋体"/>
          <w:b w:val="0"/>
          <w:bCs w:val="0"/>
          <w:sz w:val="24"/>
          <w:highlight w:val="none"/>
          <w:lang w:val="en-US" w:eastAsia="zh-CN"/>
        </w:rPr>
        <w:t>轮）评标模式，最终根据商务标的得分确定各投标人排序，原则上按照评标合理最低价确定推荐</w:t>
      </w:r>
      <w:r>
        <w:rPr>
          <w:rFonts w:hint="eastAsia" w:ascii="宋体" w:hAnsi="宋体" w:cs="宋体"/>
          <w:b w:val="0"/>
          <w:bCs w:val="0"/>
          <w:sz w:val="24"/>
          <w:highlight w:val="none"/>
          <w:u w:val="single"/>
          <w:lang w:val="en-US" w:eastAsia="zh-CN"/>
        </w:rPr>
        <w:t>1家</w:t>
      </w:r>
      <w:r>
        <w:rPr>
          <w:rFonts w:hint="eastAsia" w:ascii="宋体" w:hAnsi="宋体" w:eastAsia="宋体" w:cs="宋体"/>
          <w:b w:val="0"/>
          <w:bCs w:val="0"/>
          <w:sz w:val="24"/>
          <w:highlight w:val="none"/>
          <w:lang w:val="en-US" w:eastAsia="zh-CN"/>
        </w:rPr>
        <w:t>中标人（不保证最低价格中标），对未中标单位不做任何解释。</w:t>
      </w:r>
    </w:p>
    <w:p w14:paraId="4D04BCED">
      <w:pPr>
        <w:spacing w:line="360" w:lineRule="auto"/>
        <w:ind w:firstLine="480" w:firstLineChars="200"/>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（4）招标人有权根据项目情况，采取多轮报价模式。除开标唱标为公开报价方式外，后续多轮澄清报价均为非公开的方式，投标人在重汽e采通进行提报报价。</w:t>
      </w:r>
    </w:p>
    <w:p w14:paraId="6645FA4B">
      <w:pPr>
        <w:spacing w:line="360" w:lineRule="auto"/>
        <w:ind w:firstLine="482" w:firstLineChars="200"/>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12.5评标程序</w:t>
      </w:r>
    </w:p>
    <w:p w14:paraId="533CB9D3">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12.5.1 初步评审</w:t>
      </w:r>
    </w:p>
    <w:p w14:paraId="6D00372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（1）评标委员会可以要求投标人提交资格审查文件规定的有关证明和证件的原件，以便核验。评标委员会对投标文件进行初步评审。有一项不符合资格要求的，作无效标处理。</w:t>
      </w:r>
    </w:p>
    <w:p w14:paraId="6A71AF4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（2）投标人有以下情形之一的，其投标作废标处理：详见：废标条件。</w:t>
      </w:r>
    </w:p>
    <w:p w14:paraId="12E926EF">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（3）投标报价有算术错误的，评标委员会按以下原则对投标报价进行修正，修正的价格经投标人书面确认后具有约束力。投标人不接受修正价格的，其投标作无效标处理。</w:t>
      </w:r>
    </w:p>
    <w:p w14:paraId="44146AC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a.投标文件中的大写金额与小写金额不一致的，以大写金额为准；</w:t>
      </w:r>
    </w:p>
    <w:p w14:paraId="08CA6769">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b.总价金额与依据单价计算出的结果不一致的，以总价金额为准修正单价。</w:t>
      </w:r>
    </w:p>
    <w:p w14:paraId="57A2A95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c.唱标单报价与投标报价文件中价格不一致的，评标过程中，评定内容的具体数据以单独递交的唱标单报价为准，签订合同及后期结算时，以价格低的为准，价格根据下浮率同比例下调。</w:t>
      </w:r>
    </w:p>
    <w:p w14:paraId="1DDDA591">
      <w:pPr>
        <w:pStyle w:val="14"/>
        <w:spacing w:line="360" w:lineRule="auto"/>
        <w:ind w:firstLine="480" w:firstLineChars="200"/>
        <w:rPr>
          <w:rFonts w:hint="eastAsia" w:cs="仿宋" w:asciiTheme="minorEastAsia" w:hAnsiTheme="minorEastAsia" w:eastAsiaTheme="minorEastAsia"/>
          <w:b w:val="0"/>
          <w:bCs w:val="0"/>
          <w:sz w:val="24"/>
          <w:szCs w:val="24"/>
          <w:highlight w:val="none"/>
          <w:lang w:val="en-US" w:eastAsia="zh-CN"/>
        </w:rPr>
      </w:pPr>
      <w:r>
        <w:rPr>
          <w:rFonts w:hint="eastAsia" w:cs="仿宋" w:asciiTheme="minorEastAsia" w:hAnsiTheme="minorEastAsia" w:eastAsiaTheme="minorEastAsia"/>
          <w:b w:val="0"/>
          <w:bCs w:val="0"/>
          <w:sz w:val="24"/>
          <w:szCs w:val="24"/>
          <w:highlight w:val="none"/>
          <w:lang w:val="en-US" w:eastAsia="zh-CN"/>
        </w:rPr>
        <w:t>投标人有下列情形之一的视为无效投标：</w:t>
      </w:r>
    </w:p>
    <w:p w14:paraId="35B8972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（1）参加开标会议的投标人的法定代表人或其委托代理人未携带本人身份证，委托代理人未携带参加开标会议的法定代表人授权委托书，法定代表人未携带法定代表人证书，无法证明其身份的；</w:t>
      </w:r>
    </w:p>
    <w:p w14:paraId="3B40104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（2）无单位盖章并无法定代表人或法定代表人授权的代理人签字或盖章的；</w:t>
      </w:r>
    </w:p>
    <w:p w14:paraId="4F226DE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（3）未按规定格式填写，内容不全或关键字迹模糊、无法辨认的；</w:t>
      </w:r>
    </w:p>
    <w:p w14:paraId="247DD37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（4）投标人递交两份或多份内容不同的投标文件，或在一份投标文件中对同一招标项目抱有两个或多个报价，且未声明哪一个有效，按招标文件规定提交备选投标方案的除外；</w:t>
      </w:r>
    </w:p>
    <w:p w14:paraId="13B0187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（5）投标人名称或组织结构与资格预审时不一致（资格预审的）；</w:t>
      </w:r>
    </w:p>
    <w:p w14:paraId="642F4068">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（6）投标人未按投标文件的要求提交投标保证金的；</w:t>
      </w:r>
    </w:p>
    <w:p w14:paraId="2E2BCDE1">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（7）联合体投标未附联合体各方共同投标协议的（允许联合体投标的）；</w:t>
      </w:r>
    </w:p>
    <w:p w14:paraId="064BF58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bookmarkStart w:id="36" w:name="_Toc16063905"/>
      <w:r>
        <w:rPr>
          <w:rFonts w:hint="eastAsia" w:cs="仿宋" w:asciiTheme="minorEastAsia" w:hAnsiTheme="minorEastAsia" w:eastAsiaTheme="minorEastAsia"/>
          <w:sz w:val="24"/>
          <w:szCs w:val="24"/>
          <w:highlight w:val="none"/>
          <w:lang w:val="en-US" w:eastAsia="zh-CN"/>
        </w:rPr>
        <w:t>（8）投标文件未按照招标文件的要求予以密封的；</w:t>
      </w:r>
      <w:bookmarkEnd w:id="36"/>
    </w:p>
    <w:p w14:paraId="383D8E5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（9）投标文件中的投标函未加盖投标人的企业及企业法定代表人印章的，或者企业法定代表人委托代理人没有合法、有效的委托书（原件）及委托代理人印章的；</w:t>
      </w:r>
    </w:p>
    <w:p w14:paraId="14F69C5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（10）资格审查未通过的；</w:t>
      </w:r>
    </w:p>
    <w:p w14:paraId="66E47B2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（11）未实质性响应招标文件内容的；</w:t>
      </w:r>
    </w:p>
    <w:p w14:paraId="69DDBE69">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（12）投标单位负责人为同一人或存在管理关系的。</w:t>
      </w:r>
    </w:p>
    <w:p w14:paraId="14EE3D3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（13）投标人被举报、检举，并经招标方查实无误的。</w:t>
      </w:r>
    </w:p>
    <w:p w14:paraId="602848F1">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12.5.2 详细评审</w:t>
      </w:r>
    </w:p>
    <w:p w14:paraId="7C10D082">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（1）技术标：评标委员会按本章评分细则进行打分，并计算出平均得分；商务标：按照重汽e采通平台有效报价的由低到高进行排序，报价最低者排名第一，报价次低者排名第二，以此类推。</w:t>
      </w:r>
    </w:p>
    <w:p w14:paraId="732C1EDF">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（2）评分分值计算保留小数点后两位，小数点后第三位“四舍五入”。</w:t>
      </w:r>
    </w:p>
    <w:p w14:paraId="25FCCD5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（3）投标人得分=评标委员会按照本章评分细则评审的得分。</w:t>
      </w:r>
    </w:p>
    <w:p w14:paraId="3A24D9A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29F49218">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12.5.3 投标文件的澄清和补正</w:t>
      </w:r>
    </w:p>
    <w:p w14:paraId="284820A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（1）在评标过程中，评标委员会可以书面形式要求投标人对所提交投标文件中不明确的内容进行书面澄清或说明，或者对细微偏差进行补正。评标委员会不接受投标人主动提出的澄清、说明或补正。</w:t>
      </w:r>
    </w:p>
    <w:p w14:paraId="49A8EC0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（2）投标人的书面澄清、说明和补正属于投标文件的组成部分。</w:t>
      </w:r>
    </w:p>
    <w:p w14:paraId="46E42AB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（3）评标委员会对投标人提交的澄清、说明或补正有疑问的，可以要求投标人进一步澄清、说明或补正，直至满足评标委员会的要求。</w:t>
      </w:r>
    </w:p>
    <w:p w14:paraId="12061334">
      <w:pPr>
        <w:pStyle w:val="14"/>
        <w:spacing w:line="360" w:lineRule="auto"/>
        <w:ind w:firstLine="482" w:firstLineChars="200"/>
        <w:rPr>
          <w:rFonts w:hint="eastAsia" w:cs="仿宋" w:asciiTheme="minorEastAsia" w:hAnsiTheme="minorEastAsia" w:eastAsiaTheme="minorEastAsia"/>
          <w:b/>
          <w:bCs/>
          <w:sz w:val="24"/>
          <w:szCs w:val="24"/>
          <w:highlight w:val="none"/>
          <w:lang w:val="en-US" w:eastAsia="zh-CN"/>
        </w:rPr>
      </w:pPr>
      <w:r>
        <w:rPr>
          <w:rFonts w:hint="eastAsia" w:cs="仿宋" w:asciiTheme="minorEastAsia" w:hAnsiTheme="minorEastAsia" w:eastAsiaTheme="minorEastAsia"/>
          <w:b/>
          <w:bCs/>
          <w:sz w:val="24"/>
          <w:szCs w:val="24"/>
          <w:highlight w:val="none"/>
          <w:lang w:val="en-US" w:eastAsia="zh-CN"/>
        </w:rPr>
        <w:t>12.5.4 评标结果</w:t>
      </w:r>
    </w:p>
    <w:p w14:paraId="4819AE17">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（1）评标委员会按照最终得分由高到低的次序排列。</w:t>
      </w:r>
    </w:p>
    <w:p w14:paraId="6BB8B9AC">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（2）评标委员会完成评标后，应当向招标人提交书面评标报告。</w:t>
      </w:r>
    </w:p>
    <w:p w14:paraId="39977DDF">
      <w:pPr>
        <w:spacing w:line="360" w:lineRule="auto"/>
        <w:ind w:firstLine="498" w:firstLineChars="200"/>
        <w:rPr>
          <w:rFonts w:hint="eastAsia" w:ascii="宋体" w:hAnsi="宋体" w:cs="Times New Roman"/>
          <w:b/>
          <w:spacing w:val="4"/>
          <w:sz w:val="24"/>
          <w:szCs w:val="22"/>
          <w:highlight w:val="none"/>
          <w:lang w:val="en-US" w:eastAsia="zh-CN"/>
        </w:rPr>
      </w:pPr>
      <w:bookmarkStart w:id="37" w:name="_Toc48665529"/>
      <w:r>
        <w:rPr>
          <w:rFonts w:hint="eastAsia" w:ascii="宋体" w:hAnsi="宋体" w:cs="Times New Roman"/>
          <w:b/>
          <w:spacing w:val="4"/>
          <w:sz w:val="24"/>
          <w:szCs w:val="22"/>
          <w:highlight w:val="none"/>
          <w:lang w:val="en-US" w:eastAsia="zh-CN"/>
        </w:rPr>
        <w:t>四、中标和合同</w:t>
      </w:r>
      <w:bookmarkEnd w:id="37"/>
    </w:p>
    <w:p w14:paraId="15352082">
      <w:pPr>
        <w:spacing w:line="360" w:lineRule="auto"/>
        <w:ind w:firstLine="498" w:firstLineChars="200"/>
        <w:rPr>
          <w:rFonts w:hint="eastAsia" w:ascii="宋体" w:hAnsi="宋体" w:cs="Times New Roman"/>
          <w:b/>
          <w:spacing w:val="4"/>
          <w:sz w:val="24"/>
          <w:szCs w:val="22"/>
          <w:highlight w:val="none"/>
          <w:lang w:val="en-US" w:eastAsia="zh-CN"/>
        </w:rPr>
      </w:pPr>
      <w:r>
        <w:rPr>
          <w:rFonts w:hint="eastAsia" w:ascii="宋体" w:hAnsi="宋体" w:cs="Times New Roman"/>
          <w:b/>
          <w:spacing w:val="4"/>
          <w:sz w:val="24"/>
          <w:szCs w:val="22"/>
          <w:highlight w:val="none"/>
          <w:lang w:val="en-US" w:eastAsia="zh-CN"/>
        </w:rPr>
        <w:t>13、定标</w:t>
      </w:r>
    </w:p>
    <w:p w14:paraId="6BD94D56">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13.1评标委员会按照得分高低顺序对投标人进行排列。得分相同的，按投标报价由低到高顺序排列。得分最高且排名第一的投标人将被推荐为中标候选人或者直接被确定为中标人。</w:t>
      </w:r>
    </w:p>
    <w:p w14:paraId="62764695">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13.2评标委员会认为所有投标报价均不合理或所有投标方案均不能满足招标方要求时，有权否决所有投标，评标委员会也没有义务必须接受最低报价的投标。</w:t>
      </w:r>
    </w:p>
    <w:p w14:paraId="7C2A7B3E">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13.3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20C87CB">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（1）投标人提供的有关资格、资质证明文件不合格、不真实或提供虚假投标材料；</w:t>
      </w:r>
    </w:p>
    <w:p w14:paraId="34F499F3">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（2）投标人在报价有效期内撤回投标；</w:t>
      </w:r>
    </w:p>
    <w:p w14:paraId="14ACB08A">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（3）在整个评标过程中，投标人有企图影响评标结果公正性的任何活动；</w:t>
      </w:r>
    </w:p>
    <w:p w14:paraId="2F51E6B4">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（4）投标过程中被查实有串标、围标、陪标，采取不正当手段诋毁、排挤其他投标人等违规违法行为的；</w:t>
      </w:r>
    </w:p>
    <w:p w14:paraId="336766E9">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（5）以他人名义投标或者以其他方式弄虚作假，骗取中标的；</w:t>
      </w:r>
    </w:p>
    <w:p w14:paraId="5449D410">
      <w:pPr>
        <w:pStyle w:val="14"/>
        <w:spacing w:line="360" w:lineRule="auto"/>
        <w:ind w:firstLine="480" w:firstLineChars="200"/>
        <w:rPr>
          <w:rFonts w:hint="eastAsia" w:cs="仿宋" w:asciiTheme="minorEastAsia" w:hAnsiTheme="minorEastAsia" w:eastAsiaTheme="minorEastAsia"/>
          <w:sz w:val="24"/>
          <w:szCs w:val="24"/>
          <w:highlight w:val="none"/>
          <w:lang w:val="en-US" w:eastAsia="zh-CN"/>
        </w:rPr>
      </w:pPr>
      <w:r>
        <w:rPr>
          <w:rFonts w:hint="eastAsia" w:cs="仿宋" w:asciiTheme="minorEastAsia" w:hAnsiTheme="minorEastAsia" w:eastAsiaTheme="minorEastAsia"/>
          <w:sz w:val="24"/>
          <w:szCs w:val="24"/>
          <w:highlight w:val="none"/>
          <w:lang w:val="en-US" w:eastAsia="zh-CN"/>
        </w:rPr>
        <w:t>（6）法律、法规规定的其他情况。</w:t>
      </w:r>
    </w:p>
    <w:p w14:paraId="40826B40">
      <w:pPr>
        <w:spacing w:line="360" w:lineRule="auto"/>
        <w:ind w:firstLine="624" w:firstLineChars="252"/>
        <w:rPr>
          <w:rFonts w:hint="eastAsia" w:ascii="宋体" w:hAnsi="宋体"/>
          <w:spacing w:val="4"/>
          <w:sz w:val="24"/>
          <w:highlight w:val="none"/>
        </w:rPr>
      </w:pPr>
      <w:r>
        <w:rPr>
          <w:rFonts w:hint="eastAsia" w:ascii="宋体" w:hAnsi="宋体"/>
          <w:spacing w:val="4"/>
          <w:sz w:val="24"/>
          <w:highlight w:val="none"/>
          <w:lang w:val="en-US" w:eastAsia="zh-CN"/>
        </w:rPr>
        <w:t>13</w:t>
      </w:r>
      <w:r>
        <w:rPr>
          <w:rFonts w:hint="eastAsia" w:ascii="宋体" w:hAnsi="宋体"/>
          <w:spacing w:val="4"/>
          <w:sz w:val="24"/>
          <w:highlight w:val="none"/>
        </w:rPr>
        <w:t>.4出现下列情形之一的，应予废标：</w:t>
      </w:r>
    </w:p>
    <w:p w14:paraId="73F398E1">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（1）发生影响招标公平、公正的违法、违规行为的；</w:t>
      </w:r>
    </w:p>
    <w:p w14:paraId="6E8F7FCB">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（2）符合条件的投标人或者对招标文件做实质响应的投标人不足2家的；</w:t>
      </w:r>
    </w:p>
    <w:p w14:paraId="4B62DCC1">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（3）因重大变故，采购任务取消的。</w:t>
      </w:r>
    </w:p>
    <w:p w14:paraId="7DF32879">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13.5对未中标的投标人，招标方不做未中标解释。招标人对评标委员会推荐的中标候选人进行审查。</w:t>
      </w:r>
    </w:p>
    <w:p w14:paraId="471E6259">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13.6通过对中标候选人的最终审查确定中标人：</w:t>
      </w:r>
    </w:p>
    <w:p w14:paraId="1433C6BC">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最终审查的内容是对中标候选人所报货物与服务的产品性能及性价比、安装方案、调试方案、技术状况、生产方案、生产条件、产品质量、交付时间、投标人信誉以及招标人认为有必要了解的其它问题作进一步的审查或了解。</w:t>
      </w:r>
    </w:p>
    <w:p w14:paraId="0651D6B1">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（2）最终审查的方式：对中标候选人进行询问或对中标候选人进行实地考察。</w:t>
      </w:r>
    </w:p>
    <w:p w14:paraId="5C0DED40">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 xml:space="preserve">（3）接受最终审查的中标候选人，必须如实回答和受理招标人的询问或考察。 </w:t>
      </w:r>
    </w:p>
    <w:p w14:paraId="58D082BF">
      <w:pPr>
        <w:spacing w:line="360" w:lineRule="auto"/>
        <w:ind w:left="124" w:leftChars="59" w:firstLine="503" w:firstLineChars="202"/>
        <w:rPr>
          <w:rFonts w:hint="eastAsia" w:ascii="宋体" w:hAnsi="宋体"/>
          <w:b/>
          <w:spacing w:val="4"/>
          <w:sz w:val="24"/>
          <w:highlight w:val="none"/>
        </w:rPr>
      </w:pPr>
      <w:r>
        <w:rPr>
          <w:rFonts w:hint="eastAsia" w:ascii="宋体" w:hAnsi="宋体"/>
          <w:b/>
          <w:spacing w:val="4"/>
          <w:sz w:val="24"/>
          <w:highlight w:val="none"/>
          <w:lang w:val="en-US" w:eastAsia="zh-CN"/>
        </w:rPr>
        <w:t>14</w:t>
      </w:r>
      <w:r>
        <w:rPr>
          <w:rFonts w:hint="eastAsia" w:ascii="宋体" w:hAnsi="宋体"/>
          <w:b/>
          <w:spacing w:val="4"/>
          <w:sz w:val="24"/>
          <w:highlight w:val="none"/>
        </w:rPr>
        <w:t>、招标人权利</w:t>
      </w:r>
    </w:p>
    <w:p w14:paraId="08BFDEA9">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（1）在向投标人授予中标通知书时，在保证采购装备、设备、货物、服务规格型号等内容不变的前提下招标人有变更数量的权利。</w:t>
      </w:r>
    </w:p>
    <w:p w14:paraId="09137467">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（2）招标人在中标通知书发出之前任何时候仍有选择或拒绝任何投标人中标或宣布招标无效的权利。对受影响的投标人不承担任何责任，也无义务向受影响的投标人解释采取这一行动的理由。</w:t>
      </w:r>
    </w:p>
    <w:p w14:paraId="617FA75B">
      <w:pPr>
        <w:spacing w:line="360" w:lineRule="auto"/>
        <w:ind w:left="124" w:leftChars="59" w:firstLine="503" w:firstLineChars="202"/>
        <w:rPr>
          <w:rFonts w:hint="eastAsia" w:ascii="宋体" w:hAnsi="宋体"/>
          <w:b/>
          <w:spacing w:val="4"/>
          <w:sz w:val="24"/>
          <w:highlight w:val="none"/>
        </w:rPr>
      </w:pPr>
      <w:r>
        <w:rPr>
          <w:rFonts w:hint="eastAsia" w:ascii="宋体" w:hAnsi="宋体"/>
          <w:b/>
          <w:spacing w:val="4"/>
          <w:sz w:val="24"/>
          <w:highlight w:val="none"/>
          <w:lang w:val="en-US" w:eastAsia="zh-CN"/>
        </w:rPr>
        <w:t>15</w:t>
      </w:r>
      <w:r>
        <w:rPr>
          <w:rFonts w:hint="eastAsia" w:ascii="宋体" w:hAnsi="宋体"/>
          <w:b/>
          <w:spacing w:val="4"/>
          <w:sz w:val="24"/>
          <w:highlight w:val="none"/>
        </w:rPr>
        <w:t>、中标人瑕疵滞后发现的处理原则</w:t>
      </w:r>
    </w:p>
    <w:p w14:paraId="3C7F9896">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无论基于何种原因，各项目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EA4F317">
      <w:pPr>
        <w:spacing w:line="360" w:lineRule="auto"/>
        <w:ind w:left="124" w:leftChars="59" w:firstLine="503" w:firstLineChars="202"/>
        <w:rPr>
          <w:rFonts w:hint="eastAsia" w:ascii="宋体" w:hAnsi="宋体"/>
          <w:b/>
          <w:spacing w:val="4"/>
          <w:sz w:val="24"/>
          <w:highlight w:val="none"/>
        </w:rPr>
      </w:pPr>
      <w:r>
        <w:rPr>
          <w:rFonts w:hint="eastAsia" w:ascii="宋体" w:hAnsi="宋体"/>
          <w:b/>
          <w:spacing w:val="4"/>
          <w:sz w:val="24"/>
          <w:highlight w:val="none"/>
          <w:lang w:val="en-US" w:eastAsia="zh-CN"/>
        </w:rPr>
        <w:t>16</w:t>
      </w:r>
      <w:r>
        <w:rPr>
          <w:rFonts w:hint="eastAsia" w:ascii="宋体" w:hAnsi="宋体"/>
          <w:b/>
          <w:spacing w:val="4"/>
          <w:sz w:val="24"/>
          <w:highlight w:val="none"/>
        </w:rPr>
        <w:t>、中标通知</w:t>
      </w:r>
    </w:p>
    <w:p w14:paraId="5A1117ED">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16.1确定中标结果后，招标人向中标人签发中标（成交）通知书。</w:t>
      </w:r>
    </w:p>
    <w:p w14:paraId="18AEA790">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16.2中标人收到中标通知书后，应在30日内按照招标人管理流程签订合同与招标方签订合同，过期视为放弃中标。由此给招标人造成损失的，招标人有索赔的权利，投标人应予以赔偿。</w:t>
      </w:r>
    </w:p>
    <w:p w14:paraId="1E8D731C">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16.3如投标人中标后悔标，招标方将取消该投标人本次中标资格及今后3年内的投标资格，给招标人造成损失的，招标人有索赔的权利，投标人应予以赔偿。</w:t>
      </w:r>
    </w:p>
    <w:p w14:paraId="11CCE50F">
      <w:pPr>
        <w:spacing w:line="360" w:lineRule="auto"/>
        <w:ind w:left="124" w:leftChars="59" w:firstLine="503" w:firstLineChars="202"/>
        <w:rPr>
          <w:rFonts w:hint="eastAsia" w:ascii="宋体" w:hAnsi="宋体"/>
          <w:b/>
          <w:spacing w:val="4"/>
          <w:sz w:val="24"/>
          <w:highlight w:val="none"/>
        </w:rPr>
      </w:pPr>
      <w:r>
        <w:rPr>
          <w:rFonts w:hint="eastAsia" w:ascii="宋体" w:hAnsi="宋体"/>
          <w:b/>
          <w:spacing w:val="4"/>
          <w:sz w:val="24"/>
          <w:highlight w:val="none"/>
          <w:lang w:val="en-US" w:eastAsia="zh-CN"/>
        </w:rPr>
        <w:t>17</w:t>
      </w:r>
      <w:r>
        <w:rPr>
          <w:rFonts w:hint="eastAsia" w:ascii="宋体" w:hAnsi="宋体"/>
          <w:b/>
          <w:spacing w:val="4"/>
          <w:sz w:val="24"/>
          <w:highlight w:val="none"/>
        </w:rPr>
        <w:t>、签订合同</w:t>
      </w:r>
    </w:p>
    <w:p w14:paraId="186932D0">
      <w:pPr>
        <w:pStyle w:val="14"/>
        <w:spacing w:line="360" w:lineRule="auto"/>
        <w:ind w:firstLine="480" w:firstLineChars="200"/>
        <w:rPr>
          <w:rFonts w:hAnsi="宋体" w:cs="宋体"/>
          <w:color w:val="000000"/>
          <w:sz w:val="24"/>
          <w:szCs w:val="24"/>
          <w:highlight w:val="none"/>
        </w:rPr>
      </w:pPr>
      <w:bookmarkStart w:id="38" w:name="_Toc48665530"/>
      <w:r>
        <w:rPr>
          <w:rFonts w:hint="eastAsia" w:hAnsi="宋体" w:cs="宋体"/>
          <w:color w:val="000000"/>
          <w:sz w:val="24"/>
          <w:szCs w:val="24"/>
          <w:highlight w:val="none"/>
          <w:lang w:val="en-US" w:eastAsia="zh-CN"/>
        </w:rPr>
        <w:t>17.1</w:t>
      </w:r>
      <w:r>
        <w:rPr>
          <w:rFonts w:hint="eastAsia" w:hAnsi="宋体" w:cs="宋体"/>
          <w:color w:val="000000"/>
          <w:sz w:val="24"/>
          <w:szCs w:val="24"/>
          <w:highlight w:val="none"/>
        </w:rPr>
        <w:t>.招标人根据评标工作小组的评标结果确定中标人，并书面通知中标人，招标人不承诺将合同授予报价最低的投标人。</w:t>
      </w:r>
    </w:p>
    <w:p w14:paraId="15D23F98">
      <w:pPr>
        <w:pStyle w:val="14"/>
        <w:spacing w:line="360" w:lineRule="auto"/>
        <w:ind w:firstLine="480" w:firstLineChars="200"/>
        <w:rPr>
          <w:rFonts w:hAnsi="宋体" w:cs="宋体"/>
          <w:color w:val="000000"/>
          <w:sz w:val="24"/>
          <w:szCs w:val="24"/>
          <w:highlight w:val="none"/>
        </w:rPr>
      </w:pPr>
      <w:r>
        <w:rPr>
          <w:rFonts w:hint="eastAsia" w:hAnsi="宋体" w:cs="宋体"/>
          <w:color w:val="000000"/>
          <w:sz w:val="24"/>
          <w:szCs w:val="24"/>
          <w:highlight w:val="none"/>
          <w:lang w:val="en-US" w:eastAsia="zh-CN"/>
        </w:rPr>
        <w:t>17.2</w:t>
      </w:r>
      <w:r>
        <w:rPr>
          <w:rFonts w:hint="eastAsia" w:hAnsi="宋体" w:cs="宋体"/>
          <w:color w:val="000000"/>
          <w:sz w:val="24"/>
          <w:szCs w:val="24"/>
          <w:highlight w:val="none"/>
        </w:rPr>
        <w:t>中标人应当按照合同约定的履约责任，在保证质量的前提下完成中标项目，不得将中标项目转包或分包给他人，否则视为违约，招标人有权解除合同。</w:t>
      </w:r>
    </w:p>
    <w:p w14:paraId="4863EE64">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lang w:val="en-US" w:eastAsia="zh-CN"/>
        </w:rPr>
        <w:t>17.3</w:t>
      </w:r>
      <w:r>
        <w:rPr>
          <w:rFonts w:hint="eastAsia" w:hAnsi="宋体" w:cs="宋体"/>
          <w:color w:val="000000"/>
          <w:sz w:val="24"/>
          <w:szCs w:val="24"/>
          <w:highlight w:val="none"/>
        </w:rPr>
        <w:t>在履行合同过程中，中标人由于履行义务的能力或信用有严重缺陷，招标人有权解除合同并取消其中标资格，招标人将从中标候选单位中依序重新确定中标人，或重新组织招标。</w:t>
      </w:r>
    </w:p>
    <w:p w14:paraId="48976653">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lang w:val="en-US" w:eastAsia="zh-CN"/>
        </w:rPr>
        <w:t>17.4</w:t>
      </w:r>
      <w:r>
        <w:rPr>
          <w:rFonts w:hint="eastAsia" w:hAnsi="宋体" w:cs="宋体"/>
          <w:color w:val="000000"/>
          <w:sz w:val="24"/>
          <w:szCs w:val="24"/>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59F9731">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（1）有效投标不足三家；</w:t>
      </w:r>
    </w:p>
    <w:p w14:paraId="385A6831">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（2）投标人提供的有关资格、资质证明文件不合格、不真实或提供虚假投标材料；</w:t>
      </w:r>
    </w:p>
    <w:p w14:paraId="4D331766">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（3）投标人在报价有效期内撤回投标；</w:t>
      </w:r>
    </w:p>
    <w:p w14:paraId="30BBA4FD">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（4）在整个评标过程中，投标人有企图影响评标结果公正性的任何活动；</w:t>
      </w:r>
    </w:p>
    <w:p w14:paraId="6473CC24">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（5）投标人以任何方式诋毁其他投标人；</w:t>
      </w:r>
    </w:p>
    <w:p w14:paraId="0009DABC">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（6）投标人串通投标；</w:t>
      </w:r>
    </w:p>
    <w:p w14:paraId="708B4715">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（7）以他人名义投标或者以其他方式弄虚作假，骗取中标的；</w:t>
      </w:r>
    </w:p>
    <w:p w14:paraId="2AFC917F">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（8）投标人负责人为同一人或者存在控股、管理关系的不同单位；</w:t>
      </w:r>
    </w:p>
    <w:p w14:paraId="6C6F5EE5">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（9）法律、法规规定的其他情况。</w:t>
      </w:r>
    </w:p>
    <w:p w14:paraId="2B4D7DEA">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lang w:val="en-US" w:eastAsia="zh-CN"/>
        </w:rPr>
        <w:t>17.5</w:t>
      </w:r>
      <w:r>
        <w:rPr>
          <w:rFonts w:hint="eastAsia" w:hAnsi="宋体" w:cs="宋体"/>
          <w:color w:val="000000"/>
          <w:sz w:val="24"/>
          <w:szCs w:val="24"/>
          <w:highlight w:val="none"/>
        </w:rPr>
        <w:t>出现下列情形之一，招标人有权否决所有投标人的投标，并终止招标</w:t>
      </w:r>
    </w:p>
    <w:p w14:paraId="06E3E815">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（1）符合条件的投标人或者对招标文件做实质响应的投标人不足三家的。</w:t>
      </w:r>
    </w:p>
    <w:p w14:paraId="27526C01">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（2）出现影响施工公正的违法、违规行为的；</w:t>
      </w:r>
    </w:p>
    <w:p w14:paraId="6C8E1135">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（3）投标人的投标均超过了工程预算；</w:t>
      </w:r>
    </w:p>
    <w:p w14:paraId="57D7CD15">
      <w:pPr>
        <w:pStyle w:val="14"/>
        <w:spacing w:line="360" w:lineRule="auto"/>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（4）因重大变故，采购任务取消的；</w:t>
      </w:r>
    </w:p>
    <w:p w14:paraId="26CBA55A">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s="宋体"/>
          <w:color w:val="000000"/>
          <w:sz w:val="24"/>
          <w:szCs w:val="24"/>
          <w:highlight w:val="none"/>
        </w:rPr>
      </w:pPr>
      <w:r>
        <w:rPr>
          <w:rFonts w:hint="eastAsia" w:hAnsi="宋体" w:cs="宋体"/>
          <w:color w:val="000000"/>
          <w:sz w:val="24"/>
          <w:szCs w:val="24"/>
          <w:highlight w:val="none"/>
        </w:rPr>
        <w:t>（5）如招标人及其上级单位按照规定提出废标要求时，本次招标作废，同时终止招标的相关内容。</w:t>
      </w:r>
    </w:p>
    <w:p w14:paraId="508AA2AB">
      <w:pPr>
        <w:spacing w:line="360" w:lineRule="auto"/>
        <w:ind w:left="124" w:leftChars="59" w:firstLine="503" w:firstLineChars="202"/>
        <w:rPr>
          <w:rFonts w:hint="eastAsia" w:ascii="宋体" w:hAnsi="宋体" w:cs="Times New Roman"/>
          <w:b/>
          <w:spacing w:val="4"/>
          <w:sz w:val="24"/>
          <w:szCs w:val="22"/>
          <w:highlight w:val="none"/>
          <w:lang w:val="en-US" w:eastAsia="zh-CN"/>
        </w:rPr>
      </w:pPr>
      <w:r>
        <w:rPr>
          <w:rFonts w:hint="eastAsia" w:ascii="宋体" w:hAnsi="宋体" w:cs="Times New Roman"/>
          <w:b/>
          <w:spacing w:val="4"/>
          <w:sz w:val="24"/>
          <w:szCs w:val="22"/>
          <w:highlight w:val="none"/>
          <w:lang w:val="en-US" w:eastAsia="zh-CN"/>
        </w:rPr>
        <w:t>五、相关费用</w:t>
      </w:r>
      <w:bookmarkEnd w:id="38"/>
    </w:p>
    <w:p w14:paraId="59E0723B">
      <w:pPr>
        <w:spacing w:line="360" w:lineRule="auto"/>
        <w:ind w:left="124" w:leftChars="59" w:firstLine="503" w:firstLineChars="202"/>
        <w:rPr>
          <w:rFonts w:hint="eastAsia" w:ascii="宋体" w:hAnsi="宋体" w:cs="Times New Roman"/>
          <w:b/>
          <w:spacing w:val="4"/>
          <w:sz w:val="24"/>
          <w:szCs w:val="22"/>
          <w:highlight w:val="none"/>
          <w:lang w:val="en-US" w:eastAsia="zh-CN"/>
        </w:rPr>
      </w:pPr>
      <w:r>
        <w:rPr>
          <w:rFonts w:hint="eastAsia" w:ascii="宋体" w:hAnsi="宋体" w:cs="Times New Roman"/>
          <w:b/>
          <w:spacing w:val="4"/>
          <w:sz w:val="24"/>
          <w:szCs w:val="22"/>
          <w:highlight w:val="none"/>
          <w:lang w:val="en-US" w:eastAsia="zh-CN"/>
        </w:rPr>
        <w:t>18、本项目招标无相关费用</w:t>
      </w:r>
    </w:p>
    <w:p w14:paraId="24684675">
      <w:pPr>
        <w:spacing w:line="360" w:lineRule="auto"/>
        <w:ind w:left="124" w:leftChars="59" w:firstLine="503" w:firstLineChars="202"/>
        <w:rPr>
          <w:rFonts w:hint="eastAsia" w:ascii="宋体" w:hAnsi="宋体" w:cs="Times New Roman"/>
          <w:b/>
          <w:spacing w:val="4"/>
          <w:sz w:val="24"/>
          <w:szCs w:val="22"/>
          <w:highlight w:val="none"/>
          <w:lang w:val="en-US" w:eastAsia="zh-CN"/>
        </w:rPr>
      </w:pPr>
      <w:bookmarkStart w:id="39" w:name="_Toc48665531"/>
      <w:r>
        <w:rPr>
          <w:rFonts w:hint="eastAsia" w:ascii="宋体" w:hAnsi="宋体" w:cs="Times New Roman"/>
          <w:b/>
          <w:spacing w:val="4"/>
          <w:sz w:val="24"/>
          <w:szCs w:val="22"/>
          <w:highlight w:val="none"/>
          <w:lang w:val="en-US" w:eastAsia="zh-CN"/>
        </w:rPr>
        <w:t>六、解释权</w:t>
      </w:r>
      <w:bookmarkEnd w:id="39"/>
    </w:p>
    <w:p w14:paraId="74F64A1B">
      <w:pPr>
        <w:spacing w:line="360" w:lineRule="auto"/>
        <w:ind w:left="124" w:leftChars="59" w:firstLine="503" w:firstLineChars="202"/>
        <w:rPr>
          <w:rFonts w:hint="eastAsia" w:ascii="宋体" w:hAnsi="宋体" w:cs="Times New Roman"/>
          <w:b/>
          <w:spacing w:val="4"/>
          <w:sz w:val="24"/>
          <w:szCs w:val="22"/>
          <w:highlight w:val="none"/>
          <w:lang w:val="en-US" w:eastAsia="zh-CN"/>
        </w:rPr>
      </w:pPr>
      <w:r>
        <w:rPr>
          <w:rFonts w:hint="eastAsia" w:ascii="宋体" w:hAnsi="宋体" w:cs="Times New Roman"/>
          <w:b/>
          <w:spacing w:val="4"/>
          <w:sz w:val="24"/>
          <w:szCs w:val="22"/>
          <w:highlight w:val="none"/>
          <w:lang w:val="en-US" w:eastAsia="zh-CN"/>
        </w:rPr>
        <w:t>19、本招标文件的最终解释权归招标人</w:t>
      </w:r>
    </w:p>
    <w:p w14:paraId="409C48B3">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当对一个问题有多种解释时以招标人的书面解释为准。招标文件未做明示，而又有相关法律、法规规定的，招标人对此所做解释以相关的法律、法规规定为依据。</w:t>
      </w:r>
    </w:p>
    <w:p w14:paraId="25338A26">
      <w:pPr>
        <w:spacing w:line="360" w:lineRule="auto"/>
        <w:ind w:left="124" w:leftChars="59" w:firstLine="503" w:firstLineChars="202"/>
        <w:rPr>
          <w:rFonts w:hint="eastAsia" w:ascii="宋体" w:hAnsi="宋体" w:cs="Times New Roman"/>
          <w:b/>
          <w:spacing w:val="4"/>
          <w:sz w:val="24"/>
          <w:szCs w:val="22"/>
          <w:highlight w:val="none"/>
          <w:lang w:val="en-US" w:eastAsia="zh-CN"/>
        </w:rPr>
      </w:pPr>
      <w:bookmarkStart w:id="40" w:name="_Toc48665532"/>
      <w:r>
        <w:rPr>
          <w:rFonts w:hint="eastAsia" w:ascii="宋体" w:hAnsi="宋体" w:cs="Times New Roman"/>
          <w:b/>
          <w:spacing w:val="4"/>
          <w:sz w:val="24"/>
          <w:szCs w:val="22"/>
          <w:highlight w:val="none"/>
          <w:lang w:val="en-US" w:eastAsia="zh-CN"/>
        </w:rPr>
        <w:t>七、</w:t>
      </w:r>
      <w:bookmarkStart w:id="41" w:name="_Toc346372880"/>
      <w:bookmarkStart w:id="42" w:name="_Toc352332854"/>
      <w:bookmarkStart w:id="43" w:name="_Toc346306733"/>
      <w:r>
        <w:rPr>
          <w:rFonts w:hint="eastAsia" w:ascii="宋体" w:hAnsi="宋体" w:cs="Times New Roman"/>
          <w:b/>
          <w:spacing w:val="4"/>
          <w:sz w:val="24"/>
          <w:szCs w:val="22"/>
          <w:highlight w:val="none"/>
          <w:lang w:val="en-US" w:eastAsia="zh-CN"/>
        </w:rPr>
        <w:t>投标费用</w:t>
      </w:r>
      <w:bookmarkEnd w:id="41"/>
      <w:bookmarkEnd w:id="42"/>
      <w:bookmarkEnd w:id="43"/>
    </w:p>
    <w:p w14:paraId="4FE0770E">
      <w:pPr>
        <w:spacing w:line="360" w:lineRule="auto"/>
        <w:ind w:left="124" w:leftChars="59" w:firstLine="503" w:firstLineChars="202"/>
        <w:rPr>
          <w:rFonts w:hint="eastAsia" w:ascii="宋体" w:hAnsi="宋体" w:cs="Times New Roman"/>
          <w:b/>
          <w:spacing w:val="4"/>
          <w:sz w:val="24"/>
          <w:szCs w:val="22"/>
          <w:highlight w:val="none"/>
          <w:lang w:val="en-US" w:eastAsia="zh-CN"/>
        </w:rPr>
      </w:pPr>
      <w:r>
        <w:rPr>
          <w:rFonts w:hint="eastAsia" w:ascii="宋体" w:hAnsi="宋体" w:cs="Times New Roman"/>
          <w:b/>
          <w:spacing w:val="4"/>
          <w:sz w:val="24"/>
          <w:szCs w:val="22"/>
          <w:highlight w:val="none"/>
          <w:lang w:val="en-US" w:eastAsia="zh-CN"/>
        </w:rPr>
        <w:t>20、投标人自行承担参加招标有关费用</w:t>
      </w:r>
    </w:p>
    <w:p w14:paraId="72A3E419">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无论投标过程中的方法和结果如何，投标人自行承担所有与参加招标有关费用。</w:t>
      </w:r>
    </w:p>
    <w:bookmarkEnd w:id="40"/>
    <w:p w14:paraId="47CC7EA9">
      <w:pPr>
        <w:spacing w:line="360" w:lineRule="auto"/>
        <w:ind w:left="124" w:leftChars="59" w:firstLine="503" w:firstLineChars="202"/>
        <w:rPr>
          <w:rFonts w:hint="eastAsia" w:ascii="宋体" w:hAnsi="宋体" w:cs="Times New Roman"/>
          <w:b/>
          <w:spacing w:val="4"/>
          <w:sz w:val="24"/>
          <w:szCs w:val="22"/>
          <w:lang w:val="en-US" w:eastAsia="zh-CN"/>
        </w:rPr>
      </w:pPr>
      <w:r>
        <w:rPr>
          <w:rFonts w:hint="eastAsia" w:ascii="宋体" w:hAnsi="宋体" w:cs="Times New Roman"/>
          <w:b/>
          <w:spacing w:val="4"/>
          <w:sz w:val="24"/>
          <w:szCs w:val="22"/>
          <w:lang w:val="en-US" w:eastAsia="zh-CN"/>
        </w:rPr>
        <w:t>八、其他</w:t>
      </w:r>
    </w:p>
    <w:p w14:paraId="3F3902FC">
      <w:pPr>
        <w:spacing w:line="360" w:lineRule="auto"/>
        <w:ind w:left="124" w:leftChars="59" w:firstLine="503" w:firstLineChars="202"/>
        <w:rPr>
          <w:rFonts w:hint="eastAsia" w:ascii="宋体" w:hAnsi="宋体" w:cs="Times New Roman"/>
          <w:b/>
          <w:spacing w:val="4"/>
          <w:sz w:val="24"/>
          <w:szCs w:val="22"/>
          <w:lang w:val="en-US" w:eastAsia="zh-CN"/>
        </w:rPr>
      </w:pPr>
      <w:r>
        <w:rPr>
          <w:rFonts w:hint="eastAsia" w:ascii="宋体" w:hAnsi="宋体" w:cs="Times New Roman"/>
          <w:b/>
          <w:spacing w:val="4"/>
          <w:sz w:val="24"/>
          <w:szCs w:val="22"/>
          <w:lang w:val="en-US" w:eastAsia="zh-CN"/>
        </w:rPr>
        <w:t>21、合同价款的其他约束</w:t>
      </w:r>
    </w:p>
    <w:p w14:paraId="78A6EE36">
      <w:pPr>
        <w:spacing w:line="360" w:lineRule="auto"/>
        <w:ind w:firstLine="624" w:firstLineChars="252"/>
        <w:rPr>
          <w:rFonts w:hint="eastAsia" w:ascii="宋体" w:hAnsi="宋体" w:cs="Times New Roman"/>
          <w:spacing w:val="4"/>
          <w:sz w:val="24"/>
          <w:szCs w:val="22"/>
          <w:lang w:val="en-US" w:eastAsia="zh-CN"/>
        </w:rPr>
      </w:pPr>
      <w:r>
        <w:rPr>
          <w:rFonts w:hint="eastAsia" w:ascii="宋体" w:hAnsi="宋体" w:cs="Times New Roman"/>
          <w:spacing w:val="4"/>
          <w:sz w:val="24"/>
          <w:szCs w:val="22"/>
          <w:lang w:val="en-US" w:eastAsia="zh-CN"/>
        </w:rPr>
        <w:t>21.1其余未尽事宜均以协议（或合同）约定为准。</w:t>
      </w:r>
    </w:p>
    <w:p w14:paraId="2BDA94FC">
      <w:pPr>
        <w:spacing w:line="360" w:lineRule="auto"/>
        <w:ind w:firstLine="624" w:firstLineChars="252"/>
        <w:rPr>
          <w:rFonts w:hint="eastAsia" w:ascii="宋体" w:hAnsi="宋体" w:cs="Times New Roman"/>
          <w:spacing w:val="4"/>
          <w:sz w:val="24"/>
          <w:szCs w:val="22"/>
          <w:lang w:val="en-US" w:eastAsia="zh-CN"/>
        </w:rPr>
      </w:pPr>
      <w:r>
        <w:rPr>
          <w:rFonts w:hint="eastAsia" w:ascii="宋体" w:hAnsi="宋体" w:cs="Times New Roman"/>
          <w:spacing w:val="4"/>
          <w:sz w:val="24"/>
          <w:szCs w:val="22"/>
          <w:lang w:val="en-US" w:eastAsia="zh-CN"/>
        </w:rPr>
        <w:t>21.2要求招标人或相关合同签订单位提供的配合，在标书文件中说明。</w:t>
      </w:r>
    </w:p>
    <w:p w14:paraId="355A51B4">
      <w:pPr>
        <w:spacing w:line="360" w:lineRule="auto"/>
        <w:ind w:firstLine="624" w:firstLineChars="252"/>
        <w:rPr>
          <w:rFonts w:hint="eastAsia" w:ascii="宋体" w:hAnsi="宋体" w:cs="Times New Roman"/>
          <w:spacing w:val="4"/>
          <w:sz w:val="24"/>
          <w:szCs w:val="22"/>
          <w:lang w:val="en-US" w:eastAsia="zh-CN"/>
        </w:rPr>
      </w:pPr>
      <w:r>
        <w:rPr>
          <w:rFonts w:hint="eastAsia" w:ascii="宋体" w:hAnsi="宋体" w:cs="Times New Roman"/>
          <w:spacing w:val="4"/>
          <w:sz w:val="24"/>
          <w:szCs w:val="22"/>
          <w:lang w:val="en-US" w:eastAsia="zh-CN"/>
        </w:rPr>
        <w:t>21.3凡对本次招标提出的问询，均以招标人的书面答复为准。招标人的任何工作人员对投标人所作的任何口头解释、介绍、答复，对招标人和投标人均无任何约束力。</w:t>
      </w:r>
    </w:p>
    <w:p w14:paraId="3D079BE7">
      <w:pPr>
        <w:spacing w:line="360" w:lineRule="auto"/>
        <w:ind w:firstLine="624" w:firstLineChars="252"/>
        <w:rPr>
          <w:rFonts w:hint="eastAsia" w:ascii="宋体" w:hAnsi="宋体" w:cs="Times New Roman"/>
          <w:spacing w:val="4"/>
          <w:sz w:val="24"/>
          <w:szCs w:val="22"/>
          <w:lang w:val="en-US" w:eastAsia="zh-CN"/>
        </w:rPr>
      </w:pPr>
      <w:r>
        <w:rPr>
          <w:rFonts w:hint="eastAsia" w:ascii="宋体" w:hAnsi="宋体" w:cs="Times New Roman"/>
          <w:spacing w:val="4"/>
          <w:sz w:val="24"/>
          <w:szCs w:val="22"/>
          <w:lang w:val="en-US" w:eastAsia="zh-CN"/>
        </w:rPr>
        <w:t>21.4投标人应承担所有与准备和参加投标有关的全部费用，招标人在任何情况下均无义务和责任承担此费用。</w:t>
      </w:r>
    </w:p>
    <w:p w14:paraId="050189A5">
      <w:pPr>
        <w:pStyle w:val="14"/>
        <w:spacing w:line="360" w:lineRule="auto"/>
        <w:ind w:firstLine="540" w:firstLineChars="224"/>
        <w:rPr>
          <w:rFonts w:hint="eastAsia" w:hAnsi="宋体" w:cs="宋体"/>
          <w:b/>
          <w:bCs/>
          <w:color w:val="000000"/>
          <w:sz w:val="24"/>
          <w:szCs w:val="24"/>
          <w:lang w:eastAsia="zh-CN"/>
        </w:rPr>
      </w:pPr>
      <w:r>
        <w:rPr>
          <w:rFonts w:hint="eastAsia" w:hAnsi="宋体" w:cs="宋体"/>
          <w:b/>
          <w:bCs/>
          <w:color w:val="000000"/>
          <w:sz w:val="24"/>
          <w:szCs w:val="24"/>
        </w:rPr>
        <w:t>备注：本次招标最终解释权归招标人。</w:t>
      </w:r>
    </w:p>
    <w:p w14:paraId="18EF4E90">
      <w:pPr>
        <w:spacing w:line="360" w:lineRule="auto"/>
        <w:ind w:left="124" w:leftChars="59" w:firstLine="484" w:firstLineChars="202"/>
        <w:rPr>
          <w:rFonts w:hint="eastAsia" w:ascii="宋体" w:hAnsi="宋体" w:eastAsia="宋体" w:cs="宋体"/>
          <w:bCs/>
          <w:kern w:val="0"/>
          <w:sz w:val="24"/>
          <w:szCs w:val="24"/>
          <w:highlight w:val="none"/>
        </w:rPr>
      </w:pPr>
    </w:p>
    <w:p w14:paraId="6DD2980D">
      <w:pPr>
        <w:pStyle w:val="14"/>
        <w:spacing w:line="360" w:lineRule="auto"/>
        <w:jc w:val="center"/>
        <w:rPr>
          <w:rFonts w:hint="eastAsia" w:cs="宋体" w:asciiTheme="minorEastAsia" w:hAnsiTheme="minorEastAsia" w:eastAsiaTheme="minorEastAsia"/>
          <w:b/>
          <w:bCs/>
          <w:color w:val="000000"/>
          <w:sz w:val="36"/>
          <w:szCs w:val="36"/>
          <w:highlight w:val="none"/>
        </w:rPr>
      </w:pPr>
      <w:r>
        <w:rPr>
          <w:rFonts w:hint="eastAsia" w:cs="宋体" w:asciiTheme="minorEastAsia" w:hAnsiTheme="minorEastAsia" w:eastAsiaTheme="minorEastAsia"/>
          <w:b/>
          <w:bCs/>
          <w:color w:val="000000"/>
          <w:sz w:val="36"/>
          <w:szCs w:val="36"/>
          <w:highlight w:val="none"/>
          <w:lang w:val="en-US" w:eastAsia="zh-CN"/>
        </w:rPr>
        <w:t xml:space="preserve">第四部分 </w:t>
      </w:r>
      <w:r>
        <w:rPr>
          <w:rFonts w:hint="eastAsia" w:cs="宋体" w:asciiTheme="minorEastAsia" w:hAnsiTheme="minorEastAsia" w:eastAsiaTheme="minorEastAsia"/>
          <w:b/>
          <w:bCs/>
          <w:color w:val="000000"/>
          <w:sz w:val="36"/>
          <w:szCs w:val="36"/>
          <w:highlight w:val="none"/>
        </w:rPr>
        <w:t>附件（投标文件格式）</w:t>
      </w:r>
    </w:p>
    <w:p w14:paraId="19A3754A">
      <w:pPr>
        <w:spacing w:line="360" w:lineRule="auto"/>
        <w:ind w:firstLine="624" w:firstLineChars="252"/>
        <w:rPr>
          <w:rFonts w:hint="eastAsia" w:ascii="宋体" w:hAnsi="宋体" w:cs="Times New Roman"/>
          <w:spacing w:val="4"/>
          <w:sz w:val="24"/>
          <w:szCs w:val="22"/>
          <w:highlight w:val="none"/>
          <w:lang w:val="en-US" w:eastAsia="zh-CN"/>
        </w:rPr>
      </w:pPr>
    </w:p>
    <w:p w14:paraId="50A77672">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说明：</w:t>
      </w:r>
    </w:p>
    <w:p w14:paraId="13F7DFD0">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1、投标人须认真填写和提交本部分中的附件文件；</w:t>
      </w:r>
    </w:p>
    <w:p w14:paraId="71191506">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2、对附件文件中所要求的内容应给予明确的答复；</w:t>
      </w:r>
    </w:p>
    <w:p w14:paraId="1F9E88B7">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3、附件文件的签字人应保证其对一切问题的答复、所做的声明及出具的资格资质文件、资料等具有真实性和准确性；</w:t>
      </w:r>
    </w:p>
    <w:p w14:paraId="6FFE22C6">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4、招标人将对投标人提交的文件、资料等内容予以保密，但不退还；</w:t>
      </w:r>
    </w:p>
    <w:p w14:paraId="0DC48143">
      <w:pPr>
        <w:spacing w:line="360" w:lineRule="auto"/>
        <w:ind w:firstLine="624" w:firstLineChars="252"/>
        <w:rPr>
          <w:rFonts w:hint="eastAsia" w:ascii="宋体" w:hAnsi="宋体" w:cs="Times New Roman"/>
          <w:spacing w:val="4"/>
          <w:sz w:val="24"/>
          <w:szCs w:val="22"/>
          <w:highlight w:val="none"/>
          <w:lang w:val="en-US" w:eastAsia="zh-CN"/>
        </w:rPr>
      </w:pPr>
      <w:r>
        <w:rPr>
          <w:rFonts w:hint="eastAsia" w:ascii="宋体" w:hAnsi="宋体" w:cs="Times New Roman"/>
          <w:spacing w:val="4"/>
          <w:sz w:val="24"/>
          <w:szCs w:val="22"/>
          <w:highlight w:val="none"/>
          <w:lang w:val="en-US" w:eastAsia="zh-CN"/>
        </w:rPr>
        <w:t>5、所有附件文件应以中文书写，作为投标文件的组成部分。</w:t>
      </w:r>
    </w:p>
    <w:p w14:paraId="2B82BF2C">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6279167F">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2C46D9C4">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22ADC141">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5BC120BC">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66FA4A94">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64EFAE96">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29B7D8C9">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13B973BC">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7F7D6309">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5A7A0472">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17ACBFEE">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0E483446">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1DDD95A6">
      <w:pPr>
        <w:pStyle w:val="14"/>
        <w:keepNext w:val="0"/>
        <w:keepLines w:val="0"/>
        <w:pageBreakBefore w:val="0"/>
        <w:widowControl w:val="0"/>
        <w:kinsoku/>
        <w:wordWrap/>
        <w:overflowPunct/>
        <w:topLinePunct w:val="0"/>
        <w:autoSpaceDE/>
        <w:autoSpaceDN/>
        <w:bidi w:val="0"/>
        <w:spacing w:line="360" w:lineRule="auto"/>
        <w:jc w:val="center"/>
        <w:textAlignment w:val="auto"/>
        <w:rPr>
          <w:rFonts w:hint="eastAsia" w:cs="宋体" w:asciiTheme="minorEastAsia" w:hAnsiTheme="minorEastAsia" w:eastAsiaTheme="minorEastAsia"/>
          <w:b/>
          <w:bCs/>
          <w:color w:val="000000"/>
          <w:sz w:val="24"/>
          <w:szCs w:val="24"/>
          <w:highlight w:val="none"/>
        </w:rPr>
      </w:pPr>
    </w:p>
    <w:p w14:paraId="5FDDC912">
      <w:pPr>
        <w:pStyle w:val="14"/>
        <w:spacing w:line="360" w:lineRule="auto"/>
        <w:jc w:val="left"/>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附件格式</w:t>
      </w:r>
      <w:r>
        <w:rPr>
          <w:rFonts w:asciiTheme="minorEastAsia" w:hAnsiTheme="minorEastAsia" w:eastAsiaTheme="minorEastAsia"/>
          <w:b/>
          <w:bCs/>
          <w:color w:val="000000"/>
          <w:sz w:val="24"/>
          <w:szCs w:val="24"/>
          <w:highlight w:val="none"/>
        </w:rPr>
        <w:t>1</w:t>
      </w:r>
    </w:p>
    <w:p w14:paraId="40A020FC">
      <w:pPr>
        <w:pStyle w:val="14"/>
        <w:spacing w:line="360" w:lineRule="auto"/>
        <w:jc w:val="center"/>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投标书</w:t>
      </w:r>
    </w:p>
    <w:p w14:paraId="4FEFF60A">
      <w:pPr>
        <w:spacing w:line="360" w:lineRule="auto"/>
        <w:rPr>
          <w:rFonts w:asciiTheme="minorEastAsia" w:hAnsiTheme="minorEastAsia" w:eastAsiaTheme="minorEastAsia"/>
          <w:color w:val="000000"/>
          <w:sz w:val="24"/>
          <w:szCs w:val="24"/>
          <w:highlight w:val="none"/>
          <w:u w:val="single"/>
        </w:rPr>
      </w:pPr>
      <w:r>
        <w:rPr>
          <w:rFonts w:hint="eastAsia" w:asciiTheme="minorEastAsia" w:hAnsiTheme="minorEastAsia" w:eastAsiaTheme="minorEastAsia"/>
          <w:color w:val="000000"/>
          <w:sz w:val="24"/>
          <w:szCs w:val="24"/>
          <w:highlight w:val="none"/>
        </w:rPr>
        <w:t>致</w:t>
      </w:r>
      <w:r>
        <w:rPr>
          <w:rFonts w:hint="eastAsia" w:asciiTheme="minorEastAsia" w:hAnsiTheme="minorEastAsia" w:eastAsiaTheme="minorEastAsia"/>
          <w:color w:val="000000"/>
          <w:sz w:val="24"/>
          <w:szCs w:val="24"/>
          <w:highlight w:val="none"/>
          <w:u w:val="single"/>
        </w:rPr>
        <w:t>（招标人名称）                            ：</w:t>
      </w:r>
    </w:p>
    <w:p w14:paraId="6DD05984">
      <w:pPr>
        <w:spacing w:line="360" w:lineRule="auto"/>
        <w:ind w:firstLine="64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根据贵方为（</w:t>
      </w:r>
      <w:r>
        <w:rPr>
          <w:rFonts w:hint="eastAsia" w:asciiTheme="minorEastAsia" w:hAnsiTheme="minorEastAsia" w:eastAsiaTheme="minorEastAsia"/>
          <w:color w:val="000000"/>
          <w:sz w:val="24"/>
          <w:szCs w:val="24"/>
          <w:highlight w:val="none"/>
          <w:u w:val="single"/>
        </w:rPr>
        <w:t xml:space="preserve">项目名称）                         </w:t>
      </w:r>
      <w:r>
        <w:rPr>
          <w:rFonts w:hint="eastAsia" w:asciiTheme="minorEastAsia" w:hAnsiTheme="minorEastAsia" w:eastAsiaTheme="minorEastAsia"/>
          <w:color w:val="000000"/>
          <w:sz w:val="24"/>
          <w:szCs w:val="24"/>
          <w:highlight w:val="none"/>
        </w:rPr>
        <w:t>招标项目的投标邀请，签字代表</w:t>
      </w:r>
      <w:r>
        <w:rPr>
          <w:rFonts w:hint="eastAsia" w:asciiTheme="minorEastAsia" w:hAnsiTheme="minorEastAsia" w:eastAsiaTheme="minorEastAsia"/>
          <w:color w:val="000000"/>
          <w:sz w:val="24"/>
          <w:szCs w:val="24"/>
          <w:highlight w:val="none"/>
          <w:u w:val="single"/>
        </w:rPr>
        <w:t xml:space="preserve">（全名、职务）           </w:t>
      </w:r>
      <w:r>
        <w:rPr>
          <w:rFonts w:hint="eastAsia" w:asciiTheme="minorEastAsia" w:hAnsiTheme="minorEastAsia" w:eastAsiaTheme="minorEastAsia"/>
          <w:color w:val="000000"/>
          <w:sz w:val="24"/>
          <w:szCs w:val="24"/>
          <w:highlight w:val="none"/>
        </w:rPr>
        <w:t>经正式授权并代表投标人</w:t>
      </w:r>
      <w:r>
        <w:rPr>
          <w:rFonts w:hint="eastAsia" w:asciiTheme="minorEastAsia" w:hAnsiTheme="minorEastAsia" w:eastAsiaTheme="minorEastAsia"/>
          <w:color w:val="000000"/>
          <w:sz w:val="24"/>
          <w:szCs w:val="24"/>
          <w:highlight w:val="none"/>
          <w:u w:val="single"/>
        </w:rPr>
        <w:t xml:space="preserve">（投标人名称、地址）              </w:t>
      </w:r>
      <w:r>
        <w:rPr>
          <w:rFonts w:hint="eastAsia" w:asciiTheme="minorEastAsia" w:hAnsiTheme="minorEastAsia" w:eastAsiaTheme="minorEastAsia"/>
          <w:color w:val="000000"/>
          <w:sz w:val="24"/>
          <w:szCs w:val="24"/>
          <w:highlight w:val="none"/>
        </w:rPr>
        <w:t>提交下述文件：</w:t>
      </w:r>
    </w:p>
    <w:p w14:paraId="2DE8E9D2">
      <w:pPr>
        <w:spacing w:line="360" w:lineRule="auto"/>
        <w:ind w:firstLine="480" w:firstLineChars="200"/>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lang w:val="en-US" w:eastAsia="zh-CN"/>
        </w:rPr>
        <w:t>投标</w:t>
      </w:r>
      <w:r>
        <w:rPr>
          <w:rFonts w:hint="eastAsia" w:asciiTheme="minorEastAsia" w:hAnsiTheme="minorEastAsia" w:eastAsiaTheme="minorEastAsia"/>
          <w:color w:val="000000"/>
          <w:sz w:val="24"/>
          <w:szCs w:val="24"/>
          <w:highlight w:val="none"/>
        </w:rPr>
        <w:t>文件（正本</w:t>
      </w:r>
      <w:r>
        <w:rPr>
          <w:rFonts w:asciiTheme="minorEastAsia" w:hAnsiTheme="minorEastAsia" w:eastAsiaTheme="minorEastAsia"/>
          <w:color w:val="000000"/>
          <w:sz w:val="24"/>
          <w:szCs w:val="24"/>
          <w:highlight w:val="none"/>
          <w:u w:val="single"/>
        </w:rPr>
        <w:t>1</w:t>
      </w:r>
      <w:r>
        <w:rPr>
          <w:rFonts w:hint="eastAsia" w:asciiTheme="minorEastAsia" w:hAnsiTheme="minorEastAsia" w:eastAsiaTheme="minorEastAsia"/>
          <w:color w:val="000000"/>
          <w:sz w:val="24"/>
          <w:szCs w:val="24"/>
          <w:highlight w:val="none"/>
        </w:rPr>
        <w:t>份）</w:t>
      </w:r>
      <w:r>
        <w:rPr>
          <w:rFonts w:hint="eastAsia" w:asciiTheme="minorEastAsia" w:hAnsiTheme="minorEastAsia" w:eastAsiaTheme="minorEastAsia"/>
          <w:color w:val="000000"/>
          <w:sz w:val="24"/>
          <w:szCs w:val="24"/>
          <w:highlight w:val="none"/>
          <w:lang w:eastAsia="zh-CN"/>
        </w:rPr>
        <w:t>。</w:t>
      </w:r>
    </w:p>
    <w:p w14:paraId="62424C7D">
      <w:pPr>
        <w:spacing w:line="360" w:lineRule="auto"/>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据此，签字代表宣布同意如下：</w:t>
      </w:r>
    </w:p>
    <w:p w14:paraId="1A976379">
      <w:pPr>
        <w:spacing w:line="360" w:lineRule="auto"/>
        <w:ind w:firstLine="480" w:firstLineChars="200"/>
        <w:rPr>
          <w:rFonts w:asciiTheme="minorEastAsia" w:hAnsiTheme="minorEastAsia" w:eastAsiaTheme="minorEastAsia"/>
          <w:color w:val="000000"/>
          <w:sz w:val="24"/>
          <w:szCs w:val="24"/>
          <w:highlight w:val="none"/>
        </w:rPr>
      </w:pPr>
      <w:r>
        <w:rPr>
          <w:rFonts w:asciiTheme="minorEastAsia" w:hAnsiTheme="minorEastAsia" w:eastAsiaTheme="minorEastAsia"/>
          <w:color w:val="000000"/>
          <w:sz w:val="24"/>
          <w:szCs w:val="24"/>
          <w:highlight w:val="none"/>
        </w:rPr>
        <w:t>1</w:t>
      </w:r>
      <w:r>
        <w:rPr>
          <w:rFonts w:hint="eastAsia" w:asciiTheme="minorEastAsia" w:hAnsiTheme="minorEastAsia" w:eastAsiaTheme="minorEastAsia"/>
          <w:color w:val="000000"/>
          <w:sz w:val="24"/>
          <w:szCs w:val="24"/>
          <w:highlight w:val="none"/>
        </w:rPr>
        <w:t>.投标人将按招标文件的规定履行合同责任和义务。</w:t>
      </w:r>
    </w:p>
    <w:p w14:paraId="13EA2181">
      <w:pPr>
        <w:spacing w:line="360" w:lineRule="auto"/>
        <w:ind w:firstLine="480" w:firstLineChars="200"/>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lang w:val="en-US" w:eastAsia="zh-CN"/>
        </w:rPr>
        <w:t>2</w:t>
      </w:r>
      <w:r>
        <w:rPr>
          <w:rFonts w:hint="eastAsia" w:asciiTheme="minorEastAsia" w:hAnsiTheme="minorEastAsia" w:eastAsiaTheme="minorEastAsia"/>
          <w:color w:val="000000"/>
          <w:sz w:val="24"/>
          <w:szCs w:val="24"/>
          <w:highlight w:val="none"/>
        </w:rPr>
        <w:t>.投标人已详细审查全部招标文件，包括修改文件（如有的话）以及全部参考资料和有关附件，我们完全理解并同意放弃对这方面有不明及误解的权利。</w:t>
      </w:r>
    </w:p>
    <w:p w14:paraId="5AA44D4D">
      <w:pPr>
        <w:spacing w:line="360" w:lineRule="auto"/>
        <w:ind w:firstLine="480" w:firstLineChars="200"/>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lang w:val="en-US" w:eastAsia="zh-CN"/>
        </w:rPr>
        <w:t>3</w:t>
      </w:r>
      <w:r>
        <w:rPr>
          <w:rFonts w:hint="eastAsia" w:asciiTheme="minorEastAsia" w:hAnsiTheme="minorEastAsia" w:eastAsiaTheme="minorEastAsia"/>
          <w:color w:val="000000"/>
          <w:sz w:val="24"/>
          <w:szCs w:val="24"/>
          <w:highlight w:val="none"/>
        </w:rPr>
        <w:t>.投标有效期：自投标截止之日起30个日历日内有效。</w:t>
      </w:r>
    </w:p>
    <w:p w14:paraId="02542496">
      <w:pPr>
        <w:spacing w:line="360" w:lineRule="auto"/>
        <w:ind w:firstLine="480" w:firstLineChars="200"/>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lang w:val="en-US" w:eastAsia="zh-CN"/>
        </w:rPr>
        <w:t>4</w:t>
      </w:r>
      <w:r>
        <w:rPr>
          <w:rFonts w:hint="eastAsia" w:asciiTheme="minorEastAsia" w:hAnsiTheme="minorEastAsia" w:eastAsiaTheme="minorEastAsia"/>
          <w:color w:val="000000"/>
          <w:sz w:val="24"/>
          <w:szCs w:val="24"/>
          <w:highlight w:val="none"/>
        </w:rPr>
        <w:t>.投标人同意提供贵方要求的可能与投标有关的一切数据和资料，完全理解贵方不一定要接受最低价的投标或收到的任何投标。</w:t>
      </w:r>
    </w:p>
    <w:p w14:paraId="1720890D">
      <w:pPr>
        <w:spacing w:line="360" w:lineRule="auto"/>
        <w:ind w:left="43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lang w:val="en-US" w:eastAsia="zh-CN"/>
        </w:rPr>
        <w:t>5</w:t>
      </w:r>
      <w:r>
        <w:rPr>
          <w:rFonts w:hint="eastAsia" w:asciiTheme="minorEastAsia" w:hAnsiTheme="minorEastAsia" w:eastAsiaTheme="minorEastAsia"/>
          <w:color w:val="000000"/>
          <w:sz w:val="24"/>
          <w:szCs w:val="24"/>
          <w:highlight w:val="none"/>
        </w:rPr>
        <w:t>.与本投标有关的一切正式往来通讯请寄：</w:t>
      </w:r>
    </w:p>
    <w:p w14:paraId="09D7CFB9">
      <w:pPr>
        <w:spacing w:line="360" w:lineRule="auto"/>
        <w:ind w:left="79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地址：                                   邮编：</w:t>
      </w:r>
    </w:p>
    <w:p w14:paraId="212F5B40">
      <w:pPr>
        <w:spacing w:line="360" w:lineRule="auto"/>
        <w:ind w:left="79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电话：                                   传真：</w:t>
      </w:r>
    </w:p>
    <w:p w14:paraId="12503534">
      <w:pPr>
        <w:spacing w:line="360" w:lineRule="auto"/>
        <w:ind w:left="795"/>
        <w:rPr>
          <w:rFonts w:asciiTheme="minorEastAsia" w:hAnsiTheme="minorEastAsia" w:eastAsiaTheme="minorEastAsia"/>
          <w:color w:val="000000"/>
          <w:sz w:val="24"/>
          <w:szCs w:val="24"/>
          <w:highlight w:val="none"/>
        </w:rPr>
      </w:pPr>
    </w:p>
    <w:p w14:paraId="5A64773F">
      <w:pPr>
        <w:spacing w:line="360" w:lineRule="auto"/>
        <w:ind w:left="79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投标人代表签字：                 职务：                 日期：</w:t>
      </w:r>
    </w:p>
    <w:p w14:paraId="7A314CE2">
      <w:pPr>
        <w:spacing w:line="360" w:lineRule="auto"/>
        <w:ind w:left="79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投标人代表姓名、职务（印刷体）：</w:t>
      </w:r>
    </w:p>
    <w:p w14:paraId="02014763">
      <w:pPr>
        <w:spacing w:line="360" w:lineRule="auto"/>
        <w:ind w:left="79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投标人名称（及公章）：</w:t>
      </w:r>
    </w:p>
    <w:p w14:paraId="52F5F80B">
      <w:pPr>
        <w:spacing w:line="360" w:lineRule="auto"/>
        <w:ind w:left="795"/>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日期：        年       月       日</w:t>
      </w:r>
    </w:p>
    <w:p w14:paraId="5BBD215C">
      <w:pPr>
        <w:rPr>
          <w:rFonts w:asciiTheme="minorEastAsia" w:hAnsiTheme="minorEastAsia" w:eastAsiaTheme="minorEastAsia"/>
          <w:color w:val="000000"/>
          <w:sz w:val="24"/>
          <w:szCs w:val="24"/>
          <w:highlight w:val="none"/>
        </w:rPr>
      </w:pPr>
      <w:r>
        <w:rPr>
          <w:rFonts w:asciiTheme="minorEastAsia" w:hAnsiTheme="minorEastAsia" w:eastAsiaTheme="minorEastAsia"/>
          <w:color w:val="000000"/>
          <w:sz w:val="24"/>
          <w:szCs w:val="24"/>
          <w:highlight w:val="none"/>
        </w:rPr>
        <w:br w:type="page"/>
      </w:r>
    </w:p>
    <w:p w14:paraId="2BBB37D9">
      <w:pPr>
        <w:rPr>
          <w:rFonts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附件格式</w:t>
      </w:r>
      <w:r>
        <w:rPr>
          <w:rFonts w:asciiTheme="minorEastAsia" w:hAnsiTheme="minorEastAsia" w:eastAsiaTheme="minorEastAsia"/>
          <w:b/>
          <w:bCs/>
          <w:color w:val="000000"/>
          <w:sz w:val="24"/>
          <w:szCs w:val="24"/>
          <w:highlight w:val="none"/>
        </w:rPr>
        <w:t>2</w:t>
      </w:r>
    </w:p>
    <w:p w14:paraId="756D7D03">
      <w:pPr>
        <w:jc w:val="center"/>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投标文件主要内容</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20"/>
        <w:gridCol w:w="1276"/>
      </w:tblGrid>
      <w:tr w14:paraId="3988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B4EA482">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序号</w:t>
            </w:r>
          </w:p>
        </w:tc>
        <w:tc>
          <w:tcPr>
            <w:tcW w:w="6520" w:type="dxa"/>
            <w:vAlign w:val="center"/>
          </w:tcPr>
          <w:p w14:paraId="3119A73B">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主要内容</w:t>
            </w:r>
          </w:p>
        </w:tc>
        <w:tc>
          <w:tcPr>
            <w:tcW w:w="1276" w:type="dxa"/>
            <w:vAlign w:val="center"/>
          </w:tcPr>
          <w:p w14:paraId="3C37AB5B">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索引</w:t>
            </w:r>
          </w:p>
        </w:tc>
      </w:tr>
      <w:tr w14:paraId="16F0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5EA658F">
            <w:pPr>
              <w:jc w:val="center"/>
              <w:rPr>
                <w:rFonts w:asciiTheme="minorEastAsia" w:hAnsiTheme="minorEastAsia" w:eastAsiaTheme="minorEastAsia"/>
                <w:color w:val="000000"/>
                <w:sz w:val="24"/>
                <w:szCs w:val="24"/>
                <w:highlight w:val="none"/>
              </w:rPr>
            </w:pPr>
          </w:p>
        </w:tc>
        <w:tc>
          <w:tcPr>
            <w:tcW w:w="6520" w:type="dxa"/>
            <w:vAlign w:val="center"/>
          </w:tcPr>
          <w:p w14:paraId="466998E9">
            <w:pPr>
              <w:jc w:val="center"/>
              <w:rPr>
                <w:rFonts w:asciiTheme="minorEastAsia" w:hAnsiTheme="minorEastAsia" w:eastAsiaTheme="minorEastAsia"/>
                <w:color w:val="000000"/>
                <w:sz w:val="24"/>
                <w:szCs w:val="24"/>
                <w:highlight w:val="none"/>
              </w:rPr>
            </w:pPr>
          </w:p>
        </w:tc>
        <w:tc>
          <w:tcPr>
            <w:tcW w:w="1276" w:type="dxa"/>
            <w:vAlign w:val="center"/>
          </w:tcPr>
          <w:p w14:paraId="5B46B0BB">
            <w:pPr>
              <w:jc w:val="center"/>
              <w:rPr>
                <w:rFonts w:asciiTheme="minorEastAsia" w:hAnsiTheme="minorEastAsia" w:eastAsiaTheme="minorEastAsia"/>
                <w:color w:val="000000"/>
                <w:sz w:val="24"/>
                <w:szCs w:val="24"/>
                <w:highlight w:val="none"/>
              </w:rPr>
            </w:pPr>
          </w:p>
        </w:tc>
      </w:tr>
      <w:tr w14:paraId="756B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0FDA199">
            <w:pPr>
              <w:jc w:val="center"/>
              <w:rPr>
                <w:rFonts w:asciiTheme="minorEastAsia" w:hAnsiTheme="minorEastAsia" w:eastAsiaTheme="minorEastAsia"/>
                <w:color w:val="000000"/>
                <w:sz w:val="24"/>
                <w:szCs w:val="24"/>
                <w:highlight w:val="none"/>
              </w:rPr>
            </w:pPr>
          </w:p>
        </w:tc>
        <w:tc>
          <w:tcPr>
            <w:tcW w:w="6520" w:type="dxa"/>
            <w:vAlign w:val="center"/>
          </w:tcPr>
          <w:p w14:paraId="5CE51C75">
            <w:pPr>
              <w:jc w:val="center"/>
              <w:rPr>
                <w:rFonts w:asciiTheme="minorEastAsia" w:hAnsiTheme="minorEastAsia" w:eastAsiaTheme="minorEastAsia"/>
                <w:color w:val="000000"/>
                <w:sz w:val="24"/>
                <w:szCs w:val="24"/>
                <w:highlight w:val="none"/>
              </w:rPr>
            </w:pPr>
          </w:p>
        </w:tc>
        <w:tc>
          <w:tcPr>
            <w:tcW w:w="1276" w:type="dxa"/>
            <w:vAlign w:val="center"/>
          </w:tcPr>
          <w:p w14:paraId="5C68FDAC">
            <w:pPr>
              <w:jc w:val="center"/>
              <w:rPr>
                <w:rFonts w:asciiTheme="minorEastAsia" w:hAnsiTheme="minorEastAsia" w:eastAsiaTheme="minorEastAsia"/>
                <w:color w:val="000000"/>
                <w:sz w:val="24"/>
                <w:szCs w:val="24"/>
                <w:highlight w:val="none"/>
              </w:rPr>
            </w:pPr>
          </w:p>
        </w:tc>
      </w:tr>
      <w:tr w14:paraId="22CA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23DB74A">
            <w:pPr>
              <w:jc w:val="center"/>
              <w:rPr>
                <w:rFonts w:asciiTheme="minorEastAsia" w:hAnsiTheme="minorEastAsia" w:eastAsiaTheme="minorEastAsia"/>
                <w:color w:val="000000"/>
                <w:sz w:val="24"/>
                <w:szCs w:val="24"/>
                <w:highlight w:val="none"/>
              </w:rPr>
            </w:pPr>
          </w:p>
        </w:tc>
        <w:tc>
          <w:tcPr>
            <w:tcW w:w="6520" w:type="dxa"/>
            <w:vAlign w:val="center"/>
          </w:tcPr>
          <w:p w14:paraId="3652E41A">
            <w:pPr>
              <w:jc w:val="center"/>
              <w:rPr>
                <w:rFonts w:asciiTheme="minorEastAsia" w:hAnsiTheme="minorEastAsia" w:eastAsiaTheme="minorEastAsia"/>
                <w:color w:val="000000"/>
                <w:sz w:val="24"/>
                <w:szCs w:val="24"/>
                <w:highlight w:val="none"/>
              </w:rPr>
            </w:pPr>
          </w:p>
        </w:tc>
        <w:tc>
          <w:tcPr>
            <w:tcW w:w="1276" w:type="dxa"/>
            <w:vAlign w:val="center"/>
          </w:tcPr>
          <w:p w14:paraId="08552528">
            <w:pPr>
              <w:jc w:val="center"/>
              <w:rPr>
                <w:rFonts w:asciiTheme="minorEastAsia" w:hAnsiTheme="minorEastAsia" w:eastAsiaTheme="minorEastAsia"/>
                <w:color w:val="000000"/>
                <w:sz w:val="24"/>
                <w:szCs w:val="24"/>
                <w:highlight w:val="none"/>
              </w:rPr>
            </w:pPr>
          </w:p>
        </w:tc>
      </w:tr>
      <w:tr w14:paraId="7206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B3DCCB7">
            <w:pPr>
              <w:jc w:val="center"/>
              <w:rPr>
                <w:rFonts w:asciiTheme="minorEastAsia" w:hAnsiTheme="minorEastAsia" w:eastAsiaTheme="minorEastAsia"/>
                <w:color w:val="000000"/>
                <w:sz w:val="24"/>
                <w:szCs w:val="24"/>
                <w:highlight w:val="none"/>
              </w:rPr>
            </w:pPr>
          </w:p>
        </w:tc>
        <w:tc>
          <w:tcPr>
            <w:tcW w:w="6520" w:type="dxa"/>
            <w:vAlign w:val="center"/>
          </w:tcPr>
          <w:p w14:paraId="30FA3030">
            <w:pPr>
              <w:jc w:val="center"/>
              <w:rPr>
                <w:rFonts w:asciiTheme="minorEastAsia" w:hAnsiTheme="minorEastAsia" w:eastAsiaTheme="minorEastAsia"/>
                <w:color w:val="000000"/>
                <w:sz w:val="24"/>
                <w:szCs w:val="24"/>
                <w:highlight w:val="none"/>
              </w:rPr>
            </w:pPr>
          </w:p>
        </w:tc>
        <w:tc>
          <w:tcPr>
            <w:tcW w:w="1276" w:type="dxa"/>
            <w:vAlign w:val="center"/>
          </w:tcPr>
          <w:p w14:paraId="37232446">
            <w:pPr>
              <w:jc w:val="center"/>
              <w:rPr>
                <w:rFonts w:asciiTheme="minorEastAsia" w:hAnsiTheme="minorEastAsia" w:eastAsiaTheme="minorEastAsia"/>
                <w:color w:val="000000"/>
                <w:sz w:val="24"/>
                <w:szCs w:val="24"/>
                <w:highlight w:val="none"/>
              </w:rPr>
            </w:pPr>
          </w:p>
        </w:tc>
      </w:tr>
      <w:tr w14:paraId="6C66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F5A7BF2">
            <w:pPr>
              <w:jc w:val="center"/>
              <w:rPr>
                <w:rFonts w:asciiTheme="minorEastAsia" w:hAnsiTheme="minorEastAsia" w:eastAsiaTheme="minorEastAsia"/>
                <w:color w:val="000000"/>
                <w:sz w:val="24"/>
                <w:szCs w:val="24"/>
                <w:highlight w:val="none"/>
              </w:rPr>
            </w:pPr>
          </w:p>
        </w:tc>
        <w:tc>
          <w:tcPr>
            <w:tcW w:w="6520" w:type="dxa"/>
            <w:vAlign w:val="center"/>
          </w:tcPr>
          <w:p w14:paraId="7327EC14">
            <w:pPr>
              <w:jc w:val="center"/>
              <w:rPr>
                <w:rFonts w:asciiTheme="minorEastAsia" w:hAnsiTheme="minorEastAsia" w:eastAsiaTheme="minorEastAsia"/>
                <w:color w:val="000000"/>
                <w:sz w:val="24"/>
                <w:szCs w:val="24"/>
                <w:highlight w:val="none"/>
              </w:rPr>
            </w:pPr>
          </w:p>
        </w:tc>
        <w:tc>
          <w:tcPr>
            <w:tcW w:w="1276" w:type="dxa"/>
            <w:vAlign w:val="center"/>
          </w:tcPr>
          <w:p w14:paraId="66CDB384">
            <w:pPr>
              <w:jc w:val="center"/>
              <w:rPr>
                <w:rFonts w:asciiTheme="minorEastAsia" w:hAnsiTheme="minorEastAsia" w:eastAsiaTheme="minorEastAsia"/>
                <w:color w:val="000000"/>
                <w:sz w:val="24"/>
                <w:szCs w:val="24"/>
                <w:highlight w:val="none"/>
              </w:rPr>
            </w:pPr>
          </w:p>
        </w:tc>
      </w:tr>
      <w:tr w14:paraId="6FAD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CD7DA6">
            <w:pPr>
              <w:jc w:val="center"/>
              <w:rPr>
                <w:rFonts w:asciiTheme="minorEastAsia" w:hAnsiTheme="minorEastAsia" w:eastAsiaTheme="minorEastAsia"/>
                <w:color w:val="000000"/>
                <w:sz w:val="24"/>
                <w:szCs w:val="24"/>
                <w:highlight w:val="none"/>
              </w:rPr>
            </w:pPr>
          </w:p>
        </w:tc>
        <w:tc>
          <w:tcPr>
            <w:tcW w:w="6520" w:type="dxa"/>
            <w:vAlign w:val="center"/>
          </w:tcPr>
          <w:p w14:paraId="20F61BFF">
            <w:pPr>
              <w:jc w:val="center"/>
              <w:rPr>
                <w:rFonts w:asciiTheme="minorEastAsia" w:hAnsiTheme="minorEastAsia" w:eastAsiaTheme="minorEastAsia"/>
                <w:color w:val="000000"/>
                <w:sz w:val="24"/>
                <w:szCs w:val="24"/>
                <w:highlight w:val="none"/>
              </w:rPr>
            </w:pPr>
          </w:p>
        </w:tc>
        <w:tc>
          <w:tcPr>
            <w:tcW w:w="1276" w:type="dxa"/>
            <w:vAlign w:val="center"/>
          </w:tcPr>
          <w:p w14:paraId="26EC216E">
            <w:pPr>
              <w:jc w:val="center"/>
              <w:rPr>
                <w:rFonts w:asciiTheme="minorEastAsia" w:hAnsiTheme="minorEastAsia" w:eastAsiaTheme="minorEastAsia"/>
                <w:color w:val="000000"/>
                <w:sz w:val="24"/>
                <w:szCs w:val="24"/>
                <w:highlight w:val="none"/>
              </w:rPr>
            </w:pPr>
          </w:p>
        </w:tc>
      </w:tr>
      <w:tr w14:paraId="262C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7C5952E">
            <w:pPr>
              <w:jc w:val="center"/>
              <w:rPr>
                <w:rFonts w:asciiTheme="minorEastAsia" w:hAnsiTheme="minorEastAsia" w:eastAsiaTheme="minorEastAsia"/>
                <w:color w:val="000000"/>
                <w:sz w:val="24"/>
                <w:szCs w:val="24"/>
                <w:highlight w:val="none"/>
              </w:rPr>
            </w:pPr>
          </w:p>
        </w:tc>
        <w:tc>
          <w:tcPr>
            <w:tcW w:w="6520" w:type="dxa"/>
            <w:vAlign w:val="center"/>
          </w:tcPr>
          <w:p w14:paraId="6BFFEB85">
            <w:pPr>
              <w:jc w:val="center"/>
              <w:rPr>
                <w:rFonts w:asciiTheme="minorEastAsia" w:hAnsiTheme="minorEastAsia" w:eastAsiaTheme="minorEastAsia"/>
                <w:color w:val="000000"/>
                <w:sz w:val="24"/>
                <w:szCs w:val="24"/>
                <w:highlight w:val="none"/>
              </w:rPr>
            </w:pPr>
          </w:p>
        </w:tc>
        <w:tc>
          <w:tcPr>
            <w:tcW w:w="1276" w:type="dxa"/>
            <w:vAlign w:val="center"/>
          </w:tcPr>
          <w:p w14:paraId="0052CC95">
            <w:pPr>
              <w:jc w:val="center"/>
              <w:rPr>
                <w:rFonts w:asciiTheme="minorEastAsia" w:hAnsiTheme="minorEastAsia" w:eastAsiaTheme="minorEastAsia"/>
                <w:color w:val="000000"/>
                <w:sz w:val="24"/>
                <w:szCs w:val="24"/>
                <w:highlight w:val="none"/>
              </w:rPr>
            </w:pPr>
          </w:p>
        </w:tc>
      </w:tr>
      <w:tr w14:paraId="1F3F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66DF7E">
            <w:pPr>
              <w:jc w:val="center"/>
              <w:rPr>
                <w:rFonts w:asciiTheme="minorEastAsia" w:hAnsiTheme="minorEastAsia" w:eastAsiaTheme="minorEastAsia"/>
                <w:color w:val="000000"/>
                <w:sz w:val="24"/>
                <w:szCs w:val="24"/>
                <w:highlight w:val="none"/>
              </w:rPr>
            </w:pPr>
          </w:p>
        </w:tc>
        <w:tc>
          <w:tcPr>
            <w:tcW w:w="6520" w:type="dxa"/>
            <w:vAlign w:val="center"/>
          </w:tcPr>
          <w:p w14:paraId="449BEA1F">
            <w:pPr>
              <w:jc w:val="center"/>
              <w:rPr>
                <w:rFonts w:asciiTheme="minorEastAsia" w:hAnsiTheme="minorEastAsia" w:eastAsiaTheme="minorEastAsia"/>
                <w:color w:val="000000"/>
                <w:sz w:val="24"/>
                <w:szCs w:val="24"/>
                <w:highlight w:val="none"/>
              </w:rPr>
            </w:pPr>
          </w:p>
        </w:tc>
        <w:tc>
          <w:tcPr>
            <w:tcW w:w="1276" w:type="dxa"/>
            <w:vAlign w:val="center"/>
          </w:tcPr>
          <w:p w14:paraId="78C68A11">
            <w:pPr>
              <w:jc w:val="center"/>
              <w:rPr>
                <w:rFonts w:asciiTheme="minorEastAsia" w:hAnsiTheme="minorEastAsia" w:eastAsiaTheme="minorEastAsia"/>
                <w:color w:val="000000"/>
                <w:sz w:val="24"/>
                <w:szCs w:val="24"/>
                <w:highlight w:val="none"/>
              </w:rPr>
            </w:pPr>
          </w:p>
        </w:tc>
      </w:tr>
      <w:tr w14:paraId="20DA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8FBA57">
            <w:pPr>
              <w:jc w:val="center"/>
              <w:rPr>
                <w:rFonts w:asciiTheme="minorEastAsia" w:hAnsiTheme="minorEastAsia" w:eastAsiaTheme="minorEastAsia"/>
                <w:color w:val="000000"/>
                <w:sz w:val="24"/>
                <w:szCs w:val="24"/>
                <w:highlight w:val="none"/>
              </w:rPr>
            </w:pPr>
          </w:p>
        </w:tc>
        <w:tc>
          <w:tcPr>
            <w:tcW w:w="6520" w:type="dxa"/>
            <w:vAlign w:val="center"/>
          </w:tcPr>
          <w:p w14:paraId="319C550E">
            <w:pPr>
              <w:jc w:val="center"/>
              <w:rPr>
                <w:rFonts w:asciiTheme="minorEastAsia" w:hAnsiTheme="minorEastAsia" w:eastAsiaTheme="minorEastAsia"/>
                <w:color w:val="000000"/>
                <w:sz w:val="24"/>
                <w:szCs w:val="24"/>
                <w:highlight w:val="none"/>
              </w:rPr>
            </w:pPr>
          </w:p>
        </w:tc>
        <w:tc>
          <w:tcPr>
            <w:tcW w:w="1276" w:type="dxa"/>
            <w:vAlign w:val="center"/>
          </w:tcPr>
          <w:p w14:paraId="261CFE16">
            <w:pPr>
              <w:jc w:val="center"/>
              <w:rPr>
                <w:rFonts w:asciiTheme="minorEastAsia" w:hAnsiTheme="minorEastAsia" w:eastAsiaTheme="minorEastAsia"/>
                <w:color w:val="000000"/>
                <w:sz w:val="24"/>
                <w:szCs w:val="24"/>
                <w:highlight w:val="none"/>
              </w:rPr>
            </w:pPr>
          </w:p>
        </w:tc>
      </w:tr>
      <w:tr w14:paraId="3458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A8EB22D">
            <w:pPr>
              <w:jc w:val="center"/>
              <w:rPr>
                <w:rFonts w:asciiTheme="minorEastAsia" w:hAnsiTheme="minorEastAsia" w:eastAsiaTheme="minorEastAsia"/>
                <w:color w:val="000000"/>
                <w:sz w:val="24"/>
                <w:szCs w:val="24"/>
                <w:highlight w:val="none"/>
              </w:rPr>
            </w:pPr>
          </w:p>
        </w:tc>
        <w:tc>
          <w:tcPr>
            <w:tcW w:w="6520" w:type="dxa"/>
            <w:vAlign w:val="center"/>
          </w:tcPr>
          <w:p w14:paraId="5CE4EAD2">
            <w:pPr>
              <w:jc w:val="center"/>
              <w:rPr>
                <w:rFonts w:asciiTheme="minorEastAsia" w:hAnsiTheme="minorEastAsia" w:eastAsiaTheme="minorEastAsia"/>
                <w:color w:val="000000"/>
                <w:sz w:val="24"/>
                <w:szCs w:val="24"/>
                <w:highlight w:val="none"/>
              </w:rPr>
            </w:pPr>
          </w:p>
        </w:tc>
        <w:tc>
          <w:tcPr>
            <w:tcW w:w="1276" w:type="dxa"/>
            <w:vAlign w:val="center"/>
          </w:tcPr>
          <w:p w14:paraId="134FA557">
            <w:pPr>
              <w:jc w:val="center"/>
              <w:rPr>
                <w:rFonts w:asciiTheme="minorEastAsia" w:hAnsiTheme="minorEastAsia" w:eastAsiaTheme="minorEastAsia"/>
                <w:color w:val="000000"/>
                <w:sz w:val="24"/>
                <w:szCs w:val="24"/>
                <w:highlight w:val="none"/>
              </w:rPr>
            </w:pPr>
          </w:p>
        </w:tc>
      </w:tr>
      <w:tr w14:paraId="1AC7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95186D6">
            <w:pPr>
              <w:jc w:val="center"/>
              <w:rPr>
                <w:rFonts w:asciiTheme="minorEastAsia" w:hAnsiTheme="minorEastAsia" w:eastAsiaTheme="minorEastAsia"/>
                <w:color w:val="000000"/>
                <w:sz w:val="24"/>
                <w:szCs w:val="24"/>
                <w:highlight w:val="none"/>
              </w:rPr>
            </w:pPr>
          </w:p>
        </w:tc>
        <w:tc>
          <w:tcPr>
            <w:tcW w:w="6520" w:type="dxa"/>
            <w:vAlign w:val="center"/>
          </w:tcPr>
          <w:p w14:paraId="080AFEE8">
            <w:pPr>
              <w:jc w:val="center"/>
              <w:rPr>
                <w:rFonts w:asciiTheme="minorEastAsia" w:hAnsiTheme="minorEastAsia" w:eastAsiaTheme="minorEastAsia"/>
                <w:color w:val="000000"/>
                <w:sz w:val="24"/>
                <w:szCs w:val="24"/>
                <w:highlight w:val="none"/>
              </w:rPr>
            </w:pPr>
          </w:p>
        </w:tc>
        <w:tc>
          <w:tcPr>
            <w:tcW w:w="1276" w:type="dxa"/>
            <w:vAlign w:val="center"/>
          </w:tcPr>
          <w:p w14:paraId="3F44929D">
            <w:pPr>
              <w:jc w:val="center"/>
              <w:rPr>
                <w:rFonts w:asciiTheme="minorEastAsia" w:hAnsiTheme="minorEastAsia" w:eastAsiaTheme="minorEastAsia"/>
                <w:color w:val="000000"/>
                <w:sz w:val="24"/>
                <w:szCs w:val="24"/>
                <w:highlight w:val="none"/>
              </w:rPr>
            </w:pPr>
          </w:p>
        </w:tc>
      </w:tr>
      <w:tr w14:paraId="489E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0B5546">
            <w:pPr>
              <w:jc w:val="center"/>
              <w:rPr>
                <w:rFonts w:asciiTheme="minorEastAsia" w:hAnsiTheme="minorEastAsia" w:eastAsiaTheme="minorEastAsia"/>
                <w:color w:val="000000"/>
                <w:sz w:val="24"/>
                <w:szCs w:val="24"/>
                <w:highlight w:val="none"/>
              </w:rPr>
            </w:pPr>
          </w:p>
        </w:tc>
        <w:tc>
          <w:tcPr>
            <w:tcW w:w="6520" w:type="dxa"/>
            <w:vAlign w:val="center"/>
          </w:tcPr>
          <w:p w14:paraId="3EEB8AB1">
            <w:pPr>
              <w:jc w:val="center"/>
              <w:rPr>
                <w:rFonts w:asciiTheme="minorEastAsia" w:hAnsiTheme="minorEastAsia" w:eastAsiaTheme="minorEastAsia"/>
                <w:color w:val="000000"/>
                <w:sz w:val="24"/>
                <w:szCs w:val="24"/>
                <w:highlight w:val="none"/>
              </w:rPr>
            </w:pPr>
          </w:p>
        </w:tc>
        <w:tc>
          <w:tcPr>
            <w:tcW w:w="1276" w:type="dxa"/>
            <w:vAlign w:val="center"/>
          </w:tcPr>
          <w:p w14:paraId="708215A8">
            <w:pPr>
              <w:jc w:val="center"/>
              <w:rPr>
                <w:rFonts w:asciiTheme="minorEastAsia" w:hAnsiTheme="minorEastAsia" w:eastAsiaTheme="minorEastAsia"/>
                <w:color w:val="000000"/>
                <w:sz w:val="24"/>
                <w:szCs w:val="24"/>
                <w:highlight w:val="none"/>
              </w:rPr>
            </w:pPr>
          </w:p>
        </w:tc>
      </w:tr>
      <w:tr w14:paraId="333A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EC66FEE">
            <w:pPr>
              <w:jc w:val="center"/>
              <w:rPr>
                <w:rFonts w:asciiTheme="minorEastAsia" w:hAnsiTheme="minorEastAsia" w:eastAsiaTheme="minorEastAsia"/>
                <w:color w:val="000000"/>
                <w:sz w:val="24"/>
                <w:szCs w:val="24"/>
                <w:highlight w:val="none"/>
              </w:rPr>
            </w:pPr>
          </w:p>
        </w:tc>
        <w:tc>
          <w:tcPr>
            <w:tcW w:w="6520" w:type="dxa"/>
            <w:vAlign w:val="center"/>
          </w:tcPr>
          <w:p w14:paraId="77818AB6">
            <w:pPr>
              <w:jc w:val="center"/>
              <w:rPr>
                <w:rFonts w:asciiTheme="minorEastAsia" w:hAnsiTheme="minorEastAsia" w:eastAsiaTheme="minorEastAsia"/>
                <w:color w:val="000000"/>
                <w:sz w:val="24"/>
                <w:szCs w:val="24"/>
                <w:highlight w:val="none"/>
              </w:rPr>
            </w:pPr>
          </w:p>
        </w:tc>
        <w:tc>
          <w:tcPr>
            <w:tcW w:w="1276" w:type="dxa"/>
            <w:vAlign w:val="center"/>
          </w:tcPr>
          <w:p w14:paraId="394162A3">
            <w:pPr>
              <w:jc w:val="center"/>
              <w:rPr>
                <w:rFonts w:asciiTheme="minorEastAsia" w:hAnsiTheme="minorEastAsia" w:eastAsiaTheme="minorEastAsia"/>
                <w:color w:val="000000"/>
                <w:sz w:val="24"/>
                <w:szCs w:val="24"/>
                <w:highlight w:val="none"/>
              </w:rPr>
            </w:pPr>
          </w:p>
        </w:tc>
      </w:tr>
    </w:tbl>
    <w:p w14:paraId="2F2A998A">
      <w:pPr>
        <w:ind w:firstLine="240" w:firstLineChars="100"/>
        <w:rPr>
          <w:rFonts w:hint="eastAsia" w:asciiTheme="minorEastAsia" w:hAnsiTheme="minorEastAsia" w:eastAsiaTheme="minorEastAsia"/>
          <w:color w:val="000000"/>
          <w:sz w:val="24"/>
          <w:szCs w:val="24"/>
          <w:highlight w:val="none"/>
        </w:rPr>
      </w:pPr>
    </w:p>
    <w:p w14:paraId="6CF4ECF9">
      <w:pPr>
        <w:ind w:firstLine="240" w:firstLineChars="100"/>
        <w:rPr>
          <w:rFonts w:hint="eastAsia" w:asciiTheme="minorEastAsia" w:hAnsiTheme="minorEastAsia" w:eastAsiaTheme="minorEastAsia"/>
          <w:color w:val="000000"/>
          <w:sz w:val="24"/>
          <w:szCs w:val="24"/>
          <w:highlight w:val="none"/>
        </w:rPr>
      </w:pPr>
    </w:p>
    <w:p w14:paraId="37199728">
      <w:pPr>
        <w:ind w:firstLine="240" w:firstLineChars="1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 xml:space="preserve">投标人授权代表签字：        </w:t>
      </w:r>
      <w:r>
        <w:rPr>
          <w:rFonts w:hint="eastAsia" w:asciiTheme="minorEastAsia" w:hAnsiTheme="minorEastAsia" w:eastAsiaTheme="minorEastAsia"/>
          <w:color w:val="000000"/>
          <w:sz w:val="24"/>
          <w:szCs w:val="24"/>
          <w:highlight w:val="none"/>
          <w:lang w:val="en-US" w:eastAsia="zh-CN"/>
        </w:rPr>
        <w:t xml:space="preserve"> </w:t>
      </w:r>
      <w:r>
        <w:rPr>
          <w:rFonts w:hint="eastAsia" w:asciiTheme="minorEastAsia" w:hAnsiTheme="minorEastAsia" w:eastAsiaTheme="minorEastAsia"/>
          <w:color w:val="000000"/>
          <w:sz w:val="24"/>
          <w:szCs w:val="24"/>
          <w:highlight w:val="none"/>
        </w:rPr>
        <w:t xml:space="preserve">                 日期： </w:t>
      </w:r>
      <w:r>
        <w:rPr>
          <w:rFonts w:hint="eastAsia" w:asciiTheme="minorEastAsia" w:hAnsiTheme="minorEastAsia" w:eastAsiaTheme="minorEastAsia"/>
          <w:color w:val="000000"/>
          <w:sz w:val="24"/>
          <w:szCs w:val="24"/>
          <w:highlight w:val="none"/>
          <w:lang w:val="en-US" w:eastAsia="zh-CN"/>
        </w:rPr>
        <w:t xml:space="preserve">    </w:t>
      </w:r>
      <w:r>
        <w:rPr>
          <w:rFonts w:hint="eastAsia" w:asciiTheme="minorEastAsia" w:hAnsiTheme="minorEastAsia" w:eastAsiaTheme="minorEastAsia"/>
          <w:color w:val="000000"/>
          <w:sz w:val="24"/>
          <w:szCs w:val="24"/>
          <w:highlight w:val="none"/>
        </w:rPr>
        <w:t>年  月  日</w:t>
      </w:r>
    </w:p>
    <w:p w14:paraId="18DF851F">
      <w:pPr>
        <w:ind w:firstLine="240" w:firstLineChars="100"/>
        <w:rPr>
          <w:rFonts w:hint="eastAsia" w:asciiTheme="minorEastAsia" w:hAnsiTheme="minorEastAsia" w:eastAsiaTheme="minorEastAsia"/>
          <w:color w:val="000000"/>
          <w:sz w:val="24"/>
          <w:szCs w:val="24"/>
          <w:highlight w:val="none"/>
        </w:rPr>
      </w:pPr>
    </w:p>
    <w:p w14:paraId="29F4AB93">
      <w:pPr>
        <w:ind w:firstLine="240" w:firstLineChars="100"/>
        <w:rPr>
          <w:rFonts w:hint="eastAsia" w:asciiTheme="minorEastAsia" w:hAnsiTheme="minorEastAsia" w:eastAsiaTheme="minorEastAsia"/>
          <w:color w:val="000000"/>
          <w:sz w:val="24"/>
          <w:szCs w:val="24"/>
          <w:highlight w:val="none"/>
        </w:rPr>
      </w:pPr>
    </w:p>
    <w:p w14:paraId="5D4ECE5E">
      <w:pPr>
        <w:ind w:firstLine="234" w:firstLineChars="97"/>
        <w:rPr>
          <w:rFonts w:asciiTheme="minorEastAsia" w:hAnsiTheme="minorEastAsia" w:eastAsiaTheme="minorEastAsia"/>
          <w:color w:val="000000"/>
          <w:sz w:val="24"/>
          <w:szCs w:val="24"/>
          <w:highlight w:val="none"/>
        </w:rPr>
      </w:pPr>
      <w:r>
        <w:rPr>
          <w:rFonts w:hint="eastAsia" w:asciiTheme="minorEastAsia" w:hAnsiTheme="minorEastAsia" w:eastAsiaTheme="minorEastAsia"/>
          <w:b/>
          <w:color w:val="000000"/>
          <w:sz w:val="24"/>
          <w:szCs w:val="24"/>
          <w:highlight w:val="none"/>
        </w:rPr>
        <w:t>注：</w:t>
      </w:r>
      <w:r>
        <w:rPr>
          <w:rFonts w:asciiTheme="minorEastAsia" w:hAnsiTheme="minorEastAsia" w:eastAsiaTheme="minorEastAsia"/>
          <w:color w:val="000000"/>
          <w:sz w:val="24"/>
          <w:szCs w:val="24"/>
          <w:highlight w:val="none"/>
        </w:rPr>
        <w:t>1</w:t>
      </w:r>
      <w:r>
        <w:rPr>
          <w:rFonts w:hint="eastAsia" w:asciiTheme="minorEastAsia" w:hAnsiTheme="minorEastAsia" w:eastAsiaTheme="minorEastAsia"/>
          <w:color w:val="000000"/>
          <w:sz w:val="24"/>
          <w:szCs w:val="24"/>
          <w:highlight w:val="none"/>
        </w:rPr>
        <w:t>.本表填写投标文件主要内容，以用于开标宣读。</w:t>
      </w:r>
    </w:p>
    <w:p w14:paraId="56E35B44">
      <w:pPr>
        <w:ind w:firstLine="720" w:firstLineChars="300"/>
        <w:rPr>
          <w:rFonts w:asciiTheme="minorEastAsia" w:hAnsiTheme="minorEastAsia" w:eastAsiaTheme="minorEastAsia"/>
          <w:color w:val="000000"/>
          <w:sz w:val="24"/>
          <w:szCs w:val="24"/>
          <w:highlight w:val="none"/>
        </w:rPr>
      </w:pPr>
      <w:r>
        <w:rPr>
          <w:rFonts w:asciiTheme="minorEastAsia" w:hAnsiTheme="minorEastAsia" w:eastAsiaTheme="minorEastAsia"/>
          <w:color w:val="000000"/>
          <w:sz w:val="24"/>
          <w:szCs w:val="24"/>
          <w:highlight w:val="none"/>
        </w:rPr>
        <w:t>2</w:t>
      </w:r>
      <w:r>
        <w:rPr>
          <w:rFonts w:hint="eastAsia" w:asciiTheme="minorEastAsia" w:hAnsiTheme="minorEastAsia" w:eastAsiaTheme="minorEastAsia"/>
          <w:color w:val="000000"/>
          <w:sz w:val="24"/>
          <w:szCs w:val="24"/>
          <w:highlight w:val="none"/>
        </w:rPr>
        <w:t>．“索引”一栏填写该主要内容对应于投标文件的“条款号/页号”。</w:t>
      </w:r>
    </w:p>
    <w:p w14:paraId="6A30B5D0">
      <w:pPr>
        <w:rPr>
          <w:rFonts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br w:type="page"/>
      </w:r>
      <w:r>
        <w:rPr>
          <w:rFonts w:hint="eastAsia" w:cs="宋体" w:asciiTheme="minorEastAsia" w:hAnsiTheme="minorEastAsia" w:eastAsiaTheme="minorEastAsia"/>
          <w:b/>
          <w:bCs/>
          <w:color w:val="000000"/>
          <w:sz w:val="24"/>
          <w:szCs w:val="24"/>
          <w:highlight w:val="none"/>
        </w:rPr>
        <w:t>附件格式</w:t>
      </w:r>
      <w:r>
        <w:rPr>
          <w:rFonts w:asciiTheme="minorEastAsia" w:hAnsiTheme="minorEastAsia" w:eastAsiaTheme="minorEastAsia"/>
          <w:b/>
          <w:bCs/>
          <w:color w:val="000000"/>
          <w:sz w:val="24"/>
          <w:szCs w:val="24"/>
          <w:highlight w:val="none"/>
        </w:rPr>
        <w:t>3</w:t>
      </w:r>
    </w:p>
    <w:p w14:paraId="2EFCFB44">
      <w:pPr>
        <w:jc w:val="center"/>
        <w:rPr>
          <w:rFonts w:hint="eastAsia" w:cs="宋体" w:asciiTheme="minorEastAsia" w:hAnsiTheme="minorEastAsia" w:eastAsiaTheme="minorEastAsia"/>
          <w:b/>
          <w:bCs/>
          <w:color w:val="000000"/>
          <w:sz w:val="24"/>
          <w:szCs w:val="24"/>
          <w:highlight w:val="none"/>
        </w:rPr>
      </w:pPr>
    </w:p>
    <w:p w14:paraId="74F58AFD">
      <w:pPr>
        <w:pStyle w:val="14"/>
        <w:snapToGrid w:val="0"/>
        <w:spacing w:line="360" w:lineRule="auto"/>
        <w:jc w:val="center"/>
        <w:rPr>
          <w:rFonts w:hint="eastAsia" w:ascii="宋体" w:hAnsi="宋体" w:eastAsia="宋体"/>
          <w:b/>
          <w:sz w:val="32"/>
          <w:szCs w:val="32"/>
        </w:rPr>
      </w:pPr>
      <w:r>
        <w:rPr>
          <w:rFonts w:hint="eastAsia" w:ascii="宋体" w:hAnsi="宋体" w:eastAsia="宋体"/>
          <w:b/>
          <w:sz w:val="32"/>
          <w:szCs w:val="32"/>
        </w:rPr>
        <w:t>开标一览表</w:t>
      </w:r>
    </w:p>
    <w:tbl>
      <w:tblPr>
        <w:tblStyle w:val="31"/>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8"/>
        <w:gridCol w:w="44"/>
        <w:gridCol w:w="1899"/>
        <w:gridCol w:w="1904"/>
        <w:gridCol w:w="1834"/>
      </w:tblGrid>
      <w:tr w14:paraId="00B2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458" w:type="dxa"/>
            <w:tcBorders>
              <w:top w:val="single" w:color="auto" w:sz="4" w:space="0"/>
              <w:left w:val="single" w:color="auto" w:sz="4" w:space="0"/>
              <w:bottom w:val="single" w:color="auto" w:sz="4" w:space="0"/>
              <w:right w:val="single" w:color="auto" w:sz="4" w:space="0"/>
            </w:tcBorders>
            <w:vAlign w:val="center"/>
          </w:tcPr>
          <w:p w14:paraId="67F8834A">
            <w:pPr>
              <w:jc w:val="left"/>
              <w:rPr>
                <w:rFonts w:hint="default" w:ascii="Times New Roman" w:hAnsi="Times New Roman" w:eastAsia="宋体" w:cs="宋体"/>
                <w:sz w:val="24"/>
                <w:szCs w:val="24"/>
                <w:highlight w:val="none"/>
                <w:lang w:val="en-US" w:eastAsia="zh-CN"/>
              </w:rPr>
            </w:pPr>
            <w:r>
              <w:rPr>
                <w:rFonts w:hint="eastAsia" w:cs="宋体"/>
                <w:sz w:val="24"/>
                <w:szCs w:val="24"/>
                <w:highlight w:val="none"/>
                <w:lang w:val="en-US" w:eastAsia="zh-CN"/>
              </w:rPr>
              <w:t>项目名称</w:t>
            </w:r>
          </w:p>
        </w:tc>
        <w:tc>
          <w:tcPr>
            <w:tcW w:w="5681" w:type="dxa"/>
            <w:gridSpan w:val="4"/>
            <w:tcBorders>
              <w:top w:val="single" w:color="auto" w:sz="4" w:space="0"/>
              <w:left w:val="single" w:color="auto" w:sz="4" w:space="0"/>
              <w:bottom w:val="single" w:color="auto" w:sz="4" w:space="0"/>
              <w:right w:val="single" w:color="auto" w:sz="4" w:space="0"/>
            </w:tcBorders>
            <w:vAlign w:val="center"/>
          </w:tcPr>
          <w:p w14:paraId="330FBDE5">
            <w:pPr>
              <w:jc w:val="left"/>
              <w:rPr>
                <w:rFonts w:ascii="Times New Roman" w:hAnsi="Times New Roman" w:eastAsia="宋体" w:cs="宋体"/>
                <w:szCs w:val="21"/>
                <w:highlight w:val="none"/>
              </w:rPr>
            </w:pPr>
            <w:r>
              <w:rPr>
                <w:rFonts w:hint="eastAsia" w:cs="仿宋" w:asciiTheme="minorEastAsia" w:hAnsiTheme="minorEastAsia" w:eastAsiaTheme="minorEastAsia"/>
                <w:sz w:val="24"/>
                <w:szCs w:val="24"/>
                <w:highlight w:val="none"/>
                <w:lang w:val="en-US" w:eastAsia="zh-CN"/>
              </w:rPr>
              <w:t>中国重汽集团道路划线项目</w:t>
            </w:r>
          </w:p>
        </w:tc>
      </w:tr>
      <w:tr w14:paraId="4F81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458" w:type="dxa"/>
            <w:tcBorders>
              <w:top w:val="single" w:color="auto" w:sz="4" w:space="0"/>
              <w:left w:val="single" w:color="auto" w:sz="4" w:space="0"/>
              <w:bottom w:val="single" w:color="auto" w:sz="4" w:space="0"/>
              <w:right w:val="single" w:color="auto" w:sz="4" w:space="0"/>
            </w:tcBorders>
            <w:vAlign w:val="center"/>
          </w:tcPr>
          <w:p w14:paraId="548F095B">
            <w:pPr>
              <w:jc w:val="left"/>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投标人名称</w:t>
            </w:r>
          </w:p>
        </w:tc>
        <w:tc>
          <w:tcPr>
            <w:tcW w:w="5681" w:type="dxa"/>
            <w:gridSpan w:val="4"/>
            <w:tcBorders>
              <w:top w:val="single" w:color="auto" w:sz="4" w:space="0"/>
              <w:left w:val="single" w:color="auto" w:sz="4" w:space="0"/>
              <w:bottom w:val="single" w:color="auto" w:sz="4" w:space="0"/>
              <w:right w:val="single" w:color="auto" w:sz="4" w:space="0"/>
            </w:tcBorders>
            <w:vAlign w:val="center"/>
          </w:tcPr>
          <w:p w14:paraId="5489B6BB">
            <w:pPr>
              <w:jc w:val="left"/>
              <w:rPr>
                <w:rFonts w:ascii="Times New Roman" w:hAnsi="Times New Roman" w:eastAsia="宋体" w:cs="宋体"/>
                <w:szCs w:val="21"/>
                <w:highlight w:val="none"/>
              </w:rPr>
            </w:pPr>
          </w:p>
        </w:tc>
      </w:tr>
      <w:tr w14:paraId="626F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9139" w:type="dxa"/>
            <w:gridSpan w:val="5"/>
            <w:tcBorders>
              <w:top w:val="single" w:color="auto" w:sz="4" w:space="0"/>
              <w:left w:val="single" w:color="auto" w:sz="4" w:space="0"/>
              <w:bottom w:val="single" w:color="auto" w:sz="4" w:space="0"/>
              <w:right w:val="single" w:color="auto" w:sz="4" w:space="0"/>
            </w:tcBorders>
            <w:vAlign w:val="center"/>
          </w:tcPr>
          <w:p w14:paraId="46267233">
            <w:pPr>
              <w:keepNext w:val="0"/>
              <w:keepLines w:val="0"/>
              <w:pageBreakBefore w:val="0"/>
              <w:widowControl w:val="0"/>
              <w:kinsoku/>
              <w:wordWrap/>
              <w:overflowPunct/>
              <w:topLinePunct w:val="0"/>
              <w:autoSpaceDE/>
              <w:autoSpaceDN/>
              <w:bidi w:val="0"/>
              <w:adjustRightInd/>
              <w:snapToGrid/>
              <w:spacing w:line="360" w:lineRule="auto"/>
              <w:textAlignment w:val="auto"/>
              <w:rPr>
                <w:rStyle w:val="82"/>
                <w:rFonts w:hint="eastAsia" w:ascii="宋体" w:hAnsi="宋体" w:eastAsia="宋体" w:cs="Times New Roman"/>
                <w:bCs/>
                <w:sz w:val="24"/>
                <w:szCs w:val="24"/>
                <w:highlight w:val="none"/>
                <w:lang w:val="en-US" w:eastAsia="zh-CN"/>
              </w:rPr>
            </w:pPr>
            <w:r>
              <w:rPr>
                <w:rStyle w:val="82"/>
                <w:rFonts w:hint="eastAsia" w:ascii="宋体" w:hAnsi="宋体" w:eastAsia="宋体" w:cs="Times New Roman"/>
                <w:bCs/>
                <w:sz w:val="24"/>
                <w:szCs w:val="24"/>
                <w:highlight w:val="none"/>
                <w:lang w:val="en-US" w:eastAsia="zh-CN"/>
              </w:rPr>
              <w:t>投标总价：</w:t>
            </w:r>
          </w:p>
          <w:p w14:paraId="3765E87F">
            <w:pPr>
              <w:keepNext w:val="0"/>
              <w:keepLines w:val="0"/>
              <w:pageBreakBefore w:val="0"/>
              <w:widowControl w:val="0"/>
              <w:kinsoku/>
              <w:wordWrap/>
              <w:overflowPunct/>
              <w:topLinePunct w:val="0"/>
              <w:autoSpaceDE/>
              <w:autoSpaceDN/>
              <w:bidi w:val="0"/>
              <w:adjustRightInd/>
              <w:snapToGrid/>
              <w:spacing w:line="360" w:lineRule="auto"/>
              <w:textAlignment w:val="auto"/>
              <w:rPr>
                <w:rStyle w:val="82"/>
                <w:rFonts w:hint="eastAsia" w:ascii="宋体" w:hAnsi="宋体" w:eastAsia="宋体" w:cs="Times New Roman"/>
                <w:bCs/>
                <w:sz w:val="24"/>
                <w:szCs w:val="24"/>
                <w:highlight w:val="none"/>
                <w:lang w:val="en-US" w:eastAsia="zh-CN"/>
              </w:rPr>
            </w:pPr>
            <w:r>
              <w:rPr>
                <w:rStyle w:val="82"/>
                <w:rFonts w:hint="eastAsia" w:ascii="宋体" w:hAnsi="宋体" w:eastAsia="宋体" w:cs="Times New Roman"/>
                <w:bCs/>
                <w:sz w:val="24"/>
                <w:szCs w:val="24"/>
                <w:highlight w:val="none"/>
                <w:lang w:val="en-US" w:eastAsia="zh-CN"/>
              </w:rPr>
              <w:t>不含税报价：大写：人民币</w:t>
            </w:r>
            <w:r>
              <w:rPr>
                <w:rStyle w:val="82"/>
                <w:rFonts w:hint="eastAsia" w:ascii="宋体" w:hAnsi="宋体" w:eastAsia="宋体" w:cs="Times New Roman"/>
                <w:bCs/>
                <w:sz w:val="24"/>
                <w:szCs w:val="24"/>
                <w:highlight w:val="none"/>
                <w:u w:val="single"/>
                <w:lang w:val="en-US" w:eastAsia="zh-CN"/>
              </w:rPr>
              <w:t xml:space="preserve">          </w:t>
            </w:r>
            <w:r>
              <w:rPr>
                <w:rStyle w:val="82"/>
                <w:rFonts w:hint="eastAsia" w:ascii="宋体" w:hAnsi="宋体" w:eastAsia="宋体" w:cs="Times New Roman"/>
                <w:bCs/>
                <w:sz w:val="24"/>
                <w:szCs w:val="24"/>
                <w:highlight w:val="none"/>
                <w:lang w:val="en-US" w:eastAsia="zh-CN"/>
              </w:rPr>
              <w:t xml:space="preserve">元（小写：¥ </w:t>
            </w:r>
            <w:r>
              <w:rPr>
                <w:rStyle w:val="82"/>
                <w:rFonts w:hint="eastAsia" w:ascii="宋体" w:hAnsi="宋体" w:eastAsia="宋体" w:cs="Times New Roman"/>
                <w:bCs/>
                <w:sz w:val="24"/>
                <w:szCs w:val="24"/>
                <w:highlight w:val="none"/>
                <w:u w:val="single"/>
                <w:lang w:val="en-US" w:eastAsia="zh-CN"/>
              </w:rPr>
              <w:t xml:space="preserve">       </w:t>
            </w:r>
            <w:r>
              <w:rPr>
                <w:rStyle w:val="82"/>
                <w:rFonts w:hint="eastAsia" w:ascii="宋体" w:hAnsi="宋体" w:eastAsia="宋体" w:cs="Times New Roman"/>
                <w:bCs/>
                <w:sz w:val="24"/>
                <w:szCs w:val="24"/>
                <w:highlight w:val="none"/>
                <w:lang w:val="en-US" w:eastAsia="zh-CN"/>
              </w:rPr>
              <w:t>元）；</w:t>
            </w:r>
          </w:p>
          <w:p w14:paraId="187F6417">
            <w:pPr>
              <w:keepNext w:val="0"/>
              <w:keepLines w:val="0"/>
              <w:pageBreakBefore w:val="0"/>
              <w:widowControl w:val="0"/>
              <w:kinsoku/>
              <w:wordWrap/>
              <w:overflowPunct/>
              <w:topLinePunct w:val="0"/>
              <w:autoSpaceDE/>
              <w:autoSpaceDN/>
              <w:bidi w:val="0"/>
              <w:adjustRightInd/>
              <w:snapToGrid/>
              <w:spacing w:line="360" w:lineRule="auto"/>
              <w:textAlignment w:val="auto"/>
              <w:rPr>
                <w:rStyle w:val="82"/>
                <w:rFonts w:hint="eastAsia" w:ascii="宋体" w:hAnsi="宋体" w:eastAsia="宋体" w:cs="Times New Roman"/>
                <w:bCs/>
                <w:sz w:val="24"/>
                <w:szCs w:val="24"/>
                <w:highlight w:val="none"/>
                <w:lang w:val="en-US" w:eastAsia="zh-CN"/>
              </w:rPr>
            </w:pPr>
            <w:r>
              <w:rPr>
                <w:rStyle w:val="82"/>
                <w:rFonts w:hint="eastAsia" w:ascii="宋体" w:hAnsi="宋体" w:eastAsia="宋体" w:cs="Times New Roman"/>
                <w:bCs/>
                <w:sz w:val="24"/>
                <w:szCs w:val="24"/>
                <w:highlight w:val="none"/>
                <w:lang w:val="en-US" w:eastAsia="zh-CN"/>
              </w:rPr>
              <w:t>含税报价：大写：人民币</w:t>
            </w:r>
            <w:r>
              <w:rPr>
                <w:rStyle w:val="82"/>
                <w:rFonts w:hint="eastAsia" w:ascii="宋体" w:hAnsi="宋体" w:eastAsia="宋体" w:cs="Times New Roman"/>
                <w:bCs/>
                <w:sz w:val="24"/>
                <w:szCs w:val="24"/>
                <w:highlight w:val="none"/>
                <w:u w:val="single"/>
                <w:lang w:val="en-US" w:eastAsia="zh-CN"/>
              </w:rPr>
              <w:t xml:space="preserve">          </w:t>
            </w:r>
            <w:r>
              <w:rPr>
                <w:rStyle w:val="82"/>
                <w:rFonts w:hint="eastAsia" w:ascii="宋体" w:hAnsi="宋体" w:eastAsia="宋体" w:cs="Times New Roman"/>
                <w:bCs/>
                <w:sz w:val="24"/>
                <w:szCs w:val="24"/>
                <w:highlight w:val="none"/>
                <w:lang w:val="en-US" w:eastAsia="zh-CN"/>
              </w:rPr>
              <w:t xml:space="preserve">元（小写：¥ </w:t>
            </w:r>
            <w:r>
              <w:rPr>
                <w:rStyle w:val="82"/>
                <w:rFonts w:hint="eastAsia" w:ascii="宋体" w:hAnsi="宋体" w:eastAsia="宋体" w:cs="Times New Roman"/>
                <w:bCs/>
                <w:sz w:val="24"/>
                <w:szCs w:val="24"/>
                <w:highlight w:val="none"/>
                <w:u w:val="single"/>
                <w:lang w:val="en-US" w:eastAsia="zh-CN"/>
              </w:rPr>
              <w:t xml:space="preserve">      </w:t>
            </w:r>
            <w:r>
              <w:rPr>
                <w:rStyle w:val="82"/>
                <w:rFonts w:hint="eastAsia" w:ascii="宋体" w:hAnsi="宋体" w:eastAsia="宋体" w:cs="Times New Roman"/>
                <w:bCs/>
                <w:sz w:val="24"/>
                <w:szCs w:val="24"/>
                <w:highlight w:val="none"/>
                <w:lang w:val="en-US" w:eastAsia="zh-CN"/>
              </w:rPr>
              <w:t xml:space="preserve"> 元），税</w:t>
            </w:r>
            <w:r>
              <w:rPr>
                <w:rStyle w:val="82"/>
                <w:rFonts w:hint="eastAsia" w:ascii="宋体" w:hAnsi="宋体" w:cs="Times New Roman"/>
                <w:bCs/>
                <w:sz w:val="24"/>
                <w:szCs w:val="24"/>
                <w:highlight w:val="none"/>
                <w:lang w:val="en-US" w:eastAsia="zh-CN"/>
              </w:rPr>
              <w:t>率</w:t>
            </w:r>
            <w:r>
              <w:rPr>
                <w:rStyle w:val="82"/>
                <w:rFonts w:hint="eastAsia" w:ascii="宋体" w:hAnsi="宋体" w:cs="Times New Roman"/>
                <w:bCs/>
                <w:sz w:val="24"/>
                <w:szCs w:val="24"/>
                <w:highlight w:val="none"/>
                <w:u w:val="single"/>
                <w:lang w:val="en-US" w:eastAsia="zh-CN"/>
              </w:rPr>
              <w:t xml:space="preserve">      </w:t>
            </w:r>
            <w:r>
              <w:rPr>
                <w:rStyle w:val="82"/>
                <w:rFonts w:hint="eastAsia" w:ascii="宋体" w:hAnsi="宋体" w:eastAsia="宋体" w:cs="Times New Roman"/>
                <w:bCs/>
                <w:sz w:val="24"/>
                <w:szCs w:val="24"/>
                <w:highlight w:val="none"/>
                <w:lang w:val="en-US" w:eastAsia="zh-CN"/>
              </w:rPr>
              <w:t xml:space="preserve">。 </w:t>
            </w:r>
          </w:p>
          <w:p w14:paraId="5D7DFCD4">
            <w:pPr>
              <w:rPr>
                <w:rFonts w:ascii="Times New Roman" w:hAnsi="Times New Roman" w:eastAsia="宋体" w:cs="宋体"/>
                <w:szCs w:val="21"/>
                <w:highlight w:val="none"/>
              </w:rPr>
            </w:pPr>
          </w:p>
        </w:tc>
      </w:tr>
      <w:tr w14:paraId="1BB6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139" w:type="dxa"/>
            <w:gridSpan w:val="5"/>
            <w:tcBorders>
              <w:top w:val="single" w:color="auto" w:sz="4" w:space="0"/>
              <w:left w:val="single" w:color="auto" w:sz="4" w:space="0"/>
              <w:bottom w:val="single" w:color="auto" w:sz="4" w:space="0"/>
              <w:right w:val="single" w:color="auto" w:sz="4" w:space="0"/>
            </w:tcBorders>
            <w:vAlign w:val="center"/>
          </w:tcPr>
          <w:p w14:paraId="3EF093BD">
            <w:pPr>
              <w:ind w:firstLine="480" w:firstLineChars="200"/>
              <w:jc w:val="center"/>
              <w:rPr>
                <w:rFonts w:ascii="Times New Roman" w:hAnsi="Times New Roman" w:eastAsia="宋体" w:cs="宋体"/>
                <w:sz w:val="24"/>
                <w:szCs w:val="24"/>
                <w:highlight w:val="none"/>
              </w:rPr>
            </w:pPr>
            <w:r>
              <w:rPr>
                <w:rFonts w:hint="eastAsia" w:ascii="Times New Roman" w:hAnsi="Times New Roman" w:eastAsia="宋体" w:cs="宋体"/>
                <w:b w:val="0"/>
                <w:bCs w:val="0"/>
                <w:sz w:val="24"/>
                <w:szCs w:val="24"/>
                <w:highlight w:val="none"/>
              </w:rPr>
              <w:t>分项报价清单（元</w:t>
            </w:r>
            <w:r>
              <w:rPr>
                <w:rFonts w:hint="eastAsia" w:ascii="Times New Roman" w:hAnsi="Times New Roman" w:eastAsia="宋体" w:cs="宋体"/>
                <w:b w:val="0"/>
                <w:bCs w:val="0"/>
                <w:kern w:val="0"/>
                <w:sz w:val="24"/>
                <w:szCs w:val="24"/>
                <w:highlight w:val="none"/>
              </w:rPr>
              <w:t>，</w:t>
            </w:r>
            <w:r>
              <w:rPr>
                <w:rFonts w:hint="eastAsia" w:cs="宋体"/>
                <w:b w:val="0"/>
                <w:bCs w:val="0"/>
                <w:kern w:val="0"/>
                <w:sz w:val="24"/>
                <w:szCs w:val="24"/>
                <w:highlight w:val="none"/>
                <w:lang w:val="en-US" w:eastAsia="zh-CN"/>
              </w:rPr>
              <w:t>未</w:t>
            </w:r>
            <w:r>
              <w:rPr>
                <w:rFonts w:hint="eastAsia" w:ascii="Times New Roman" w:hAnsi="Times New Roman" w:eastAsia="宋体" w:cs="宋体"/>
                <w:b w:val="0"/>
                <w:bCs w:val="0"/>
                <w:kern w:val="0"/>
                <w:sz w:val="24"/>
                <w:szCs w:val="24"/>
                <w:highlight w:val="none"/>
              </w:rPr>
              <w:t>税）</w:t>
            </w:r>
          </w:p>
        </w:tc>
      </w:tr>
      <w:tr w14:paraId="63A4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458" w:type="dxa"/>
            <w:tcBorders>
              <w:top w:val="single" w:color="auto" w:sz="4" w:space="0"/>
              <w:left w:val="single" w:color="auto" w:sz="4" w:space="0"/>
              <w:bottom w:val="single" w:color="auto" w:sz="4" w:space="0"/>
              <w:right w:val="single" w:color="auto" w:sz="4" w:space="0"/>
              <w:tl2br w:val="single" w:color="auto" w:sz="4" w:space="0"/>
            </w:tcBorders>
          </w:tcPr>
          <w:p w14:paraId="768F35F4">
            <w:pPr>
              <w:jc w:val="right"/>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报价</w:t>
            </w:r>
          </w:p>
          <w:p w14:paraId="35FF0319">
            <w:pP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主要分项</w:t>
            </w:r>
          </w:p>
        </w:tc>
        <w:tc>
          <w:tcPr>
            <w:tcW w:w="1943" w:type="dxa"/>
            <w:gridSpan w:val="2"/>
            <w:tcBorders>
              <w:top w:val="single" w:color="auto" w:sz="4" w:space="0"/>
              <w:left w:val="single" w:color="auto" w:sz="4" w:space="0"/>
              <w:bottom w:val="single" w:color="auto" w:sz="4" w:space="0"/>
              <w:right w:val="single" w:color="auto" w:sz="4" w:space="0"/>
            </w:tcBorders>
            <w:vAlign w:val="center"/>
          </w:tcPr>
          <w:p w14:paraId="7A96306E">
            <w:pPr>
              <w:jc w:val="center"/>
              <w:rPr>
                <w:rFonts w:ascii="Times New Roman" w:hAnsi="Times New Roman" w:eastAsia="宋体" w:cs="宋体"/>
                <w:b w:val="0"/>
                <w:bCs/>
                <w:color w:val="FF0000"/>
                <w:sz w:val="24"/>
                <w:szCs w:val="24"/>
                <w:highlight w:val="none"/>
              </w:rPr>
            </w:pPr>
            <w:r>
              <w:rPr>
                <w:rFonts w:hint="eastAsia" w:cs="宋体"/>
                <w:b w:val="0"/>
                <w:bCs/>
                <w:sz w:val="24"/>
                <w:szCs w:val="24"/>
                <w:highlight w:val="none"/>
                <w:lang w:val="en-US" w:eastAsia="zh-CN"/>
              </w:rPr>
              <w:t>数量</w:t>
            </w:r>
          </w:p>
        </w:tc>
        <w:tc>
          <w:tcPr>
            <w:tcW w:w="1904" w:type="dxa"/>
            <w:tcBorders>
              <w:top w:val="single" w:color="auto" w:sz="4" w:space="0"/>
              <w:left w:val="single" w:color="auto" w:sz="4" w:space="0"/>
              <w:bottom w:val="single" w:color="auto" w:sz="4" w:space="0"/>
              <w:right w:val="single" w:color="auto" w:sz="4" w:space="0"/>
            </w:tcBorders>
            <w:vAlign w:val="center"/>
          </w:tcPr>
          <w:p w14:paraId="46AA8DD5">
            <w:pPr>
              <w:jc w:val="center"/>
              <w:rPr>
                <w:rFonts w:hint="default" w:cs="宋体"/>
                <w:b w:val="0"/>
                <w:bCs/>
                <w:sz w:val="24"/>
                <w:szCs w:val="24"/>
                <w:highlight w:val="none"/>
                <w:lang w:val="en-US" w:eastAsia="zh-CN"/>
              </w:rPr>
            </w:pPr>
            <w:r>
              <w:rPr>
                <w:rFonts w:hint="eastAsia" w:cs="宋体"/>
                <w:b w:val="0"/>
                <w:bCs/>
                <w:sz w:val="24"/>
                <w:szCs w:val="24"/>
                <w:highlight w:val="none"/>
                <w:lang w:val="en-US" w:eastAsia="zh-CN"/>
              </w:rPr>
              <w:t>单价</w:t>
            </w:r>
          </w:p>
        </w:tc>
        <w:tc>
          <w:tcPr>
            <w:tcW w:w="1834" w:type="dxa"/>
            <w:tcBorders>
              <w:top w:val="single" w:color="auto" w:sz="4" w:space="0"/>
              <w:left w:val="single" w:color="auto" w:sz="4" w:space="0"/>
              <w:bottom w:val="single" w:color="auto" w:sz="4" w:space="0"/>
              <w:right w:val="single" w:color="auto" w:sz="4" w:space="0"/>
            </w:tcBorders>
            <w:vAlign w:val="center"/>
          </w:tcPr>
          <w:p w14:paraId="724AF96B">
            <w:pPr>
              <w:jc w:val="center"/>
              <w:rPr>
                <w:rFonts w:hint="default" w:cs="宋体"/>
                <w:b w:val="0"/>
                <w:bCs/>
                <w:sz w:val="24"/>
                <w:szCs w:val="24"/>
                <w:highlight w:val="none"/>
                <w:lang w:val="en-US" w:eastAsia="zh-CN"/>
              </w:rPr>
            </w:pPr>
            <w:r>
              <w:rPr>
                <w:rFonts w:hint="eastAsia" w:cs="宋体"/>
                <w:b w:val="0"/>
                <w:bCs/>
                <w:sz w:val="24"/>
                <w:szCs w:val="24"/>
                <w:highlight w:val="none"/>
                <w:lang w:val="en-US" w:eastAsia="zh-CN"/>
              </w:rPr>
              <w:t>合计</w:t>
            </w:r>
          </w:p>
        </w:tc>
      </w:tr>
      <w:tr w14:paraId="77FB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458" w:type="dxa"/>
            <w:tcBorders>
              <w:top w:val="single" w:color="auto" w:sz="4" w:space="0"/>
              <w:left w:val="single" w:color="auto" w:sz="4" w:space="0"/>
              <w:bottom w:val="single" w:color="auto" w:sz="4" w:space="0"/>
              <w:right w:val="single" w:color="auto" w:sz="4" w:space="0"/>
            </w:tcBorders>
            <w:vAlign w:val="center"/>
          </w:tcPr>
          <w:p w14:paraId="2E144B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2"/>
                <w:rFonts w:hint="eastAsia" w:ascii="宋体" w:hAnsi="宋体" w:eastAsia="宋体" w:cs="Times New Roman"/>
                <w:bCs/>
                <w:sz w:val="24"/>
                <w:szCs w:val="24"/>
                <w:highlight w:val="none"/>
                <w:lang w:val="en-US" w:eastAsia="zh-CN"/>
              </w:rPr>
            </w:pPr>
            <w:r>
              <w:rPr>
                <w:rStyle w:val="82"/>
                <w:rFonts w:hint="eastAsia" w:ascii="宋体" w:hAnsi="宋体" w:eastAsia="宋体" w:cs="Times New Roman"/>
                <w:bCs/>
                <w:sz w:val="24"/>
                <w:szCs w:val="24"/>
                <w:highlight w:val="none"/>
                <w:lang w:val="en-US" w:eastAsia="zh-CN"/>
              </w:rPr>
              <w:t>反光热熔标线</w:t>
            </w:r>
          </w:p>
          <w:p w14:paraId="733DF943">
            <w:pPr>
              <w:pStyle w:val="10"/>
              <w:numPr>
                <w:ilvl w:val="0"/>
                <w:numId w:val="1"/>
              </w:numP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厚度1.5-2mm，颜色按要求</w:t>
            </w:r>
          </w:p>
          <w:p w14:paraId="22592E22">
            <w:pPr>
              <w:pStyle w:val="43"/>
              <w:numPr>
                <w:ilvl w:val="0"/>
                <w:numId w:val="1"/>
              </w:numPr>
              <w:rPr>
                <w:rFonts w:hint="eastAsia"/>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热熔型反光道路标线涂料，含15%-20%玻璃珠</w:t>
            </w:r>
          </w:p>
        </w:tc>
        <w:tc>
          <w:tcPr>
            <w:tcW w:w="1943" w:type="dxa"/>
            <w:gridSpan w:val="2"/>
            <w:tcBorders>
              <w:top w:val="single" w:color="auto" w:sz="4" w:space="0"/>
              <w:left w:val="single" w:color="auto" w:sz="4" w:space="0"/>
              <w:bottom w:val="single" w:color="auto" w:sz="4" w:space="0"/>
              <w:right w:val="single" w:color="auto" w:sz="4" w:space="0"/>
            </w:tcBorders>
            <w:vAlign w:val="center"/>
          </w:tcPr>
          <w:p w14:paraId="321232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2"/>
                <w:rFonts w:hint="eastAsia" w:ascii="宋体" w:hAnsi="宋体" w:eastAsia="宋体" w:cs="Times New Roman"/>
                <w:bCs/>
                <w:sz w:val="24"/>
                <w:szCs w:val="24"/>
                <w:highlight w:val="none"/>
                <w:lang w:val="en-US" w:eastAsia="zh-CN"/>
              </w:rPr>
            </w:pPr>
            <w:r>
              <w:rPr>
                <w:rStyle w:val="82"/>
                <w:rFonts w:hint="eastAsia" w:ascii="宋体" w:hAnsi="宋体" w:eastAsia="宋体" w:cs="Times New Roman"/>
                <w:bCs/>
                <w:sz w:val="24"/>
                <w:szCs w:val="24"/>
                <w:highlight w:val="none"/>
                <w:lang w:val="en-US" w:eastAsia="zh-CN"/>
              </w:rPr>
              <w:t>1㎡</w:t>
            </w:r>
          </w:p>
        </w:tc>
        <w:tc>
          <w:tcPr>
            <w:tcW w:w="1904" w:type="dxa"/>
            <w:tcBorders>
              <w:top w:val="single" w:color="auto" w:sz="4" w:space="0"/>
              <w:left w:val="single" w:color="auto" w:sz="4" w:space="0"/>
              <w:bottom w:val="single" w:color="auto" w:sz="4" w:space="0"/>
              <w:right w:val="single" w:color="auto" w:sz="4" w:space="0"/>
            </w:tcBorders>
          </w:tcPr>
          <w:p w14:paraId="57FD9EFC">
            <w:pPr>
              <w:jc w:val="center"/>
              <w:rPr>
                <w:rFonts w:ascii="Times New Roman" w:hAnsi="Times New Roman" w:eastAsia="宋体" w:cs="宋体"/>
                <w:szCs w:val="21"/>
                <w:highlight w:val="none"/>
              </w:rPr>
            </w:pPr>
          </w:p>
        </w:tc>
        <w:tc>
          <w:tcPr>
            <w:tcW w:w="1834" w:type="dxa"/>
            <w:tcBorders>
              <w:top w:val="single" w:color="auto" w:sz="4" w:space="0"/>
              <w:left w:val="single" w:color="auto" w:sz="4" w:space="0"/>
              <w:bottom w:val="single" w:color="auto" w:sz="4" w:space="0"/>
              <w:right w:val="single" w:color="auto" w:sz="4" w:space="0"/>
            </w:tcBorders>
          </w:tcPr>
          <w:p w14:paraId="6A6B9C69">
            <w:pPr>
              <w:jc w:val="center"/>
              <w:rPr>
                <w:rFonts w:ascii="Times New Roman" w:hAnsi="Times New Roman" w:eastAsia="宋体" w:cs="宋体"/>
                <w:szCs w:val="21"/>
                <w:highlight w:val="none"/>
              </w:rPr>
            </w:pPr>
          </w:p>
        </w:tc>
      </w:tr>
      <w:tr w14:paraId="21B2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458" w:type="dxa"/>
            <w:tcBorders>
              <w:top w:val="single" w:color="auto" w:sz="4" w:space="0"/>
              <w:left w:val="single" w:color="auto" w:sz="4" w:space="0"/>
              <w:bottom w:val="single" w:color="auto" w:sz="4" w:space="0"/>
              <w:right w:val="single" w:color="auto" w:sz="4" w:space="0"/>
            </w:tcBorders>
            <w:vAlign w:val="center"/>
          </w:tcPr>
          <w:p w14:paraId="443265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2"/>
                <w:rFonts w:hint="eastAsia" w:ascii="宋体" w:hAnsi="宋体" w:eastAsia="宋体" w:cs="Times New Roman"/>
                <w:bCs/>
                <w:sz w:val="24"/>
                <w:szCs w:val="24"/>
                <w:highlight w:val="none"/>
                <w:lang w:val="en-US" w:eastAsia="zh-CN"/>
              </w:rPr>
            </w:pPr>
            <w:r>
              <w:rPr>
                <w:rStyle w:val="82"/>
                <w:rFonts w:hint="eastAsia" w:ascii="宋体" w:hAnsi="宋体" w:eastAsia="宋体" w:cs="Times New Roman"/>
                <w:bCs/>
                <w:sz w:val="24"/>
                <w:szCs w:val="24"/>
                <w:highlight w:val="none"/>
                <w:lang w:val="en-US" w:eastAsia="zh-CN"/>
              </w:rPr>
              <w:t>常温冷漆标线</w:t>
            </w:r>
          </w:p>
          <w:p w14:paraId="3257FCAA">
            <w:pPr>
              <w:pStyle w:val="10"/>
              <w:numPr>
                <w:ilvl w:val="0"/>
                <w:numId w:val="2"/>
              </w:numP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厚度0.3-0.5mm，颜色按要求</w:t>
            </w:r>
          </w:p>
          <w:p w14:paraId="440461DB">
            <w:pPr>
              <w:pStyle w:val="43"/>
              <w:numPr>
                <w:ilvl w:val="0"/>
                <w:numId w:val="2"/>
              </w:numPr>
              <w:rPr>
                <w:rFonts w:hint="eastAsia"/>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常温溶剂型道路标线涂料，喷涂两遍</w:t>
            </w:r>
          </w:p>
        </w:tc>
        <w:tc>
          <w:tcPr>
            <w:tcW w:w="1943" w:type="dxa"/>
            <w:gridSpan w:val="2"/>
            <w:tcBorders>
              <w:top w:val="single" w:color="auto" w:sz="4" w:space="0"/>
              <w:left w:val="single" w:color="auto" w:sz="4" w:space="0"/>
              <w:bottom w:val="single" w:color="auto" w:sz="4" w:space="0"/>
              <w:right w:val="single" w:color="auto" w:sz="4" w:space="0"/>
            </w:tcBorders>
            <w:vAlign w:val="center"/>
          </w:tcPr>
          <w:p w14:paraId="0B5CF8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2"/>
                <w:rFonts w:hint="eastAsia" w:ascii="宋体" w:hAnsi="宋体" w:eastAsia="宋体" w:cs="Times New Roman"/>
                <w:bCs/>
                <w:sz w:val="24"/>
                <w:szCs w:val="24"/>
                <w:highlight w:val="none"/>
                <w:lang w:val="en-US" w:eastAsia="zh-CN"/>
              </w:rPr>
            </w:pPr>
            <w:r>
              <w:rPr>
                <w:rStyle w:val="82"/>
                <w:rFonts w:hint="eastAsia" w:ascii="宋体" w:hAnsi="宋体" w:eastAsia="宋体" w:cs="Times New Roman"/>
                <w:bCs/>
                <w:sz w:val="24"/>
                <w:szCs w:val="24"/>
                <w:highlight w:val="none"/>
                <w:lang w:val="en-US" w:eastAsia="zh-CN"/>
              </w:rPr>
              <w:t>1㎡</w:t>
            </w:r>
          </w:p>
        </w:tc>
        <w:tc>
          <w:tcPr>
            <w:tcW w:w="1904" w:type="dxa"/>
            <w:tcBorders>
              <w:top w:val="single" w:color="auto" w:sz="4" w:space="0"/>
              <w:left w:val="single" w:color="auto" w:sz="4" w:space="0"/>
              <w:bottom w:val="single" w:color="auto" w:sz="4" w:space="0"/>
              <w:right w:val="single" w:color="auto" w:sz="4" w:space="0"/>
            </w:tcBorders>
          </w:tcPr>
          <w:p w14:paraId="5C7EC9EE">
            <w:pPr>
              <w:jc w:val="center"/>
              <w:rPr>
                <w:rFonts w:ascii="Times New Roman" w:hAnsi="Times New Roman" w:eastAsia="宋体" w:cs="宋体"/>
                <w:szCs w:val="21"/>
                <w:highlight w:val="none"/>
              </w:rPr>
            </w:pPr>
          </w:p>
        </w:tc>
        <w:tc>
          <w:tcPr>
            <w:tcW w:w="1834" w:type="dxa"/>
            <w:tcBorders>
              <w:top w:val="single" w:color="auto" w:sz="4" w:space="0"/>
              <w:left w:val="single" w:color="auto" w:sz="4" w:space="0"/>
              <w:bottom w:val="single" w:color="auto" w:sz="4" w:space="0"/>
              <w:right w:val="single" w:color="auto" w:sz="4" w:space="0"/>
            </w:tcBorders>
          </w:tcPr>
          <w:p w14:paraId="5A9C154C">
            <w:pPr>
              <w:jc w:val="center"/>
              <w:rPr>
                <w:rFonts w:ascii="Times New Roman" w:hAnsi="Times New Roman" w:eastAsia="宋体" w:cs="宋体"/>
                <w:szCs w:val="21"/>
                <w:highlight w:val="none"/>
              </w:rPr>
            </w:pPr>
          </w:p>
        </w:tc>
      </w:tr>
      <w:tr w14:paraId="6BAF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305" w:type="dxa"/>
            <w:gridSpan w:val="4"/>
            <w:tcBorders>
              <w:top w:val="single" w:color="auto" w:sz="4" w:space="0"/>
              <w:left w:val="single" w:color="auto" w:sz="4" w:space="0"/>
              <w:bottom w:val="single" w:color="auto" w:sz="4" w:space="0"/>
              <w:right w:val="single" w:color="auto" w:sz="4" w:space="0"/>
            </w:tcBorders>
            <w:vAlign w:val="center"/>
          </w:tcPr>
          <w:p w14:paraId="0CADA459">
            <w:pPr>
              <w:jc w:val="right"/>
              <w:rPr>
                <w:rFonts w:hint="default"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总计</w:t>
            </w:r>
          </w:p>
        </w:tc>
        <w:tc>
          <w:tcPr>
            <w:tcW w:w="1834" w:type="dxa"/>
            <w:tcBorders>
              <w:top w:val="single" w:color="auto" w:sz="4" w:space="0"/>
              <w:left w:val="single" w:color="auto" w:sz="4" w:space="0"/>
              <w:bottom w:val="single" w:color="auto" w:sz="4" w:space="0"/>
              <w:right w:val="single" w:color="auto" w:sz="4" w:space="0"/>
            </w:tcBorders>
          </w:tcPr>
          <w:p w14:paraId="6639F626">
            <w:pPr>
              <w:jc w:val="left"/>
              <w:rPr>
                <w:rFonts w:hint="eastAsia" w:ascii="宋体" w:hAnsi="宋体" w:eastAsia="宋体" w:cs="宋体"/>
                <w:i w:val="0"/>
                <w:color w:val="000000"/>
                <w:kern w:val="0"/>
                <w:sz w:val="24"/>
                <w:szCs w:val="24"/>
                <w:highlight w:val="none"/>
                <w:u w:val="none"/>
                <w:lang w:val="en-US" w:eastAsia="zh-CN" w:bidi="ar"/>
              </w:rPr>
            </w:pPr>
          </w:p>
        </w:tc>
      </w:tr>
      <w:tr w14:paraId="0663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4" w:hRule="atLeast"/>
          <w:jc w:val="center"/>
        </w:trPr>
        <w:tc>
          <w:tcPr>
            <w:tcW w:w="3502" w:type="dxa"/>
            <w:gridSpan w:val="2"/>
            <w:tcBorders>
              <w:top w:val="single" w:color="auto" w:sz="4" w:space="0"/>
              <w:left w:val="single" w:color="auto" w:sz="4" w:space="0"/>
              <w:bottom w:val="single" w:color="auto" w:sz="4" w:space="0"/>
              <w:right w:val="single" w:color="auto" w:sz="4" w:space="0"/>
            </w:tcBorders>
            <w:vAlign w:val="center"/>
          </w:tcPr>
          <w:p w14:paraId="25241290">
            <w:pPr>
              <w:jc w:val="left"/>
              <w:rPr>
                <w:rFonts w:hint="default"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质保期</w:t>
            </w:r>
          </w:p>
        </w:tc>
        <w:tc>
          <w:tcPr>
            <w:tcW w:w="5637" w:type="dxa"/>
            <w:gridSpan w:val="3"/>
            <w:tcBorders>
              <w:top w:val="single" w:color="auto" w:sz="4" w:space="0"/>
              <w:left w:val="single" w:color="auto" w:sz="4" w:space="0"/>
              <w:bottom w:val="single" w:color="auto" w:sz="4" w:space="0"/>
              <w:right w:val="single" w:color="auto" w:sz="4" w:space="0"/>
            </w:tcBorders>
            <w:vAlign w:val="center"/>
          </w:tcPr>
          <w:p w14:paraId="2970FB4F">
            <w:pPr>
              <w:jc w:val="both"/>
              <w:rPr>
                <w:rFonts w:hint="eastAsia" w:ascii="宋体" w:hAnsi="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1年</w:t>
            </w:r>
          </w:p>
        </w:tc>
      </w:tr>
      <w:tr w14:paraId="0016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3502" w:type="dxa"/>
            <w:gridSpan w:val="2"/>
            <w:tcBorders>
              <w:top w:val="single" w:color="auto" w:sz="4" w:space="0"/>
              <w:left w:val="single" w:color="auto" w:sz="4" w:space="0"/>
              <w:bottom w:val="single" w:color="auto" w:sz="4" w:space="0"/>
              <w:right w:val="single" w:color="auto" w:sz="4" w:space="0"/>
            </w:tcBorders>
            <w:vAlign w:val="center"/>
          </w:tcPr>
          <w:p w14:paraId="4A0158B2">
            <w:pPr>
              <w:jc w:val="left"/>
              <w:rPr>
                <w:rFonts w:hint="eastAsia" w:ascii="宋体" w:hAnsi="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是否同意付款方式</w:t>
            </w:r>
          </w:p>
        </w:tc>
        <w:tc>
          <w:tcPr>
            <w:tcW w:w="5637" w:type="dxa"/>
            <w:gridSpan w:val="3"/>
            <w:tcBorders>
              <w:top w:val="single" w:color="auto" w:sz="4" w:space="0"/>
              <w:left w:val="single" w:color="auto" w:sz="4" w:space="0"/>
              <w:bottom w:val="single" w:color="auto" w:sz="4" w:space="0"/>
              <w:right w:val="single" w:color="auto" w:sz="4" w:space="0"/>
            </w:tcBorders>
            <w:vAlign w:val="center"/>
          </w:tcPr>
          <w:p w14:paraId="4DE4487B">
            <w:pPr>
              <w:jc w:val="center"/>
              <w:rPr>
                <w:rFonts w:hint="eastAsia" w:ascii="宋体" w:hAnsi="宋体" w:cs="宋体"/>
                <w:i w:val="0"/>
                <w:color w:val="000000"/>
                <w:kern w:val="0"/>
                <w:sz w:val="24"/>
                <w:szCs w:val="24"/>
                <w:highlight w:val="none"/>
                <w:u w:val="none"/>
                <w:lang w:val="en-US" w:eastAsia="zh-CN" w:bidi="ar"/>
              </w:rPr>
            </w:pPr>
          </w:p>
        </w:tc>
      </w:tr>
      <w:tr w14:paraId="3698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139" w:type="dxa"/>
            <w:gridSpan w:val="5"/>
            <w:tcBorders>
              <w:top w:val="single" w:color="auto" w:sz="4" w:space="0"/>
              <w:left w:val="single" w:color="auto" w:sz="4" w:space="0"/>
              <w:bottom w:val="single" w:color="auto" w:sz="4" w:space="0"/>
              <w:right w:val="single" w:color="auto" w:sz="4" w:space="0"/>
            </w:tcBorders>
            <w:vAlign w:val="top"/>
          </w:tcPr>
          <w:p w14:paraId="5FA2F0F9">
            <w:pPr>
              <w:jc w:val="both"/>
              <w:rPr>
                <w:rFonts w:hint="eastAsia" w:ascii="宋体" w:hAnsi="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特殊说明：</w:t>
            </w:r>
          </w:p>
        </w:tc>
      </w:tr>
      <w:tr w14:paraId="610D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9139" w:type="dxa"/>
            <w:gridSpan w:val="5"/>
            <w:tcBorders>
              <w:top w:val="single" w:color="auto" w:sz="4" w:space="0"/>
              <w:left w:val="single" w:color="auto" w:sz="4" w:space="0"/>
              <w:bottom w:val="single" w:color="auto" w:sz="4" w:space="0"/>
              <w:right w:val="single" w:color="auto" w:sz="4" w:space="0"/>
            </w:tcBorders>
            <w:vAlign w:val="center"/>
          </w:tcPr>
          <w:p w14:paraId="40DD64D5">
            <w:pPr>
              <w:pStyle w:val="14"/>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本投标人是否完全认同招标文件的各项条款要求：</w:t>
            </w:r>
          </w:p>
          <w:p w14:paraId="07BF9FEB">
            <w:pPr>
              <w:jc w:val="left"/>
              <w:rPr>
                <w:rFonts w:hint="eastAsia" w:ascii="宋体" w:hAnsi="宋体" w:eastAsia="宋体" w:cs="宋体"/>
                <w:i w:val="0"/>
                <w:color w:val="000000"/>
                <w:kern w:val="0"/>
                <w:sz w:val="24"/>
                <w:szCs w:val="24"/>
                <w:highlight w:val="none"/>
                <w:u w:val="none"/>
                <w:lang w:val="en-US" w:eastAsia="zh-CN" w:bidi="ar"/>
              </w:rPr>
            </w:pPr>
          </w:p>
        </w:tc>
      </w:tr>
    </w:tbl>
    <w:p w14:paraId="6B5D661A">
      <w:pPr>
        <w:keepNext w:val="0"/>
        <w:keepLines w:val="0"/>
        <w:widowControl/>
        <w:suppressLineNumbers w:val="0"/>
        <w:jc w:val="left"/>
        <w:textAlignment w:val="center"/>
        <w:rPr>
          <w:rFonts w:hint="default" w:ascii="宋体" w:hAnsi="宋体" w:eastAsia="宋体" w:cs="宋体"/>
          <w:b/>
          <w:i w:val="0"/>
          <w:color w:val="000000"/>
          <w:kern w:val="0"/>
          <w:sz w:val="24"/>
          <w:szCs w:val="24"/>
          <w:highlight w:val="none"/>
          <w:u w:val="none"/>
          <w:lang w:val="en-US" w:eastAsia="zh-CN" w:bidi="ar"/>
        </w:rPr>
      </w:pPr>
      <w:r>
        <w:rPr>
          <w:rFonts w:hint="eastAsia" w:ascii="宋体" w:hAnsi="宋体" w:cs="宋体"/>
          <w:b/>
          <w:i w:val="0"/>
          <w:color w:val="000000"/>
          <w:kern w:val="0"/>
          <w:sz w:val="24"/>
          <w:szCs w:val="24"/>
          <w:highlight w:val="none"/>
          <w:u w:val="none"/>
          <w:lang w:val="en-US" w:eastAsia="zh-CN" w:bidi="ar"/>
        </w:rPr>
        <w:t>说明：本项目数量为预估数量，实际结算数量以审计结果为准。单次施工费用10万元以内。</w:t>
      </w:r>
    </w:p>
    <w:p w14:paraId="30ADCAB6">
      <w:pPr>
        <w:rPr>
          <w:rFonts w:hint="eastAsia" w:ascii="Times New Roman" w:hAnsi="Times New Roman" w:eastAsia="宋体" w:cs="宋体"/>
          <w:sz w:val="24"/>
          <w:szCs w:val="24"/>
          <w:highlight w:val="none"/>
        </w:rPr>
      </w:pPr>
    </w:p>
    <w:p w14:paraId="28EA263B">
      <w:pPr>
        <w:jc w:val="center"/>
        <w:rPr>
          <w:rFonts w:hint="eastAsia" w:cs="宋体"/>
          <w:sz w:val="24"/>
          <w:szCs w:val="24"/>
          <w:highlight w:val="none"/>
          <w:lang w:val="en-US" w:eastAsia="zh-CN"/>
        </w:rPr>
      </w:pPr>
    </w:p>
    <w:p w14:paraId="09AC220D">
      <w:pPr>
        <w:jc w:val="center"/>
        <w:rPr>
          <w:rFonts w:hint="eastAsia" w:cs="宋体"/>
          <w:sz w:val="24"/>
          <w:szCs w:val="24"/>
          <w:highlight w:val="none"/>
          <w:lang w:val="en-US" w:eastAsia="zh-CN"/>
        </w:rPr>
      </w:pPr>
    </w:p>
    <w:p w14:paraId="6232AAB4">
      <w:pPr>
        <w:jc w:val="center"/>
        <w:rPr>
          <w:rFonts w:hint="eastAsia" w:cs="宋体"/>
          <w:sz w:val="24"/>
          <w:szCs w:val="24"/>
          <w:highlight w:val="none"/>
          <w:lang w:val="en-US" w:eastAsia="zh-CN"/>
        </w:rPr>
      </w:pPr>
      <w:r>
        <w:rPr>
          <w:rFonts w:hint="eastAsia" w:cs="宋体"/>
          <w:sz w:val="24"/>
          <w:szCs w:val="24"/>
          <w:highlight w:val="none"/>
          <w:lang w:val="en-US" w:eastAsia="zh-CN"/>
        </w:rPr>
        <w:t xml:space="preserve">             </w:t>
      </w:r>
    </w:p>
    <w:p w14:paraId="50D65F80">
      <w:pPr>
        <w:jc w:val="both"/>
        <w:rPr>
          <w:rFonts w:hint="eastAsia" w:asciiTheme="minorEastAsia" w:hAnsiTheme="minorEastAsia" w:eastAsiaTheme="minorEastAsia"/>
          <w:b/>
          <w:color w:val="000000"/>
          <w:sz w:val="24"/>
          <w:szCs w:val="24"/>
          <w:highlight w:val="none"/>
        </w:rPr>
      </w:pPr>
      <w:r>
        <w:rPr>
          <w:rFonts w:hint="eastAsia" w:cs="宋体"/>
          <w:sz w:val="24"/>
          <w:szCs w:val="24"/>
          <w:highlight w:val="none"/>
          <w:lang w:val="en-US" w:eastAsia="zh-CN"/>
        </w:rPr>
        <w:t xml:space="preserve"> </w:t>
      </w:r>
      <w:r>
        <w:rPr>
          <w:rFonts w:hint="eastAsia" w:ascii="Times New Roman" w:hAnsi="Times New Roman" w:eastAsia="宋体" w:cs="宋体"/>
          <w:sz w:val="24"/>
          <w:szCs w:val="24"/>
          <w:highlight w:val="none"/>
        </w:rPr>
        <w:t>授权代表签字</w:t>
      </w:r>
      <w:r>
        <w:rPr>
          <w:rFonts w:hint="eastAsia" w:cs="宋体"/>
          <w:sz w:val="24"/>
          <w:szCs w:val="24"/>
          <w:highlight w:val="none"/>
          <w:lang w:eastAsia="zh-CN"/>
        </w:rPr>
        <w:t>（</w:t>
      </w:r>
      <w:r>
        <w:rPr>
          <w:rFonts w:hint="eastAsia" w:cs="宋体"/>
          <w:sz w:val="24"/>
          <w:szCs w:val="24"/>
          <w:highlight w:val="none"/>
          <w:lang w:val="en-US" w:eastAsia="zh-CN"/>
        </w:rPr>
        <w:t>盖章</w:t>
      </w:r>
      <w:r>
        <w:rPr>
          <w:rFonts w:hint="eastAsia" w:cs="宋体"/>
          <w:sz w:val="24"/>
          <w:szCs w:val="24"/>
          <w:highlight w:val="none"/>
          <w:lang w:eastAsia="zh-CN"/>
        </w:rPr>
        <w:t>）</w:t>
      </w:r>
      <w:r>
        <w:rPr>
          <w:rFonts w:hint="eastAsia" w:ascii="Times New Roman" w:hAnsi="Times New Roman" w:eastAsia="宋体" w:cs="宋体"/>
          <w:sz w:val="24"/>
          <w:szCs w:val="24"/>
          <w:highlight w:val="none"/>
        </w:rPr>
        <w:t xml:space="preserve">：           </w:t>
      </w:r>
      <w:r>
        <w:rPr>
          <w:rFonts w:hint="eastAsia" w:cs="宋体"/>
          <w:sz w:val="24"/>
          <w:szCs w:val="24"/>
          <w:highlight w:val="none"/>
          <w:lang w:val="en-US" w:eastAsia="zh-CN"/>
        </w:rPr>
        <w:t xml:space="preserve">     </w:t>
      </w:r>
      <w:r>
        <w:rPr>
          <w:rFonts w:hint="eastAsia" w:ascii="Times New Roman" w:hAnsi="Times New Roman" w:eastAsia="宋体" w:cs="宋体"/>
          <w:sz w:val="24"/>
          <w:szCs w:val="24"/>
          <w:highlight w:val="none"/>
        </w:rPr>
        <w:t xml:space="preserve"> 日期：</w:t>
      </w:r>
    </w:p>
    <w:p w14:paraId="0B43F7C2">
      <w:pPr>
        <w:ind w:firstLine="480"/>
        <w:rPr>
          <w:rFonts w:hint="eastAsia" w:asciiTheme="minorEastAsia" w:hAnsiTheme="minorEastAsia" w:eastAsiaTheme="minorEastAsia"/>
          <w:color w:val="000000"/>
          <w:sz w:val="24"/>
          <w:szCs w:val="24"/>
          <w:highlight w:val="none"/>
        </w:rPr>
      </w:pPr>
    </w:p>
    <w:p w14:paraId="46705044">
      <w:pPr>
        <w:rPr>
          <w:rFonts w:hint="eastAsia" w:cs="宋体" w:asciiTheme="minorEastAsia" w:hAnsiTheme="minorEastAsia" w:eastAsiaTheme="minorEastAsia"/>
          <w:b/>
          <w:bCs/>
          <w:color w:val="000000"/>
          <w:sz w:val="24"/>
          <w:szCs w:val="24"/>
          <w:highlight w:val="none"/>
        </w:rPr>
      </w:pPr>
    </w:p>
    <w:p w14:paraId="5612EA00">
      <w:pPr>
        <w:rPr>
          <w:rFonts w:hint="eastAsia" w:asciiTheme="minorEastAsia" w:hAnsiTheme="minorEastAsia" w:eastAsiaTheme="minorEastAsia"/>
          <w:b/>
          <w:bCs/>
          <w:color w:val="000000"/>
          <w:sz w:val="24"/>
          <w:szCs w:val="24"/>
          <w:highlight w:val="none"/>
          <w:lang w:eastAsia="zh-CN"/>
        </w:rPr>
      </w:pPr>
      <w:r>
        <w:rPr>
          <w:rFonts w:hint="eastAsia" w:cs="宋体" w:asciiTheme="minorEastAsia" w:hAnsiTheme="minorEastAsia" w:eastAsiaTheme="minorEastAsia"/>
          <w:b/>
          <w:bCs/>
          <w:color w:val="000000"/>
          <w:sz w:val="24"/>
          <w:szCs w:val="24"/>
          <w:highlight w:val="none"/>
        </w:rPr>
        <w:t>附件格式</w:t>
      </w:r>
      <w:r>
        <w:rPr>
          <w:rFonts w:hint="eastAsia" w:asciiTheme="minorEastAsia" w:hAnsiTheme="minorEastAsia" w:eastAsiaTheme="minorEastAsia"/>
          <w:b/>
          <w:bCs/>
          <w:color w:val="000000"/>
          <w:sz w:val="24"/>
          <w:szCs w:val="24"/>
          <w:highlight w:val="none"/>
          <w:lang w:val="en-US" w:eastAsia="zh-CN"/>
        </w:rPr>
        <w:t>4</w:t>
      </w:r>
    </w:p>
    <w:p w14:paraId="41DC1FA2">
      <w:pPr>
        <w:ind w:firstLine="480"/>
        <w:rPr>
          <w:rFonts w:hint="eastAsia" w:asciiTheme="minorEastAsia" w:hAnsiTheme="minorEastAsia" w:eastAsiaTheme="minorEastAsia"/>
          <w:color w:val="000000"/>
          <w:sz w:val="24"/>
          <w:szCs w:val="24"/>
          <w:highlight w:val="none"/>
        </w:rPr>
      </w:pPr>
    </w:p>
    <w:p w14:paraId="3645E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(XX项目)</w:t>
      </w:r>
    </w:p>
    <w:p w14:paraId="2B392CA5">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日期：  年   月   日</w:t>
      </w:r>
    </w:p>
    <w:p w14:paraId="1F0BCB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法人授权委托书</w:t>
      </w:r>
    </w:p>
    <w:p w14:paraId="0344E6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（招标人名称）                            ：</w:t>
      </w:r>
    </w:p>
    <w:p w14:paraId="733BEF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本授权委托书声明：我</w:t>
      </w:r>
      <w:r>
        <w:rPr>
          <w:rFonts w:hint="eastAsia" w:ascii="宋体" w:hAnsi="宋体" w:eastAsia="宋体" w:cs="宋体"/>
          <w:kern w:val="0"/>
          <w:sz w:val="24"/>
          <w:szCs w:val="24"/>
          <w:highlight w:val="none"/>
          <w:u w:val="single"/>
        </w:rPr>
        <w:t xml:space="preserve">（法人姓名）       </w:t>
      </w:r>
      <w:r>
        <w:rPr>
          <w:rFonts w:hint="eastAsia" w:ascii="宋体" w:hAnsi="宋体" w:eastAsia="宋体" w:cs="宋体"/>
          <w:kern w:val="0"/>
          <w:sz w:val="24"/>
          <w:szCs w:val="24"/>
          <w:highlight w:val="none"/>
        </w:rPr>
        <w:t>系</w:t>
      </w:r>
      <w:r>
        <w:rPr>
          <w:rFonts w:hint="eastAsia" w:ascii="宋体" w:hAnsi="宋体" w:eastAsia="宋体" w:cs="宋体"/>
          <w:sz w:val="24"/>
          <w:szCs w:val="24"/>
          <w:highlight w:val="none"/>
          <w:u w:val="single"/>
        </w:rPr>
        <w:t>（投标人名称）</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的法定代表人，现授权委托</w:t>
      </w:r>
      <w:r>
        <w:rPr>
          <w:rFonts w:hint="eastAsia" w:ascii="宋体" w:hAnsi="宋体" w:eastAsia="宋体" w:cs="宋体"/>
          <w:sz w:val="24"/>
          <w:szCs w:val="24"/>
          <w:highlight w:val="none"/>
          <w:u w:val="single"/>
        </w:rPr>
        <w:t>（投标人名称）</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的</w:t>
      </w:r>
      <w:r>
        <w:rPr>
          <w:rFonts w:hint="eastAsia" w:ascii="宋体" w:hAnsi="宋体" w:eastAsia="宋体" w:cs="宋体"/>
          <w:kern w:val="0"/>
          <w:sz w:val="24"/>
          <w:szCs w:val="24"/>
          <w:highlight w:val="none"/>
          <w:u w:val="single"/>
        </w:rPr>
        <w:t xml:space="preserve"> （授权委托代理人姓名）        </w:t>
      </w:r>
      <w:r>
        <w:rPr>
          <w:rFonts w:hint="eastAsia" w:ascii="宋体" w:hAnsi="宋体" w:eastAsia="宋体" w:cs="宋体"/>
          <w:kern w:val="0"/>
          <w:sz w:val="24"/>
          <w:szCs w:val="24"/>
          <w:highlight w:val="none"/>
        </w:rPr>
        <w:t>为我公司参加贵方组织的</w:t>
      </w:r>
      <w:r>
        <w:rPr>
          <w:rFonts w:hint="eastAsia" w:ascii="宋体" w:hAnsi="宋体" w:eastAsia="宋体" w:cs="宋体"/>
          <w:kern w:val="0"/>
          <w:sz w:val="24"/>
          <w:szCs w:val="24"/>
          <w:highlight w:val="none"/>
          <w:u w:val="single"/>
        </w:rPr>
        <w:t xml:space="preserve"> </w:t>
      </w:r>
      <w:r>
        <w:rPr>
          <w:rFonts w:hint="eastAsia" w:ascii="宋体" w:hAnsi="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rPr>
        <w:t xml:space="preserve">XX项目 </w:t>
      </w:r>
      <w:r>
        <w:rPr>
          <w:rFonts w:hint="eastAsia" w:ascii="宋体" w:hAnsi="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5046E118">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委托期限：</w:t>
      </w:r>
      <w:r>
        <w:rPr>
          <w:rFonts w:hint="eastAsia" w:ascii="宋体" w:hAnsi="宋体" w:eastAsia="宋体" w:cs="宋体"/>
          <w:kern w:val="0"/>
          <w:sz w:val="24"/>
          <w:szCs w:val="24"/>
          <w:highlight w:val="none"/>
          <w:u w:val="single"/>
        </w:rPr>
        <w:t>20XX  年X 月 X 日至 20XX  年 X 月 X 日</w:t>
      </w:r>
    </w:p>
    <w:p w14:paraId="522BCC13">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代理人无转委托权，特此委托。</w:t>
      </w:r>
    </w:p>
    <w:p w14:paraId="72BFBE2A">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代理人姓名：</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性别：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年龄： </w:t>
      </w:r>
      <w:r>
        <w:rPr>
          <w:rFonts w:hint="eastAsia" w:ascii="宋体" w:hAnsi="宋体" w:eastAsia="宋体" w:cs="宋体"/>
          <w:kern w:val="0"/>
          <w:sz w:val="24"/>
          <w:szCs w:val="24"/>
          <w:highlight w:val="none"/>
          <w:u w:val="single"/>
        </w:rPr>
        <w:t xml:space="preserve">      </w:t>
      </w:r>
    </w:p>
    <w:p w14:paraId="194ABA1F">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身份证号码：</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职务：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w:t>
      </w:r>
    </w:p>
    <w:p w14:paraId="32F785F8">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投标人名称：（盖单位公章）</w:t>
      </w:r>
    </w:p>
    <w:p w14:paraId="054A443A">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法定代表人：（签字）</w:t>
      </w:r>
    </w:p>
    <w:p w14:paraId="077D1A95">
      <w:pPr>
        <w:spacing w:line="360" w:lineRule="auto"/>
        <w:ind w:firstLine="480" w:firstLineChars="200"/>
        <w:rPr>
          <w:rFonts w:hint="eastAsia" w:ascii="宋体" w:hAnsi="宋体" w:eastAsia="宋体" w:cs="宋体"/>
          <w:kern w:val="0"/>
          <w:sz w:val="24"/>
          <w:szCs w:val="24"/>
          <w:highlight w:val="none"/>
        </w:rPr>
      </w:pPr>
    </w:p>
    <w:p w14:paraId="579BDDEA">
      <w:pPr>
        <w:adjustRightInd w:val="0"/>
        <w:spacing w:line="480" w:lineRule="exact"/>
        <w:jc w:val="left"/>
        <w:textAlignment w:val="baseline"/>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附被授权人有效的身份证正反两面复印件</w:t>
      </w:r>
    </w:p>
    <w:p w14:paraId="0EE6414C">
      <w:pPr>
        <w:spacing w:line="360" w:lineRule="auto"/>
        <w:rPr>
          <w:rFonts w:hint="eastAsia" w:ascii="宋体" w:hAnsi="宋体" w:eastAsia="宋体" w:cs="宋体"/>
          <w:kern w:val="0"/>
          <w:szCs w:val="21"/>
          <w:highlight w:val="none"/>
        </w:rPr>
      </w:pPr>
    </w:p>
    <w:p w14:paraId="0A1C7EAB">
      <w:pPr>
        <w:spacing w:line="360" w:lineRule="auto"/>
        <w:rPr>
          <w:rFonts w:hint="eastAsia" w:ascii="宋体" w:hAnsi="宋体" w:eastAsia="宋体" w:cs="宋体"/>
          <w:kern w:val="0"/>
          <w:szCs w:val="21"/>
          <w:highlight w:val="none"/>
        </w:rPr>
      </w:pPr>
    </w:p>
    <w:p w14:paraId="61497358">
      <w:pPr>
        <w:rPr>
          <w:rFonts w:cs="宋体" w:asciiTheme="minorEastAsia" w:hAnsiTheme="minorEastAsia" w:eastAsiaTheme="minorEastAsia"/>
          <w:b/>
          <w:bCs/>
          <w:color w:val="FF0000"/>
          <w:sz w:val="24"/>
          <w:szCs w:val="24"/>
          <w:highlight w:val="none"/>
        </w:rPr>
      </w:pPr>
      <w:r>
        <w:rPr>
          <w:rFonts w:hint="eastAsia" w:cs="宋体" w:asciiTheme="minorEastAsia" w:hAnsiTheme="minorEastAsia" w:eastAsiaTheme="minorEastAsia"/>
          <w:b/>
          <w:bCs/>
          <w:color w:val="FF0000"/>
          <w:sz w:val="24"/>
          <w:szCs w:val="24"/>
          <w:highlight w:val="none"/>
        </w:rPr>
        <w:br w:type="page"/>
      </w:r>
    </w:p>
    <w:p w14:paraId="53D338D5">
      <w:pPr>
        <w:rPr>
          <w:rFonts w:cs="宋体" w:asciiTheme="minorEastAsia" w:hAnsiTheme="minorEastAsia" w:eastAsiaTheme="minorEastAsia"/>
          <w:b/>
          <w:bCs/>
          <w:color w:val="000000"/>
          <w:sz w:val="24"/>
          <w:szCs w:val="24"/>
          <w:highlight w:val="none"/>
        </w:rPr>
      </w:pPr>
    </w:p>
    <w:p w14:paraId="4DBA76A2">
      <w:pPr>
        <w:rPr>
          <w:rFonts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附件格式</w:t>
      </w:r>
      <w:r>
        <w:rPr>
          <w:rFonts w:asciiTheme="minorEastAsia" w:hAnsiTheme="minorEastAsia" w:eastAsiaTheme="minorEastAsia"/>
          <w:b/>
          <w:bCs/>
          <w:color w:val="000000"/>
          <w:sz w:val="24"/>
          <w:szCs w:val="24"/>
          <w:highlight w:val="none"/>
        </w:rPr>
        <w:t>5</w:t>
      </w:r>
    </w:p>
    <w:p w14:paraId="11AA76CD">
      <w:pPr>
        <w:pStyle w:val="14"/>
        <w:spacing w:line="360" w:lineRule="auto"/>
        <w:jc w:val="center"/>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商务条款偏离表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1080"/>
        <w:gridCol w:w="2474"/>
      </w:tblGrid>
      <w:tr w14:paraId="177C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1EBB7E8A">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序号</w:t>
            </w:r>
          </w:p>
        </w:tc>
        <w:tc>
          <w:tcPr>
            <w:tcW w:w="4140" w:type="dxa"/>
            <w:gridSpan w:val="2"/>
            <w:vAlign w:val="center"/>
          </w:tcPr>
          <w:p w14:paraId="1045146F">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招标文件条款</w:t>
            </w:r>
          </w:p>
        </w:tc>
        <w:tc>
          <w:tcPr>
            <w:tcW w:w="3554" w:type="dxa"/>
            <w:gridSpan w:val="2"/>
            <w:vAlign w:val="center"/>
          </w:tcPr>
          <w:p w14:paraId="12642EFF">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投标书条款</w:t>
            </w:r>
          </w:p>
        </w:tc>
      </w:tr>
      <w:tr w14:paraId="2711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4614F709">
            <w:pPr>
              <w:rPr>
                <w:rFonts w:asciiTheme="minorEastAsia" w:hAnsiTheme="minorEastAsia" w:eastAsiaTheme="minorEastAsia"/>
                <w:color w:val="000000"/>
                <w:sz w:val="24"/>
                <w:szCs w:val="24"/>
                <w:highlight w:val="none"/>
              </w:rPr>
            </w:pPr>
          </w:p>
        </w:tc>
        <w:tc>
          <w:tcPr>
            <w:tcW w:w="1080" w:type="dxa"/>
            <w:vAlign w:val="center"/>
          </w:tcPr>
          <w:p w14:paraId="6D3F8538">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条款号</w:t>
            </w:r>
          </w:p>
        </w:tc>
        <w:tc>
          <w:tcPr>
            <w:tcW w:w="3060" w:type="dxa"/>
            <w:vAlign w:val="center"/>
          </w:tcPr>
          <w:p w14:paraId="09B8C4A4">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条款内容</w:t>
            </w:r>
          </w:p>
        </w:tc>
        <w:tc>
          <w:tcPr>
            <w:tcW w:w="1080" w:type="dxa"/>
            <w:vAlign w:val="center"/>
          </w:tcPr>
          <w:p w14:paraId="393F07AE">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条款号</w:t>
            </w:r>
          </w:p>
        </w:tc>
        <w:tc>
          <w:tcPr>
            <w:tcW w:w="2474" w:type="dxa"/>
            <w:vAlign w:val="center"/>
          </w:tcPr>
          <w:p w14:paraId="27F03D58">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条款内容</w:t>
            </w:r>
          </w:p>
        </w:tc>
      </w:tr>
      <w:tr w14:paraId="542C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4EF543A">
            <w:pPr>
              <w:jc w:val="center"/>
              <w:rPr>
                <w:rFonts w:asciiTheme="minorEastAsia" w:hAnsiTheme="minorEastAsia" w:eastAsiaTheme="minorEastAsia"/>
                <w:color w:val="000000"/>
                <w:sz w:val="24"/>
                <w:szCs w:val="24"/>
                <w:highlight w:val="none"/>
              </w:rPr>
            </w:pPr>
          </w:p>
        </w:tc>
        <w:tc>
          <w:tcPr>
            <w:tcW w:w="1080" w:type="dxa"/>
            <w:vAlign w:val="center"/>
          </w:tcPr>
          <w:p w14:paraId="1B0A5417">
            <w:pPr>
              <w:rPr>
                <w:rFonts w:asciiTheme="minorEastAsia" w:hAnsiTheme="minorEastAsia" w:eastAsiaTheme="minorEastAsia"/>
                <w:color w:val="000000"/>
                <w:sz w:val="24"/>
                <w:szCs w:val="24"/>
                <w:highlight w:val="none"/>
              </w:rPr>
            </w:pPr>
          </w:p>
        </w:tc>
        <w:tc>
          <w:tcPr>
            <w:tcW w:w="3060" w:type="dxa"/>
            <w:vAlign w:val="center"/>
          </w:tcPr>
          <w:p w14:paraId="584756FC">
            <w:pPr>
              <w:rPr>
                <w:rFonts w:asciiTheme="minorEastAsia" w:hAnsiTheme="minorEastAsia" w:eastAsiaTheme="minorEastAsia"/>
                <w:color w:val="000000"/>
                <w:sz w:val="24"/>
                <w:szCs w:val="24"/>
                <w:highlight w:val="none"/>
              </w:rPr>
            </w:pPr>
          </w:p>
        </w:tc>
        <w:tc>
          <w:tcPr>
            <w:tcW w:w="1080" w:type="dxa"/>
            <w:vAlign w:val="center"/>
          </w:tcPr>
          <w:p w14:paraId="17747FD7">
            <w:pPr>
              <w:rPr>
                <w:rFonts w:asciiTheme="minorEastAsia" w:hAnsiTheme="minorEastAsia" w:eastAsiaTheme="minorEastAsia"/>
                <w:color w:val="000000"/>
                <w:sz w:val="24"/>
                <w:szCs w:val="24"/>
                <w:highlight w:val="none"/>
              </w:rPr>
            </w:pPr>
          </w:p>
        </w:tc>
        <w:tc>
          <w:tcPr>
            <w:tcW w:w="2474" w:type="dxa"/>
            <w:vAlign w:val="center"/>
          </w:tcPr>
          <w:p w14:paraId="1E1F20E5">
            <w:pPr>
              <w:rPr>
                <w:rFonts w:asciiTheme="minorEastAsia" w:hAnsiTheme="minorEastAsia" w:eastAsiaTheme="minorEastAsia"/>
                <w:color w:val="000000"/>
                <w:sz w:val="24"/>
                <w:szCs w:val="24"/>
                <w:highlight w:val="none"/>
              </w:rPr>
            </w:pPr>
          </w:p>
        </w:tc>
      </w:tr>
      <w:tr w14:paraId="576A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AA51ED9">
            <w:pPr>
              <w:jc w:val="center"/>
              <w:rPr>
                <w:rFonts w:asciiTheme="minorEastAsia" w:hAnsiTheme="minorEastAsia" w:eastAsiaTheme="minorEastAsia"/>
                <w:color w:val="000000"/>
                <w:sz w:val="24"/>
                <w:szCs w:val="24"/>
                <w:highlight w:val="none"/>
              </w:rPr>
            </w:pPr>
          </w:p>
        </w:tc>
        <w:tc>
          <w:tcPr>
            <w:tcW w:w="1080" w:type="dxa"/>
            <w:vAlign w:val="center"/>
          </w:tcPr>
          <w:p w14:paraId="5FB88C48">
            <w:pPr>
              <w:rPr>
                <w:rFonts w:asciiTheme="minorEastAsia" w:hAnsiTheme="minorEastAsia" w:eastAsiaTheme="minorEastAsia"/>
                <w:color w:val="000000"/>
                <w:sz w:val="24"/>
                <w:szCs w:val="24"/>
                <w:highlight w:val="none"/>
              </w:rPr>
            </w:pPr>
          </w:p>
        </w:tc>
        <w:tc>
          <w:tcPr>
            <w:tcW w:w="3060" w:type="dxa"/>
            <w:vAlign w:val="center"/>
          </w:tcPr>
          <w:p w14:paraId="0DB2173E">
            <w:pPr>
              <w:rPr>
                <w:rFonts w:asciiTheme="minorEastAsia" w:hAnsiTheme="minorEastAsia" w:eastAsiaTheme="minorEastAsia"/>
                <w:color w:val="000000"/>
                <w:sz w:val="24"/>
                <w:szCs w:val="24"/>
                <w:highlight w:val="none"/>
              </w:rPr>
            </w:pPr>
          </w:p>
        </w:tc>
        <w:tc>
          <w:tcPr>
            <w:tcW w:w="1080" w:type="dxa"/>
            <w:vAlign w:val="center"/>
          </w:tcPr>
          <w:p w14:paraId="10FDB602">
            <w:pPr>
              <w:rPr>
                <w:rFonts w:asciiTheme="minorEastAsia" w:hAnsiTheme="minorEastAsia" w:eastAsiaTheme="minorEastAsia"/>
                <w:color w:val="000000"/>
                <w:sz w:val="24"/>
                <w:szCs w:val="24"/>
                <w:highlight w:val="none"/>
              </w:rPr>
            </w:pPr>
          </w:p>
        </w:tc>
        <w:tc>
          <w:tcPr>
            <w:tcW w:w="2474" w:type="dxa"/>
            <w:vAlign w:val="center"/>
          </w:tcPr>
          <w:p w14:paraId="057B5F64">
            <w:pPr>
              <w:rPr>
                <w:rFonts w:asciiTheme="minorEastAsia" w:hAnsiTheme="minorEastAsia" w:eastAsiaTheme="minorEastAsia"/>
                <w:color w:val="000000"/>
                <w:sz w:val="24"/>
                <w:szCs w:val="24"/>
                <w:highlight w:val="none"/>
              </w:rPr>
            </w:pPr>
          </w:p>
        </w:tc>
      </w:tr>
      <w:tr w14:paraId="16E3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A0E54F8">
            <w:pPr>
              <w:jc w:val="center"/>
              <w:rPr>
                <w:rFonts w:asciiTheme="minorEastAsia" w:hAnsiTheme="minorEastAsia" w:eastAsiaTheme="minorEastAsia"/>
                <w:color w:val="000000"/>
                <w:sz w:val="24"/>
                <w:szCs w:val="24"/>
                <w:highlight w:val="none"/>
              </w:rPr>
            </w:pPr>
          </w:p>
        </w:tc>
        <w:tc>
          <w:tcPr>
            <w:tcW w:w="1080" w:type="dxa"/>
            <w:vAlign w:val="center"/>
          </w:tcPr>
          <w:p w14:paraId="6CDED36F">
            <w:pPr>
              <w:rPr>
                <w:rFonts w:asciiTheme="minorEastAsia" w:hAnsiTheme="minorEastAsia" w:eastAsiaTheme="minorEastAsia"/>
                <w:color w:val="000000"/>
                <w:sz w:val="24"/>
                <w:szCs w:val="24"/>
                <w:highlight w:val="none"/>
              </w:rPr>
            </w:pPr>
          </w:p>
        </w:tc>
        <w:tc>
          <w:tcPr>
            <w:tcW w:w="3060" w:type="dxa"/>
            <w:vAlign w:val="center"/>
          </w:tcPr>
          <w:p w14:paraId="21B0FC29">
            <w:pPr>
              <w:rPr>
                <w:rFonts w:asciiTheme="minorEastAsia" w:hAnsiTheme="minorEastAsia" w:eastAsiaTheme="minorEastAsia"/>
                <w:color w:val="000000"/>
                <w:sz w:val="24"/>
                <w:szCs w:val="24"/>
                <w:highlight w:val="none"/>
              </w:rPr>
            </w:pPr>
          </w:p>
        </w:tc>
        <w:tc>
          <w:tcPr>
            <w:tcW w:w="1080" w:type="dxa"/>
            <w:vAlign w:val="center"/>
          </w:tcPr>
          <w:p w14:paraId="1FDA27A5">
            <w:pPr>
              <w:rPr>
                <w:rFonts w:asciiTheme="minorEastAsia" w:hAnsiTheme="minorEastAsia" w:eastAsiaTheme="minorEastAsia"/>
                <w:color w:val="000000"/>
                <w:sz w:val="24"/>
                <w:szCs w:val="24"/>
                <w:highlight w:val="none"/>
              </w:rPr>
            </w:pPr>
          </w:p>
        </w:tc>
        <w:tc>
          <w:tcPr>
            <w:tcW w:w="2474" w:type="dxa"/>
            <w:vAlign w:val="center"/>
          </w:tcPr>
          <w:p w14:paraId="2F3506AB">
            <w:pPr>
              <w:rPr>
                <w:rFonts w:asciiTheme="minorEastAsia" w:hAnsiTheme="minorEastAsia" w:eastAsiaTheme="minorEastAsia"/>
                <w:color w:val="000000"/>
                <w:sz w:val="24"/>
                <w:szCs w:val="24"/>
                <w:highlight w:val="none"/>
              </w:rPr>
            </w:pPr>
          </w:p>
        </w:tc>
      </w:tr>
      <w:tr w14:paraId="46B0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EC673F">
            <w:pPr>
              <w:jc w:val="center"/>
              <w:rPr>
                <w:rFonts w:asciiTheme="minorEastAsia" w:hAnsiTheme="minorEastAsia" w:eastAsiaTheme="minorEastAsia"/>
                <w:color w:val="000000"/>
                <w:sz w:val="24"/>
                <w:szCs w:val="24"/>
                <w:highlight w:val="none"/>
              </w:rPr>
            </w:pPr>
          </w:p>
        </w:tc>
        <w:tc>
          <w:tcPr>
            <w:tcW w:w="1080" w:type="dxa"/>
            <w:vAlign w:val="center"/>
          </w:tcPr>
          <w:p w14:paraId="69EB8332">
            <w:pPr>
              <w:rPr>
                <w:rFonts w:asciiTheme="minorEastAsia" w:hAnsiTheme="minorEastAsia" w:eastAsiaTheme="minorEastAsia"/>
                <w:color w:val="000000"/>
                <w:sz w:val="24"/>
                <w:szCs w:val="24"/>
                <w:highlight w:val="none"/>
              </w:rPr>
            </w:pPr>
          </w:p>
        </w:tc>
        <w:tc>
          <w:tcPr>
            <w:tcW w:w="3060" w:type="dxa"/>
            <w:vAlign w:val="center"/>
          </w:tcPr>
          <w:p w14:paraId="678E62AD">
            <w:pPr>
              <w:rPr>
                <w:rFonts w:asciiTheme="minorEastAsia" w:hAnsiTheme="minorEastAsia" w:eastAsiaTheme="minorEastAsia"/>
                <w:color w:val="000000"/>
                <w:sz w:val="24"/>
                <w:szCs w:val="24"/>
                <w:highlight w:val="none"/>
              </w:rPr>
            </w:pPr>
          </w:p>
        </w:tc>
        <w:tc>
          <w:tcPr>
            <w:tcW w:w="1080" w:type="dxa"/>
            <w:vAlign w:val="center"/>
          </w:tcPr>
          <w:p w14:paraId="7AC76869">
            <w:pPr>
              <w:rPr>
                <w:rFonts w:asciiTheme="minorEastAsia" w:hAnsiTheme="minorEastAsia" w:eastAsiaTheme="minorEastAsia"/>
                <w:color w:val="000000"/>
                <w:sz w:val="24"/>
                <w:szCs w:val="24"/>
                <w:highlight w:val="none"/>
              </w:rPr>
            </w:pPr>
          </w:p>
        </w:tc>
        <w:tc>
          <w:tcPr>
            <w:tcW w:w="2474" w:type="dxa"/>
            <w:vAlign w:val="center"/>
          </w:tcPr>
          <w:p w14:paraId="6766D5A1">
            <w:pPr>
              <w:rPr>
                <w:rFonts w:asciiTheme="minorEastAsia" w:hAnsiTheme="minorEastAsia" w:eastAsiaTheme="minorEastAsia"/>
                <w:color w:val="000000"/>
                <w:sz w:val="24"/>
                <w:szCs w:val="24"/>
                <w:highlight w:val="none"/>
              </w:rPr>
            </w:pPr>
          </w:p>
        </w:tc>
      </w:tr>
      <w:tr w14:paraId="010E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6CE5B84">
            <w:pPr>
              <w:jc w:val="center"/>
              <w:rPr>
                <w:rFonts w:asciiTheme="minorEastAsia" w:hAnsiTheme="minorEastAsia" w:eastAsiaTheme="minorEastAsia"/>
                <w:color w:val="000000"/>
                <w:sz w:val="24"/>
                <w:szCs w:val="24"/>
                <w:highlight w:val="none"/>
              </w:rPr>
            </w:pPr>
          </w:p>
        </w:tc>
        <w:tc>
          <w:tcPr>
            <w:tcW w:w="1080" w:type="dxa"/>
            <w:vAlign w:val="center"/>
          </w:tcPr>
          <w:p w14:paraId="02076813">
            <w:pPr>
              <w:rPr>
                <w:rFonts w:asciiTheme="minorEastAsia" w:hAnsiTheme="minorEastAsia" w:eastAsiaTheme="minorEastAsia"/>
                <w:color w:val="000000"/>
                <w:sz w:val="24"/>
                <w:szCs w:val="24"/>
                <w:highlight w:val="none"/>
              </w:rPr>
            </w:pPr>
          </w:p>
        </w:tc>
        <w:tc>
          <w:tcPr>
            <w:tcW w:w="3060" w:type="dxa"/>
            <w:vAlign w:val="center"/>
          </w:tcPr>
          <w:p w14:paraId="1C77AED8">
            <w:pPr>
              <w:rPr>
                <w:rFonts w:asciiTheme="minorEastAsia" w:hAnsiTheme="minorEastAsia" w:eastAsiaTheme="minorEastAsia"/>
                <w:color w:val="000000"/>
                <w:sz w:val="24"/>
                <w:szCs w:val="24"/>
                <w:highlight w:val="none"/>
              </w:rPr>
            </w:pPr>
          </w:p>
        </w:tc>
        <w:tc>
          <w:tcPr>
            <w:tcW w:w="1080" w:type="dxa"/>
            <w:vAlign w:val="center"/>
          </w:tcPr>
          <w:p w14:paraId="6F003D5E">
            <w:pPr>
              <w:rPr>
                <w:rFonts w:asciiTheme="minorEastAsia" w:hAnsiTheme="minorEastAsia" w:eastAsiaTheme="minorEastAsia"/>
                <w:color w:val="000000"/>
                <w:sz w:val="24"/>
                <w:szCs w:val="24"/>
                <w:highlight w:val="none"/>
              </w:rPr>
            </w:pPr>
          </w:p>
        </w:tc>
        <w:tc>
          <w:tcPr>
            <w:tcW w:w="2474" w:type="dxa"/>
            <w:vAlign w:val="center"/>
          </w:tcPr>
          <w:p w14:paraId="1FE30418">
            <w:pPr>
              <w:rPr>
                <w:rFonts w:asciiTheme="minorEastAsia" w:hAnsiTheme="minorEastAsia" w:eastAsiaTheme="minorEastAsia"/>
                <w:color w:val="000000"/>
                <w:sz w:val="24"/>
                <w:szCs w:val="24"/>
                <w:highlight w:val="none"/>
              </w:rPr>
            </w:pPr>
          </w:p>
        </w:tc>
      </w:tr>
      <w:tr w14:paraId="4AA9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42395A1">
            <w:pPr>
              <w:jc w:val="center"/>
              <w:rPr>
                <w:rFonts w:asciiTheme="minorEastAsia" w:hAnsiTheme="minorEastAsia" w:eastAsiaTheme="minorEastAsia"/>
                <w:color w:val="000000"/>
                <w:sz w:val="24"/>
                <w:szCs w:val="24"/>
                <w:highlight w:val="none"/>
              </w:rPr>
            </w:pPr>
          </w:p>
        </w:tc>
        <w:tc>
          <w:tcPr>
            <w:tcW w:w="1080" w:type="dxa"/>
            <w:vAlign w:val="center"/>
          </w:tcPr>
          <w:p w14:paraId="3149D3F5">
            <w:pPr>
              <w:rPr>
                <w:rFonts w:asciiTheme="minorEastAsia" w:hAnsiTheme="minorEastAsia" w:eastAsiaTheme="minorEastAsia"/>
                <w:color w:val="000000"/>
                <w:sz w:val="24"/>
                <w:szCs w:val="24"/>
                <w:highlight w:val="none"/>
              </w:rPr>
            </w:pPr>
          </w:p>
        </w:tc>
        <w:tc>
          <w:tcPr>
            <w:tcW w:w="3060" w:type="dxa"/>
            <w:vAlign w:val="center"/>
          </w:tcPr>
          <w:p w14:paraId="0625C9A5">
            <w:pPr>
              <w:rPr>
                <w:rFonts w:asciiTheme="minorEastAsia" w:hAnsiTheme="minorEastAsia" w:eastAsiaTheme="minorEastAsia"/>
                <w:color w:val="000000"/>
                <w:sz w:val="24"/>
                <w:szCs w:val="24"/>
                <w:highlight w:val="none"/>
              </w:rPr>
            </w:pPr>
          </w:p>
        </w:tc>
        <w:tc>
          <w:tcPr>
            <w:tcW w:w="1080" w:type="dxa"/>
            <w:vAlign w:val="center"/>
          </w:tcPr>
          <w:p w14:paraId="773B8E07">
            <w:pPr>
              <w:rPr>
                <w:rFonts w:asciiTheme="minorEastAsia" w:hAnsiTheme="minorEastAsia" w:eastAsiaTheme="minorEastAsia"/>
                <w:color w:val="000000"/>
                <w:sz w:val="24"/>
                <w:szCs w:val="24"/>
                <w:highlight w:val="none"/>
              </w:rPr>
            </w:pPr>
          </w:p>
        </w:tc>
        <w:tc>
          <w:tcPr>
            <w:tcW w:w="2474" w:type="dxa"/>
            <w:vAlign w:val="center"/>
          </w:tcPr>
          <w:p w14:paraId="74926336">
            <w:pPr>
              <w:rPr>
                <w:rFonts w:asciiTheme="minorEastAsia" w:hAnsiTheme="minorEastAsia" w:eastAsiaTheme="minorEastAsia"/>
                <w:color w:val="000000"/>
                <w:sz w:val="24"/>
                <w:szCs w:val="24"/>
                <w:highlight w:val="none"/>
              </w:rPr>
            </w:pPr>
          </w:p>
        </w:tc>
      </w:tr>
      <w:tr w14:paraId="4A41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3113D1">
            <w:pPr>
              <w:jc w:val="center"/>
              <w:rPr>
                <w:rFonts w:asciiTheme="minorEastAsia" w:hAnsiTheme="minorEastAsia" w:eastAsiaTheme="minorEastAsia"/>
                <w:color w:val="000000"/>
                <w:sz w:val="24"/>
                <w:szCs w:val="24"/>
                <w:highlight w:val="none"/>
              </w:rPr>
            </w:pPr>
          </w:p>
        </w:tc>
        <w:tc>
          <w:tcPr>
            <w:tcW w:w="1080" w:type="dxa"/>
            <w:vAlign w:val="center"/>
          </w:tcPr>
          <w:p w14:paraId="3CBF1522">
            <w:pPr>
              <w:rPr>
                <w:rFonts w:asciiTheme="minorEastAsia" w:hAnsiTheme="minorEastAsia" w:eastAsiaTheme="minorEastAsia"/>
                <w:color w:val="000000"/>
                <w:sz w:val="24"/>
                <w:szCs w:val="24"/>
                <w:highlight w:val="none"/>
              </w:rPr>
            </w:pPr>
          </w:p>
        </w:tc>
        <w:tc>
          <w:tcPr>
            <w:tcW w:w="3060" w:type="dxa"/>
            <w:vAlign w:val="center"/>
          </w:tcPr>
          <w:p w14:paraId="602CD23C">
            <w:pPr>
              <w:rPr>
                <w:rFonts w:asciiTheme="minorEastAsia" w:hAnsiTheme="minorEastAsia" w:eastAsiaTheme="minorEastAsia"/>
                <w:color w:val="000000"/>
                <w:sz w:val="24"/>
                <w:szCs w:val="24"/>
                <w:highlight w:val="none"/>
              </w:rPr>
            </w:pPr>
          </w:p>
        </w:tc>
        <w:tc>
          <w:tcPr>
            <w:tcW w:w="1080" w:type="dxa"/>
            <w:vAlign w:val="center"/>
          </w:tcPr>
          <w:p w14:paraId="78ACEB45">
            <w:pPr>
              <w:rPr>
                <w:rFonts w:asciiTheme="minorEastAsia" w:hAnsiTheme="minorEastAsia" w:eastAsiaTheme="minorEastAsia"/>
                <w:color w:val="000000"/>
                <w:sz w:val="24"/>
                <w:szCs w:val="24"/>
                <w:highlight w:val="none"/>
              </w:rPr>
            </w:pPr>
          </w:p>
        </w:tc>
        <w:tc>
          <w:tcPr>
            <w:tcW w:w="2474" w:type="dxa"/>
            <w:vAlign w:val="center"/>
          </w:tcPr>
          <w:p w14:paraId="714951A0">
            <w:pPr>
              <w:rPr>
                <w:rFonts w:asciiTheme="minorEastAsia" w:hAnsiTheme="minorEastAsia" w:eastAsiaTheme="minorEastAsia"/>
                <w:color w:val="000000"/>
                <w:sz w:val="24"/>
                <w:szCs w:val="24"/>
                <w:highlight w:val="none"/>
              </w:rPr>
            </w:pPr>
          </w:p>
        </w:tc>
      </w:tr>
      <w:tr w14:paraId="7364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87FE5A0">
            <w:pPr>
              <w:jc w:val="center"/>
              <w:rPr>
                <w:rFonts w:asciiTheme="minorEastAsia" w:hAnsiTheme="minorEastAsia" w:eastAsiaTheme="minorEastAsia"/>
                <w:color w:val="000000"/>
                <w:sz w:val="24"/>
                <w:szCs w:val="24"/>
                <w:highlight w:val="none"/>
              </w:rPr>
            </w:pPr>
          </w:p>
        </w:tc>
        <w:tc>
          <w:tcPr>
            <w:tcW w:w="1080" w:type="dxa"/>
            <w:vAlign w:val="center"/>
          </w:tcPr>
          <w:p w14:paraId="461F8EB0">
            <w:pPr>
              <w:rPr>
                <w:rFonts w:asciiTheme="minorEastAsia" w:hAnsiTheme="minorEastAsia" w:eastAsiaTheme="minorEastAsia"/>
                <w:color w:val="000000"/>
                <w:sz w:val="24"/>
                <w:szCs w:val="24"/>
                <w:highlight w:val="none"/>
              </w:rPr>
            </w:pPr>
          </w:p>
        </w:tc>
        <w:tc>
          <w:tcPr>
            <w:tcW w:w="3060" w:type="dxa"/>
            <w:vAlign w:val="center"/>
          </w:tcPr>
          <w:p w14:paraId="1C94CA6C">
            <w:pPr>
              <w:rPr>
                <w:rFonts w:asciiTheme="minorEastAsia" w:hAnsiTheme="minorEastAsia" w:eastAsiaTheme="minorEastAsia"/>
                <w:color w:val="000000"/>
                <w:sz w:val="24"/>
                <w:szCs w:val="24"/>
                <w:highlight w:val="none"/>
              </w:rPr>
            </w:pPr>
          </w:p>
        </w:tc>
        <w:tc>
          <w:tcPr>
            <w:tcW w:w="1080" w:type="dxa"/>
            <w:vAlign w:val="center"/>
          </w:tcPr>
          <w:p w14:paraId="1E7183F8">
            <w:pPr>
              <w:rPr>
                <w:rFonts w:asciiTheme="minorEastAsia" w:hAnsiTheme="minorEastAsia" w:eastAsiaTheme="minorEastAsia"/>
                <w:color w:val="000000"/>
                <w:sz w:val="24"/>
                <w:szCs w:val="24"/>
                <w:highlight w:val="none"/>
              </w:rPr>
            </w:pPr>
          </w:p>
        </w:tc>
        <w:tc>
          <w:tcPr>
            <w:tcW w:w="2474" w:type="dxa"/>
            <w:vAlign w:val="center"/>
          </w:tcPr>
          <w:p w14:paraId="39C543A9">
            <w:pPr>
              <w:rPr>
                <w:rFonts w:asciiTheme="minorEastAsia" w:hAnsiTheme="minorEastAsia" w:eastAsiaTheme="minorEastAsia"/>
                <w:color w:val="000000"/>
                <w:sz w:val="24"/>
                <w:szCs w:val="24"/>
                <w:highlight w:val="none"/>
              </w:rPr>
            </w:pPr>
          </w:p>
        </w:tc>
      </w:tr>
      <w:tr w14:paraId="3218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F8E683">
            <w:pPr>
              <w:jc w:val="center"/>
              <w:rPr>
                <w:rFonts w:asciiTheme="minorEastAsia" w:hAnsiTheme="minorEastAsia" w:eastAsiaTheme="minorEastAsia"/>
                <w:color w:val="000000"/>
                <w:sz w:val="24"/>
                <w:szCs w:val="24"/>
                <w:highlight w:val="none"/>
              </w:rPr>
            </w:pPr>
          </w:p>
        </w:tc>
        <w:tc>
          <w:tcPr>
            <w:tcW w:w="1080" w:type="dxa"/>
            <w:vAlign w:val="center"/>
          </w:tcPr>
          <w:p w14:paraId="481390DD">
            <w:pPr>
              <w:rPr>
                <w:rFonts w:asciiTheme="minorEastAsia" w:hAnsiTheme="minorEastAsia" w:eastAsiaTheme="minorEastAsia"/>
                <w:color w:val="000000"/>
                <w:sz w:val="24"/>
                <w:szCs w:val="24"/>
                <w:highlight w:val="none"/>
              </w:rPr>
            </w:pPr>
          </w:p>
        </w:tc>
        <w:tc>
          <w:tcPr>
            <w:tcW w:w="3060" w:type="dxa"/>
            <w:vAlign w:val="center"/>
          </w:tcPr>
          <w:p w14:paraId="4B01A491">
            <w:pPr>
              <w:rPr>
                <w:rFonts w:asciiTheme="minorEastAsia" w:hAnsiTheme="minorEastAsia" w:eastAsiaTheme="minorEastAsia"/>
                <w:color w:val="000000"/>
                <w:sz w:val="24"/>
                <w:szCs w:val="24"/>
                <w:highlight w:val="none"/>
              </w:rPr>
            </w:pPr>
          </w:p>
        </w:tc>
        <w:tc>
          <w:tcPr>
            <w:tcW w:w="1080" w:type="dxa"/>
            <w:vAlign w:val="center"/>
          </w:tcPr>
          <w:p w14:paraId="2E60B628">
            <w:pPr>
              <w:rPr>
                <w:rFonts w:asciiTheme="minorEastAsia" w:hAnsiTheme="minorEastAsia" w:eastAsiaTheme="minorEastAsia"/>
                <w:color w:val="000000"/>
                <w:sz w:val="24"/>
                <w:szCs w:val="24"/>
                <w:highlight w:val="none"/>
              </w:rPr>
            </w:pPr>
          </w:p>
        </w:tc>
        <w:tc>
          <w:tcPr>
            <w:tcW w:w="2474" w:type="dxa"/>
            <w:vAlign w:val="center"/>
          </w:tcPr>
          <w:p w14:paraId="2939806D">
            <w:pPr>
              <w:rPr>
                <w:rFonts w:asciiTheme="minorEastAsia" w:hAnsiTheme="minorEastAsia" w:eastAsiaTheme="minorEastAsia"/>
                <w:color w:val="000000"/>
                <w:sz w:val="24"/>
                <w:szCs w:val="24"/>
                <w:highlight w:val="none"/>
              </w:rPr>
            </w:pPr>
          </w:p>
        </w:tc>
      </w:tr>
      <w:tr w14:paraId="3088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424E224">
            <w:pPr>
              <w:jc w:val="center"/>
              <w:rPr>
                <w:rFonts w:asciiTheme="minorEastAsia" w:hAnsiTheme="minorEastAsia" w:eastAsiaTheme="minorEastAsia"/>
                <w:color w:val="000000"/>
                <w:sz w:val="24"/>
                <w:szCs w:val="24"/>
                <w:highlight w:val="none"/>
              </w:rPr>
            </w:pPr>
          </w:p>
        </w:tc>
        <w:tc>
          <w:tcPr>
            <w:tcW w:w="1080" w:type="dxa"/>
            <w:vAlign w:val="center"/>
          </w:tcPr>
          <w:p w14:paraId="7F6CABBA">
            <w:pPr>
              <w:rPr>
                <w:rFonts w:asciiTheme="minorEastAsia" w:hAnsiTheme="minorEastAsia" w:eastAsiaTheme="minorEastAsia"/>
                <w:color w:val="000000"/>
                <w:sz w:val="24"/>
                <w:szCs w:val="24"/>
                <w:highlight w:val="none"/>
              </w:rPr>
            </w:pPr>
          </w:p>
        </w:tc>
        <w:tc>
          <w:tcPr>
            <w:tcW w:w="3060" w:type="dxa"/>
            <w:vAlign w:val="center"/>
          </w:tcPr>
          <w:p w14:paraId="051E6873">
            <w:pPr>
              <w:rPr>
                <w:rFonts w:asciiTheme="minorEastAsia" w:hAnsiTheme="minorEastAsia" w:eastAsiaTheme="minorEastAsia"/>
                <w:color w:val="000000"/>
                <w:sz w:val="24"/>
                <w:szCs w:val="24"/>
                <w:highlight w:val="none"/>
              </w:rPr>
            </w:pPr>
          </w:p>
        </w:tc>
        <w:tc>
          <w:tcPr>
            <w:tcW w:w="1080" w:type="dxa"/>
            <w:vAlign w:val="center"/>
          </w:tcPr>
          <w:p w14:paraId="2358B427">
            <w:pPr>
              <w:rPr>
                <w:rFonts w:asciiTheme="minorEastAsia" w:hAnsiTheme="minorEastAsia" w:eastAsiaTheme="minorEastAsia"/>
                <w:color w:val="000000"/>
                <w:sz w:val="24"/>
                <w:szCs w:val="24"/>
                <w:highlight w:val="none"/>
              </w:rPr>
            </w:pPr>
          </w:p>
        </w:tc>
        <w:tc>
          <w:tcPr>
            <w:tcW w:w="2474" w:type="dxa"/>
            <w:vAlign w:val="center"/>
          </w:tcPr>
          <w:p w14:paraId="0FC29EB5">
            <w:pPr>
              <w:rPr>
                <w:rFonts w:asciiTheme="minorEastAsia" w:hAnsiTheme="minorEastAsia" w:eastAsiaTheme="minorEastAsia"/>
                <w:color w:val="000000"/>
                <w:sz w:val="24"/>
                <w:szCs w:val="24"/>
                <w:highlight w:val="none"/>
              </w:rPr>
            </w:pPr>
          </w:p>
        </w:tc>
      </w:tr>
      <w:tr w14:paraId="1E37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6C3C1E7">
            <w:pPr>
              <w:jc w:val="center"/>
              <w:rPr>
                <w:rFonts w:asciiTheme="minorEastAsia" w:hAnsiTheme="minorEastAsia" w:eastAsiaTheme="minorEastAsia"/>
                <w:color w:val="000000"/>
                <w:sz w:val="24"/>
                <w:szCs w:val="24"/>
                <w:highlight w:val="none"/>
              </w:rPr>
            </w:pPr>
          </w:p>
        </w:tc>
        <w:tc>
          <w:tcPr>
            <w:tcW w:w="1080" w:type="dxa"/>
            <w:vAlign w:val="center"/>
          </w:tcPr>
          <w:p w14:paraId="655520DF">
            <w:pPr>
              <w:rPr>
                <w:rFonts w:asciiTheme="minorEastAsia" w:hAnsiTheme="minorEastAsia" w:eastAsiaTheme="minorEastAsia"/>
                <w:color w:val="000000"/>
                <w:sz w:val="24"/>
                <w:szCs w:val="24"/>
                <w:highlight w:val="none"/>
              </w:rPr>
            </w:pPr>
          </w:p>
        </w:tc>
        <w:tc>
          <w:tcPr>
            <w:tcW w:w="3060" w:type="dxa"/>
            <w:vAlign w:val="center"/>
          </w:tcPr>
          <w:p w14:paraId="670E7CB0">
            <w:pPr>
              <w:rPr>
                <w:rFonts w:asciiTheme="minorEastAsia" w:hAnsiTheme="minorEastAsia" w:eastAsiaTheme="minorEastAsia"/>
                <w:color w:val="000000"/>
                <w:sz w:val="24"/>
                <w:szCs w:val="24"/>
                <w:highlight w:val="none"/>
              </w:rPr>
            </w:pPr>
          </w:p>
        </w:tc>
        <w:tc>
          <w:tcPr>
            <w:tcW w:w="1080" w:type="dxa"/>
            <w:vAlign w:val="center"/>
          </w:tcPr>
          <w:p w14:paraId="53005149">
            <w:pPr>
              <w:rPr>
                <w:rFonts w:asciiTheme="minorEastAsia" w:hAnsiTheme="minorEastAsia" w:eastAsiaTheme="minorEastAsia"/>
                <w:color w:val="000000"/>
                <w:sz w:val="24"/>
                <w:szCs w:val="24"/>
                <w:highlight w:val="none"/>
              </w:rPr>
            </w:pPr>
          </w:p>
        </w:tc>
        <w:tc>
          <w:tcPr>
            <w:tcW w:w="2474" w:type="dxa"/>
            <w:vAlign w:val="center"/>
          </w:tcPr>
          <w:p w14:paraId="24E51AEE">
            <w:pPr>
              <w:rPr>
                <w:rFonts w:asciiTheme="minorEastAsia" w:hAnsiTheme="minorEastAsia" w:eastAsiaTheme="minorEastAsia"/>
                <w:color w:val="000000"/>
                <w:sz w:val="24"/>
                <w:szCs w:val="24"/>
                <w:highlight w:val="none"/>
              </w:rPr>
            </w:pPr>
          </w:p>
        </w:tc>
      </w:tr>
      <w:tr w14:paraId="7600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F44B8CA">
            <w:pPr>
              <w:jc w:val="center"/>
              <w:rPr>
                <w:rFonts w:asciiTheme="minorEastAsia" w:hAnsiTheme="minorEastAsia" w:eastAsiaTheme="minorEastAsia"/>
                <w:color w:val="000000"/>
                <w:sz w:val="24"/>
                <w:szCs w:val="24"/>
                <w:highlight w:val="none"/>
              </w:rPr>
            </w:pPr>
          </w:p>
        </w:tc>
        <w:tc>
          <w:tcPr>
            <w:tcW w:w="1080" w:type="dxa"/>
            <w:vAlign w:val="center"/>
          </w:tcPr>
          <w:p w14:paraId="52E37F27">
            <w:pPr>
              <w:rPr>
                <w:rFonts w:asciiTheme="minorEastAsia" w:hAnsiTheme="minorEastAsia" w:eastAsiaTheme="minorEastAsia"/>
                <w:color w:val="000000"/>
                <w:sz w:val="24"/>
                <w:szCs w:val="24"/>
                <w:highlight w:val="none"/>
              </w:rPr>
            </w:pPr>
          </w:p>
        </w:tc>
        <w:tc>
          <w:tcPr>
            <w:tcW w:w="3060" w:type="dxa"/>
            <w:vAlign w:val="center"/>
          </w:tcPr>
          <w:p w14:paraId="15E77DB2">
            <w:pPr>
              <w:rPr>
                <w:rFonts w:asciiTheme="minorEastAsia" w:hAnsiTheme="minorEastAsia" w:eastAsiaTheme="minorEastAsia"/>
                <w:color w:val="000000"/>
                <w:sz w:val="24"/>
                <w:szCs w:val="24"/>
                <w:highlight w:val="none"/>
              </w:rPr>
            </w:pPr>
          </w:p>
        </w:tc>
        <w:tc>
          <w:tcPr>
            <w:tcW w:w="1080" w:type="dxa"/>
            <w:vAlign w:val="center"/>
          </w:tcPr>
          <w:p w14:paraId="7776DCBF">
            <w:pPr>
              <w:rPr>
                <w:rFonts w:asciiTheme="minorEastAsia" w:hAnsiTheme="minorEastAsia" w:eastAsiaTheme="minorEastAsia"/>
                <w:color w:val="000000"/>
                <w:sz w:val="24"/>
                <w:szCs w:val="24"/>
                <w:highlight w:val="none"/>
              </w:rPr>
            </w:pPr>
          </w:p>
        </w:tc>
        <w:tc>
          <w:tcPr>
            <w:tcW w:w="2474" w:type="dxa"/>
            <w:vAlign w:val="center"/>
          </w:tcPr>
          <w:p w14:paraId="78362239">
            <w:pPr>
              <w:rPr>
                <w:rFonts w:asciiTheme="minorEastAsia" w:hAnsiTheme="minorEastAsia" w:eastAsiaTheme="minorEastAsia"/>
                <w:color w:val="000000"/>
                <w:sz w:val="24"/>
                <w:szCs w:val="24"/>
                <w:highlight w:val="none"/>
              </w:rPr>
            </w:pPr>
          </w:p>
        </w:tc>
      </w:tr>
      <w:tr w14:paraId="351A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3375243">
            <w:pPr>
              <w:jc w:val="center"/>
              <w:rPr>
                <w:rFonts w:asciiTheme="minorEastAsia" w:hAnsiTheme="minorEastAsia" w:eastAsiaTheme="minorEastAsia"/>
                <w:color w:val="000000"/>
                <w:sz w:val="24"/>
                <w:szCs w:val="24"/>
                <w:highlight w:val="none"/>
              </w:rPr>
            </w:pPr>
          </w:p>
        </w:tc>
        <w:tc>
          <w:tcPr>
            <w:tcW w:w="1080" w:type="dxa"/>
            <w:vAlign w:val="center"/>
          </w:tcPr>
          <w:p w14:paraId="4C901E46">
            <w:pPr>
              <w:rPr>
                <w:rFonts w:asciiTheme="minorEastAsia" w:hAnsiTheme="minorEastAsia" w:eastAsiaTheme="minorEastAsia"/>
                <w:color w:val="000000"/>
                <w:sz w:val="24"/>
                <w:szCs w:val="24"/>
                <w:highlight w:val="none"/>
              </w:rPr>
            </w:pPr>
          </w:p>
        </w:tc>
        <w:tc>
          <w:tcPr>
            <w:tcW w:w="3060" w:type="dxa"/>
            <w:vAlign w:val="center"/>
          </w:tcPr>
          <w:p w14:paraId="61F5CF91">
            <w:pPr>
              <w:rPr>
                <w:rFonts w:asciiTheme="minorEastAsia" w:hAnsiTheme="minorEastAsia" w:eastAsiaTheme="minorEastAsia"/>
                <w:color w:val="000000"/>
                <w:sz w:val="24"/>
                <w:szCs w:val="24"/>
                <w:highlight w:val="none"/>
              </w:rPr>
            </w:pPr>
          </w:p>
        </w:tc>
        <w:tc>
          <w:tcPr>
            <w:tcW w:w="1080" w:type="dxa"/>
            <w:vAlign w:val="center"/>
          </w:tcPr>
          <w:p w14:paraId="72B266C5">
            <w:pPr>
              <w:rPr>
                <w:rFonts w:asciiTheme="minorEastAsia" w:hAnsiTheme="minorEastAsia" w:eastAsiaTheme="minorEastAsia"/>
                <w:color w:val="000000"/>
                <w:sz w:val="24"/>
                <w:szCs w:val="24"/>
                <w:highlight w:val="none"/>
              </w:rPr>
            </w:pPr>
          </w:p>
        </w:tc>
        <w:tc>
          <w:tcPr>
            <w:tcW w:w="2474" w:type="dxa"/>
            <w:vAlign w:val="center"/>
          </w:tcPr>
          <w:p w14:paraId="08D7281E">
            <w:pPr>
              <w:rPr>
                <w:rFonts w:asciiTheme="minorEastAsia" w:hAnsiTheme="minorEastAsia" w:eastAsiaTheme="minorEastAsia"/>
                <w:color w:val="000000"/>
                <w:sz w:val="24"/>
                <w:szCs w:val="24"/>
                <w:highlight w:val="none"/>
              </w:rPr>
            </w:pPr>
          </w:p>
        </w:tc>
      </w:tr>
    </w:tbl>
    <w:p w14:paraId="58069210">
      <w:pPr>
        <w:ind w:firstLine="240" w:firstLineChars="100"/>
        <w:rPr>
          <w:rFonts w:hint="eastAsia" w:asciiTheme="minorEastAsia" w:hAnsiTheme="minorEastAsia" w:eastAsiaTheme="minorEastAsia"/>
          <w:color w:val="000000"/>
          <w:sz w:val="24"/>
          <w:szCs w:val="24"/>
          <w:highlight w:val="none"/>
        </w:rPr>
      </w:pPr>
    </w:p>
    <w:p w14:paraId="6DD7C21B">
      <w:pPr>
        <w:ind w:firstLine="240" w:firstLineChars="100"/>
        <w:rPr>
          <w:rFonts w:hint="eastAsia"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投标人名称：                   授权代表签字：            日期：</w:t>
      </w:r>
    </w:p>
    <w:p w14:paraId="3BBD4ACC">
      <w:pPr>
        <w:ind w:firstLine="240" w:firstLineChars="100"/>
        <w:rPr>
          <w:rFonts w:hint="eastAsia" w:asciiTheme="minorEastAsia" w:hAnsiTheme="minorEastAsia" w:eastAsiaTheme="minorEastAsia"/>
          <w:color w:val="000000"/>
          <w:sz w:val="24"/>
          <w:szCs w:val="24"/>
          <w:highlight w:val="none"/>
        </w:rPr>
      </w:pPr>
    </w:p>
    <w:p w14:paraId="14C11CB7">
      <w:pPr>
        <w:ind w:left="235" w:leftChars="112"/>
        <w:rPr>
          <w:rFonts w:asciiTheme="minorEastAsia" w:hAnsiTheme="minorEastAsia" w:eastAsiaTheme="minorEastAsia"/>
          <w:color w:val="000000"/>
          <w:sz w:val="24"/>
          <w:szCs w:val="24"/>
          <w:highlight w:val="none"/>
        </w:rPr>
      </w:pPr>
      <w:r>
        <w:rPr>
          <w:rFonts w:hint="eastAsia" w:asciiTheme="minorEastAsia" w:hAnsiTheme="minorEastAsia" w:eastAsiaTheme="minorEastAsia"/>
          <w:b/>
          <w:color w:val="000000"/>
          <w:sz w:val="24"/>
          <w:szCs w:val="24"/>
          <w:highlight w:val="none"/>
        </w:rPr>
        <w:t>注：</w:t>
      </w:r>
      <w:r>
        <w:rPr>
          <w:rFonts w:hint="eastAsia" w:asciiTheme="minorEastAsia" w:hAnsiTheme="minorEastAsia" w:eastAsiaTheme="minorEastAsia"/>
          <w:color w:val="000000"/>
          <w:sz w:val="24"/>
          <w:szCs w:val="24"/>
          <w:highlight w:val="none"/>
        </w:rPr>
        <w:t>为避免歧义，无偏离也应要提报该表，并注明“无”字。如无该表则即使在其它部分已反映，将也被视为“无偏离”。</w:t>
      </w:r>
    </w:p>
    <w:p w14:paraId="0C3D90FC">
      <w:pPr>
        <w:rPr>
          <w:rFonts w:asciiTheme="minorEastAsia" w:hAnsiTheme="minorEastAsia" w:eastAsiaTheme="minorEastAsia"/>
          <w:b/>
          <w:bCs/>
          <w:color w:val="000000"/>
          <w:sz w:val="24"/>
          <w:szCs w:val="24"/>
          <w:highlight w:val="none"/>
        </w:rPr>
      </w:pPr>
    </w:p>
    <w:p w14:paraId="58D5B2FE">
      <w:pPr>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br w:type="page"/>
      </w:r>
    </w:p>
    <w:p w14:paraId="2A5B0578">
      <w:pPr>
        <w:rPr>
          <w:rFonts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附件格式</w:t>
      </w:r>
      <w:r>
        <w:rPr>
          <w:rFonts w:asciiTheme="minorEastAsia" w:hAnsiTheme="minorEastAsia" w:eastAsiaTheme="minorEastAsia"/>
          <w:b/>
          <w:bCs/>
          <w:color w:val="000000"/>
          <w:sz w:val="24"/>
          <w:szCs w:val="24"/>
          <w:highlight w:val="none"/>
        </w:rPr>
        <w:t>6</w:t>
      </w:r>
    </w:p>
    <w:p w14:paraId="35E206D5">
      <w:pPr>
        <w:jc w:val="center"/>
        <w:rPr>
          <w:rFonts w:cs="宋体" w:asciiTheme="minorEastAsia" w:hAnsiTheme="minorEastAsia" w:eastAsiaTheme="minorEastAsia"/>
          <w:b/>
          <w:bCs/>
          <w:color w:val="000000"/>
          <w:sz w:val="24"/>
          <w:szCs w:val="24"/>
          <w:highlight w:val="none"/>
        </w:rPr>
      </w:pPr>
      <w:r>
        <w:rPr>
          <w:rFonts w:hint="eastAsia" w:cs="宋体" w:asciiTheme="minorEastAsia" w:hAnsiTheme="minorEastAsia" w:eastAsiaTheme="minorEastAsia"/>
          <w:b/>
          <w:bCs/>
          <w:color w:val="000000"/>
          <w:sz w:val="24"/>
          <w:szCs w:val="24"/>
          <w:highlight w:val="none"/>
        </w:rPr>
        <w:t>技术规格、参数偏离表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40E9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0D01431D">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序号</w:t>
            </w:r>
          </w:p>
        </w:tc>
        <w:tc>
          <w:tcPr>
            <w:tcW w:w="3971" w:type="dxa"/>
            <w:gridSpan w:val="2"/>
            <w:vAlign w:val="center"/>
          </w:tcPr>
          <w:p w14:paraId="124790E0">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招标文件条款</w:t>
            </w:r>
          </w:p>
        </w:tc>
        <w:tc>
          <w:tcPr>
            <w:tcW w:w="3723" w:type="dxa"/>
            <w:gridSpan w:val="2"/>
            <w:vAlign w:val="center"/>
          </w:tcPr>
          <w:p w14:paraId="6827FDB9">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投标书条款</w:t>
            </w:r>
          </w:p>
        </w:tc>
      </w:tr>
      <w:tr w14:paraId="6675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57AE268B">
            <w:pPr>
              <w:rPr>
                <w:rFonts w:asciiTheme="minorEastAsia" w:hAnsiTheme="minorEastAsia" w:eastAsiaTheme="minorEastAsia"/>
                <w:color w:val="000000"/>
                <w:sz w:val="24"/>
                <w:szCs w:val="24"/>
                <w:highlight w:val="none"/>
              </w:rPr>
            </w:pPr>
          </w:p>
        </w:tc>
        <w:tc>
          <w:tcPr>
            <w:tcW w:w="1080" w:type="dxa"/>
            <w:vAlign w:val="center"/>
          </w:tcPr>
          <w:p w14:paraId="44979052">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设备</w:t>
            </w:r>
          </w:p>
          <w:p w14:paraId="1303EEDF">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型号</w:t>
            </w:r>
          </w:p>
        </w:tc>
        <w:tc>
          <w:tcPr>
            <w:tcW w:w="2891" w:type="dxa"/>
            <w:vAlign w:val="center"/>
          </w:tcPr>
          <w:p w14:paraId="7C142D26">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偏离</w:t>
            </w:r>
          </w:p>
        </w:tc>
        <w:tc>
          <w:tcPr>
            <w:tcW w:w="1110" w:type="dxa"/>
            <w:vAlign w:val="center"/>
          </w:tcPr>
          <w:p w14:paraId="04C17C20">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设备</w:t>
            </w:r>
          </w:p>
          <w:p w14:paraId="55DEA1F3">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型号</w:t>
            </w:r>
          </w:p>
        </w:tc>
        <w:tc>
          <w:tcPr>
            <w:tcW w:w="2613" w:type="dxa"/>
            <w:vAlign w:val="center"/>
          </w:tcPr>
          <w:p w14:paraId="4C135815">
            <w:pPr>
              <w:jc w:val="center"/>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偏离</w:t>
            </w:r>
          </w:p>
        </w:tc>
      </w:tr>
      <w:tr w14:paraId="5563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362156C">
            <w:pPr>
              <w:jc w:val="center"/>
              <w:rPr>
                <w:rFonts w:asciiTheme="minorEastAsia" w:hAnsiTheme="minorEastAsia" w:eastAsiaTheme="minorEastAsia"/>
                <w:color w:val="000000"/>
                <w:sz w:val="24"/>
                <w:szCs w:val="24"/>
                <w:highlight w:val="none"/>
              </w:rPr>
            </w:pPr>
          </w:p>
        </w:tc>
        <w:tc>
          <w:tcPr>
            <w:tcW w:w="1080" w:type="dxa"/>
            <w:vAlign w:val="center"/>
          </w:tcPr>
          <w:p w14:paraId="678963B9">
            <w:pPr>
              <w:rPr>
                <w:rFonts w:asciiTheme="minorEastAsia" w:hAnsiTheme="minorEastAsia" w:eastAsiaTheme="minorEastAsia"/>
                <w:color w:val="000000"/>
                <w:sz w:val="24"/>
                <w:szCs w:val="24"/>
                <w:highlight w:val="none"/>
              </w:rPr>
            </w:pPr>
          </w:p>
        </w:tc>
        <w:tc>
          <w:tcPr>
            <w:tcW w:w="2891" w:type="dxa"/>
            <w:vAlign w:val="center"/>
          </w:tcPr>
          <w:p w14:paraId="5F268131">
            <w:pPr>
              <w:rPr>
                <w:rFonts w:asciiTheme="minorEastAsia" w:hAnsiTheme="minorEastAsia" w:eastAsiaTheme="minorEastAsia"/>
                <w:color w:val="000000"/>
                <w:sz w:val="24"/>
                <w:szCs w:val="24"/>
                <w:highlight w:val="none"/>
              </w:rPr>
            </w:pPr>
          </w:p>
        </w:tc>
        <w:tc>
          <w:tcPr>
            <w:tcW w:w="1110" w:type="dxa"/>
            <w:vAlign w:val="center"/>
          </w:tcPr>
          <w:p w14:paraId="46736CF5">
            <w:pPr>
              <w:rPr>
                <w:rFonts w:asciiTheme="minorEastAsia" w:hAnsiTheme="minorEastAsia" w:eastAsiaTheme="minorEastAsia"/>
                <w:color w:val="000000"/>
                <w:sz w:val="24"/>
                <w:szCs w:val="24"/>
                <w:highlight w:val="none"/>
              </w:rPr>
            </w:pPr>
          </w:p>
        </w:tc>
        <w:tc>
          <w:tcPr>
            <w:tcW w:w="2613" w:type="dxa"/>
            <w:vAlign w:val="center"/>
          </w:tcPr>
          <w:p w14:paraId="308AE8D4">
            <w:pPr>
              <w:rPr>
                <w:rFonts w:asciiTheme="minorEastAsia" w:hAnsiTheme="minorEastAsia" w:eastAsiaTheme="minorEastAsia"/>
                <w:color w:val="000000"/>
                <w:sz w:val="24"/>
                <w:szCs w:val="24"/>
                <w:highlight w:val="none"/>
              </w:rPr>
            </w:pPr>
          </w:p>
        </w:tc>
      </w:tr>
      <w:tr w14:paraId="511A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472F18A">
            <w:pPr>
              <w:jc w:val="center"/>
              <w:rPr>
                <w:rFonts w:asciiTheme="minorEastAsia" w:hAnsiTheme="minorEastAsia" w:eastAsiaTheme="minorEastAsia"/>
                <w:color w:val="000000"/>
                <w:sz w:val="24"/>
                <w:szCs w:val="24"/>
                <w:highlight w:val="none"/>
              </w:rPr>
            </w:pPr>
          </w:p>
        </w:tc>
        <w:tc>
          <w:tcPr>
            <w:tcW w:w="1080" w:type="dxa"/>
            <w:vAlign w:val="center"/>
          </w:tcPr>
          <w:p w14:paraId="7D74E624">
            <w:pPr>
              <w:rPr>
                <w:rFonts w:asciiTheme="minorEastAsia" w:hAnsiTheme="minorEastAsia" w:eastAsiaTheme="minorEastAsia"/>
                <w:color w:val="000000"/>
                <w:sz w:val="24"/>
                <w:szCs w:val="24"/>
                <w:highlight w:val="none"/>
              </w:rPr>
            </w:pPr>
          </w:p>
        </w:tc>
        <w:tc>
          <w:tcPr>
            <w:tcW w:w="2891" w:type="dxa"/>
            <w:vAlign w:val="center"/>
          </w:tcPr>
          <w:p w14:paraId="023164E6">
            <w:pPr>
              <w:rPr>
                <w:rFonts w:asciiTheme="minorEastAsia" w:hAnsiTheme="minorEastAsia" w:eastAsiaTheme="minorEastAsia"/>
                <w:color w:val="000000"/>
                <w:sz w:val="24"/>
                <w:szCs w:val="24"/>
                <w:highlight w:val="none"/>
              </w:rPr>
            </w:pPr>
          </w:p>
        </w:tc>
        <w:tc>
          <w:tcPr>
            <w:tcW w:w="1110" w:type="dxa"/>
            <w:vAlign w:val="center"/>
          </w:tcPr>
          <w:p w14:paraId="1606AF12">
            <w:pPr>
              <w:rPr>
                <w:rFonts w:asciiTheme="minorEastAsia" w:hAnsiTheme="minorEastAsia" w:eastAsiaTheme="minorEastAsia"/>
                <w:color w:val="000000"/>
                <w:sz w:val="24"/>
                <w:szCs w:val="24"/>
                <w:highlight w:val="none"/>
              </w:rPr>
            </w:pPr>
          </w:p>
        </w:tc>
        <w:tc>
          <w:tcPr>
            <w:tcW w:w="2613" w:type="dxa"/>
            <w:vAlign w:val="center"/>
          </w:tcPr>
          <w:p w14:paraId="33361C91">
            <w:pPr>
              <w:rPr>
                <w:rFonts w:asciiTheme="minorEastAsia" w:hAnsiTheme="minorEastAsia" w:eastAsiaTheme="minorEastAsia"/>
                <w:color w:val="000000"/>
                <w:sz w:val="24"/>
                <w:szCs w:val="24"/>
                <w:highlight w:val="none"/>
              </w:rPr>
            </w:pPr>
          </w:p>
        </w:tc>
      </w:tr>
      <w:tr w14:paraId="149E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4E68AF6">
            <w:pPr>
              <w:jc w:val="center"/>
              <w:rPr>
                <w:rFonts w:asciiTheme="minorEastAsia" w:hAnsiTheme="minorEastAsia" w:eastAsiaTheme="minorEastAsia"/>
                <w:color w:val="000000"/>
                <w:sz w:val="24"/>
                <w:szCs w:val="24"/>
                <w:highlight w:val="none"/>
              </w:rPr>
            </w:pPr>
          </w:p>
        </w:tc>
        <w:tc>
          <w:tcPr>
            <w:tcW w:w="1080" w:type="dxa"/>
            <w:vAlign w:val="center"/>
          </w:tcPr>
          <w:p w14:paraId="2BFB64DA">
            <w:pPr>
              <w:rPr>
                <w:rFonts w:asciiTheme="minorEastAsia" w:hAnsiTheme="minorEastAsia" w:eastAsiaTheme="minorEastAsia"/>
                <w:color w:val="000000"/>
                <w:sz w:val="24"/>
                <w:szCs w:val="24"/>
                <w:highlight w:val="none"/>
              </w:rPr>
            </w:pPr>
          </w:p>
        </w:tc>
        <w:tc>
          <w:tcPr>
            <w:tcW w:w="2891" w:type="dxa"/>
            <w:vAlign w:val="center"/>
          </w:tcPr>
          <w:p w14:paraId="7D28A34C">
            <w:pPr>
              <w:rPr>
                <w:rFonts w:asciiTheme="minorEastAsia" w:hAnsiTheme="minorEastAsia" w:eastAsiaTheme="minorEastAsia"/>
                <w:color w:val="000000"/>
                <w:sz w:val="24"/>
                <w:szCs w:val="24"/>
                <w:highlight w:val="none"/>
              </w:rPr>
            </w:pPr>
          </w:p>
        </w:tc>
        <w:tc>
          <w:tcPr>
            <w:tcW w:w="1110" w:type="dxa"/>
            <w:vAlign w:val="center"/>
          </w:tcPr>
          <w:p w14:paraId="4F77AD4A">
            <w:pPr>
              <w:rPr>
                <w:rFonts w:asciiTheme="minorEastAsia" w:hAnsiTheme="minorEastAsia" w:eastAsiaTheme="minorEastAsia"/>
                <w:color w:val="000000"/>
                <w:sz w:val="24"/>
                <w:szCs w:val="24"/>
                <w:highlight w:val="none"/>
              </w:rPr>
            </w:pPr>
          </w:p>
        </w:tc>
        <w:tc>
          <w:tcPr>
            <w:tcW w:w="2613" w:type="dxa"/>
            <w:vAlign w:val="center"/>
          </w:tcPr>
          <w:p w14:paraId="63CEA46E">
            <w:pPr>
              <w:rPr>
                <w:rFonts w:asciiTheme="minorEastAsia" w:hAnsiTheme="minorEastAsia" w:eastAsiaTheme="minorEastAsia"/>
                <w:color w:val="000000"/>
                <w:sz w:val="24"/>
                <w:szCs w:val="24"/>
                <w:highlight w:val="none"/>
              </w:rPr>
            </w:pPr>
          </w:p>
        </w:tc>
      </w:tr>
      <w:tr w14:paraId="043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13FF705">
            <w:pPr>
              <w:jc w:val="center"/>
              <w:rPr>
                <w:rFonts w:asciiTheme="minorEastAsia" w:hAnsiTheme="minorEastAsia" w:eastAsiaTheme="minorEastAsia"/>
                <w:color w:val="000000"/>
                <w:sz w:val="24"/>
                <w:szCs w:val="24"/>
                <w:highlight w:val="none"/>
              </w:rPr>
            </w:pPr>
          </w:p>
        </w:tc>
        <w:tc>
          <w:tcPr>
            <w:tcW w:w="1080" w:type="dxa"/>
            <w:vAlign w:val="center"/>
          </w:tcPr>
          <w:p w14:paraId="454BFD6D">
            <w:pPr>
              <w:rPr>
                <w:rFonts w:asciiTheme="minorEastAsia" w:hAnsiTheme="minorEastAsia" w:eastAsiaTheme="minorEastAsia"/>
                <w:color w:val="000000"/>
                <w:sz w:val="24"/>
                <w:szCs w:val="24"/>
                <w:highlight w:val="none"/>
              </w:rPr>
            </w:pPr>
          </w:p>
        </w:tc>
        <w:tc>
          <w:tcPr>
            <w:tcW w:w="2891" w:type="dxa"/>
            <w:vAlign w:val="center"/>
          </w:tcPr>
          <w:p w14:paraId="48DE8ECB">
            <w:pPr>
              <w:rPr>
                <w:rFonts w:asciiTheme="minorEastAsia" w:hAnsiTheme="minorEastAsia" w:eastAsiaTheme="minorEastAsia"/>
                <w:color w:val="000000"/>
                <w:sz w:val="24"/>
                <w:szCs w:val="24"/>
                <w:highlight w:val="none"/>
              </w:rPr>
            </w:pPr>
          </w:p>
        </w:tc>
        <w:tc>
          <w:tcPr>
            <w:tcW w:w="1110" w:type="dxa"/>
            <w:vAlign w:val="center"/>
          </w:tcPr>
          <w:p w14:paraId="1EEEB7B1">
            <w:pPr>
              <w:rPr>
                <w:rFonts w:asciiTheme="minorEastAsia" w:hAnsiTheme="minorEastAsia" w:eastAsiaTheme="minorEastAsia"/>
                <w:color w:val="000000"/>
                <w:sz w:val="24"/>
                <w:szCs w:val="24"/>
                <w:highlight w:val="none"/>
              </w:rPr>
            </w:pPr>
          </w:p>
        </w:tc>
        <w:tc>
          <w:tcPr>
            <w:tcW w:w="2613" w:type="dxa"/>
            <w:vAlign w:val="center"/>
          </w:tcPr>
          <w:p w14:paraId="06631D67">
            <w:pPr>
              <w:rPr>
                <w:rFonts w:asciiTheme="minorEastAsia" w:hAnsiTheme="minorEastAsia" w:eastAsiaTheme="minorEastAsia"/>
                <w:color w:val="000000"/>
                <w:sz w:val="24"/>
                <w:szCs w:val="24"/>
                <w:highlight w:val="none"/>
              </w:rPr>
            </w:pPr>
          </w:p>
        </w:tc>
      </w:tr>
      <w:tr w14:paraId="4069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7555A6">
            <w:pPr>
              <w:jc w:val="center"/>
              <w:rPr>
                <w:rFonts w:asciiTheme="minorEastAsia" w:hAnsiTheme="minorEastAsia" w:eastAsiaTheme="minorEastAsia"/>
                <w:color w:val="000000"/>
                <w:sz w:val="24"/>
                <w:szCs w:val="24"/>
                <w:highlight w:val="none"/>
              </w:rPr>
            </w:pPr>
          </w:p>
        </w:tc>
        <w:tc>
          <w:tcPr>
            <w:tcW w:w="1080" w:type="dxa"/>
            <w:vAlign w:val="center"/>
          </w:tcPr>
          <w:p w14:paraId="771A3ECA">
            <w:pPr>
              <w:rPr>
                <w:rFonts w:asciiTheme="minorEastAsia" w:hAnsiTheme="minorEastAsia" w:eastAsiaTheme="minorEastAsia"/>
                <w:color w:val="000000"/>
                <w:sz w:val="24"/>
                <w:szCs w:val="24"/>
                <w:highlight w:val="none"/>
              </w:rPr>
            </w:pPr>
          </w:p>
        </w:tc>
        <w:tc>
          <w:tcPr>
            <w:tcW w:w="2891" w:type="dxa"/>
            <w:vAlign w:val="center"/>
          </w:tcPr>
          <w:p w14:paraId="3666AF18">
            <w:pPr>
              <w:rPr>
                <w:rFonts w:asciiTheme="minorEastAsia" w:hAnsiTheme="minorEastAsia" w:eastAsiaTheme="minorEastAsia"/>
                <w:color w:val="000000"/>
                <w:sz w:val="24"/>
                <w:szCs w:val="24"/>
                <w:highlight w:val="none"/>
              </w:rPr>
            </w:pPr>
          </w:p>
        </w:tc>
        <w:tc>
          <w:tcPr>
            <w:tcW w:w="1110" w:type="dxa"/>
            <w:vAlign w:val="center"/>
          </w:tcPr>
          <w:p w14:paraId="56265EE1">
            <w:pPr>
              <w:rPr>
                <w:rFonts w:asciiTheme="minorEastAsia" w:hAnsiTheme="minorEastAsia" w:eastAsiaTheme="minorEastAsia"/>
                <w:color w:val="000000"/>
                <w:sz w:val="24"/>
                <w:szCs w:val="24"/>
                <w:highlight w:val="none"/>
              </w:rPr>
            </w:pPr>
          </w:p>
        </w:tc>
        <w:tc>
          <w:tcPr>
            <w:tcW w:w="2613" w:type="dxa"/>
            <w:vAlign w:val="center"/>
          </w:tcPr>
          <w:p w14:paraId="2480F792">
            <w:pPr>
              <w:rPr>
                <w:rFonts w:asciiTheme="minorEastAsia" w:hAnsiTheme="minorEastAsia" w:eastAsiaTheme="minorEastAsia"/>
                <w:color w:val="000000"/>
                <w:sz w:val="24"/>
                <w:szCs w:val="24"/>
                <w:highlight w:val="none"/>
              </w:rPr>
            </w:pPr>
          </w:p>
        </w:tc>
      </w:tr>
      <w:tr w14:paraId="5BD7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FD4748">
            <w:pPr>
              <w:jc w:val="center"/>
              <w:rPr>
                <w:rFonts w:asciiTheme="minorEastAsia" w:hAnsiTheme="minorEastAsia" w:eastAsiaTheme="minorEastAsia"/>
                <w:color w:val="000000"/>
                <w:sz w:val="24"/>
                <w:szCs w:val="24"/>
                <w:highlight w:val="none"/>
              </w:rPr>
            </w:pPr>
          </w:p>
        </w:tc>
        <w:tc>
          <w:tcPr>
            <w:tcW w:w="1080" w:type="dxa"/>
            <w:vAlign w:val="center"/>
          </w:tcPr>
          <w:p w14:paraId="4D80C7BB">
            <w:pPr>
              <w:rPr>
                <w:rFonts w:asciiTheme="minorEastAsia" w:hAnsiTheme="minorEastAsia" w:eastAsiaTheme="minorEastAsia"/>
                <w:color w:val="000000"/>
                <w:sz w:val="24"/>
                <w:szCs w:val="24"/>
                <w:highlight w:val="none"/>
              </w:rPr>
            </w:pPr>
          </w:p>
        </w:tc>
        <w:tc>
          <w:tcPr>
            <w:tcW w:w="2891" w:type="dxa"/>
            <w:vAlign w:val="center"/>
          </w:tcPr>
          <w:p w14:paraId="27D47E5C">
            <w:pPr>
              <w:rPr>
                <w:rFonts w:asciiTheme="minorEastAsia" w:hAnsiTheme="minorEastAsia" w:eastAsiaTheme="minorEastAsia"/>
                <w:color w:val="000000"/>
                <w:sz w:val="24"/>
                <w:szCs w:val="24"/>
                <w:highlight w:val="none"/>
              </w:rPr>
            </w:pPr>
          </w:p>
        </w:tc>
        <w:tc>
          <w:tcPr>
            <w:tcW w:w="1110" w:type="dxa"/>
            <w:vAlign w:val="center"/>
          </w:tcPr>
          <w:p w14:paraId="5DD96FE6">
            <w:pPr>
              <w:rPr>
                <w:rFonts w:asciiTheme="minorEastAsia" w:hAnsiTheme="minorEastAsia" w:eastAsiaTheme="minorEastAsia"/>
                <w:color w:val="000000"/>
                <w:sz w:val="24"/>
                <w:szCs w:val="24"/>
                <w:highlight w:val="none"/>
              </w:rPr>
            </w:pPr>
          </w:p>
        </w:tc>
        <w:tc>
          <w:tcPr>
            <w:tcW w:w="2613" w:type="dxa"/>
            <w:vAlign w:val="center"/>
          </w:tcPr>
          <w:p w14:paraId="2AB4AB8D">
            <w:pPr>
              <w:rPr>
                <w:rFonts w:asciiTheme="minorEastAsia" w:hAnsiTheme="minorEastAsia" w:eastAsiaTheme="minorEastAsia"/>
                <w:color w:val="000000"/>
                <w:sz w:val="24"/>
                <w:szCs w:val="24"/>
                <w:highlight w:val="none"/>
              </w:rPr>
            </w:pPr>
          </w:p>
        </w:tc>
      </w:tr>
      <w:tr w14:paraId="2835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2BDB49B">
            <w:pPr>
              <w:jc w:val="center"/>
              <w:rPr>
                <w:rFonts w:asciiTheme="minorEastAsia" w:hAnsiTheme="minorEastAsia" w:eastAsiaTheme="minorEastAsia"/>
                <w:color w:val="000000"/>
                <w:sz w:val="24"/>
                <w:szCs w:val="24"/>
                <w:highlight w:val="none"/>
              </w:rPr>
            </w:pPr>
          </w:p>
        </w:tc>
        <w:tc>
          <w:tcPr>
            <w:tcW w:w="1080" w:type="dxa"/>
            <w:vAlign w:val="center"/>
          </w:tcPr>
          <w:p w14:paraId="751FF515">
            <w:pPr>
              <w:rPr>
                <w:rFonts w:asciiTheme="minorEastAsia" w:hAnsiTheme="minorEastAsia" w:eastAsiaTheme="minorEastAsia"/>
                <w:color w:val="000000"/>
                <w:sz w:val="24"/>
                <w:szCs w:val="24"/>
                <w:highlight w:val="none"/>
              </w:rPr>
            </w:pPr>
          </w:p>
        </w:tc>
        <w:tc>
          <w:tcPr>
            <w:tcW w:w="2891" w:type="dxa"/>
            <w:vAlign w:val="center"/>
          </w:tcPr>
          <w:p w14:paraId="7AD0B988">
            <w:pPr>
              <w:rPr>
                <w:rFonts w:asciiTheme="minorEastAsia" w:hAnsiTheme="minorEastAsia" w:eastAsiaTheme="minorEastAsia"/>
                <w:color w:val="000000"/>
                <w:sz w:val="24"/>
                <w:szCs w:val="24"/>
                <w:highlight w:val="none"/>
              </w:rPr>
            </w:pPr>
          </w:p>
        </w:tc>
        <w:tc>
          <w:tcPr>
            <w:tcW w:w="1110" w:type="dxa"/>
            <w:vAlign w:val="center"/>
          </w:tcPr>
          <w:p w14:paraId="664900E8">
            <w:pPr>
              <w:rPr>
                <w:rFonts w:asciiTheme="minorEastAsia" w:hAnsiTheme="minorEastAsia" w:eastAsiaTheme="minorEastAsia"/>
                <w:color w:val="000000"/>
                <w:sz w:val="24"/>
                <w:szCs w:val="24"/>
                <w:highlight w:val="none"/>
              </w:rPr>
            </w:pPr>
          </w:p>
        </w:tc>
        <w:tc>
          <w:tcPr>
            <w:tcW w:w="2613" w:type="dxa"/>
            <w:vAlign w:val="center"/>
          </w:tcPr>
          <w:p w14:paraId="7947C67D">
            <w:pPr>
              <w:rPr>
                <w:rFonts w:asciiTheme="minorEastAsia" w:hAnsiTheme="minorEastAsia" w:eastAsiaTheme="minorEastAsia"/>
                <w:color w:val="000000"/>
                <w:sz w:val="24"/>
                <w:szCs w:val="24"/>
                <w:highlight w:val="none"/>
              </w:rPr>
            </w:pPr>
          </w:p>
        </w:tc>
      </w:tr>
      <w:tr w14:paraId="22F0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913BE76">
            <w:pPr>
              <w:jc w:val="center"/>
              <w:rPr>
                <w:rFonts w:asciiTheme="minorEastAsia" w:hAnsiTheme="minorEastAsia" w:eastAsiaTheme="minorEastAsia"/>
                <w:color w:val="000000"/>
                <w:sz w:val="24"/>
                <w:szCs w:val="24"/>
                <w:highlight w:val="none"/>
              </w:rPr>
            </w:pPr>
          </w:p>
        </w:tc>
        <w:tc>
          <w:tcPr>
            <w:tcW w:w="1080" w:type="dxa"/>
            <w:vAlign w:val="center"/>
          </w:tcPr>
          <w:p w14:paraId="1D0EA996">
            <w:pPr>
              <w:rPr>
                <w:rFonts w:asciiTheme="minorEastAsia" w:hAnsiTheme="minorEastAsia" w:eastAsiaTheme="minorEastAsia"/>
                <w:color w:val="000000"/>
                <w:sz w:val="24"/>
                <w:szCs w:val="24"/>
                <w:highlight w:val="none"/>
              </w:rPr>
            </w:pPr>
          </w:p>
        </w:tc>
        <w:tc>
          <w:tcPr>
            <w:tcW w:w="2891" w:type="dxa"/>
            <w:vAlign w:val="center"/>
          </w:tcPr>
          <w:p w14:paraId="63EA4B37">
            <w:pPr>
              <w:rPr>
                <w:rFonts w:asciiTheme="minorEastAsia" w:hAnsiTheme="minorEastAsia" w:eastAsiaTheme="minorEastAsia"/>
                <w:color w:val="000000"/>
                <w:sz w:val="24"/>
                <w:szCs w:val="24"/>
                <w:highlight w:val="none"/>
              </w:rPr>
            </w:pPr>
          </w:p>
        </w:tc>
        <w:tc>
          <w:tcPr>
            <w:tcW w:w="1110" w:type="dxa"/>
            <w:vAlign w:val="center"/>
          </w:tcPr>
          <w:p w14:paraId="5FA1DEE1">
            <w:pPr>
              <w:rPr>
                <w:rFonts w:asciiTheme="minorEastAsia" w:hAnsiTheme="minorEastAsia" w:eastAsiaTheme="minorEastAsia"/>
                <w:color w:val="000000"/>
                <w:sz w:val="24"/>
                <w:szCs w:val="24"/>
                <w:highlight w:val="none"/>
              </w:rPr>
            </w:pPr>
          </w:p>
        </w:tc>
        <w:tc>
          <w:tcPr>
            <w:tcW w:w="2613" w:type="dxa"/>
            <w:vAlign w:val="center"/>
          </w:tcPr>
          <w:p w14:paraId="32486DEE">
            <w:pPr>
              <w:rPr>
                <w:rFonts w:asciiTheme="minorEastAsia" w:hAnsiTheme="minorEastAsia" w:eastAsiaTheme="minorEastAsia"/>
                <w:color w:val="000000"/>
                <w:sz w:val="24"/>
                <w:szCs w:val="24"/>
                <w:highlight w:val="none"/>
              </w:rPr>
            </w:pPr>
          </w:p>
        </w:tc>
      </w:tr>
      <w:tr w14:paraId="3FB8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0C4FC56">
            <w:pPr>
              <w:jc w:val="center"/>
              <w:rPr>
                <w:rFonts w:asciiTheme="minorEastAsia" w:hAnsiTheme="minorEastAsia" w:eastAsiaTheme="minorEastAsia"/>
                <w:color w:val="000000"/>
                <w:sz w:val="24"/>
                <w:szCs w:val="24"/>
                <w:highlight w:val="none"/>
              </w:rPr>
            </w:pPr>
          </w:p>
        </w:tc>
        <w:tc>
          <w:tcPr>
            <w:tcW w:w="1080" w:type="dxa"/>
            <w:vAlign w:val="center"/>
          </w:tcPr>
          <w:p w14:paraId="4B760E77">
            <w:pPr>
              <w:rPr>
                <w:rFonts w:asciiTheme="minorEastAsia" w:hAnsiTheme="minorEastAsia" w:eastAsiaTheme="minorEastAsia"/>
                <w:color w:val="000000"/>
                <w:sz w:val="24"/>
                <w:szCs w:val="24"/>
                <w:highlight w:val="none"/>
              </w:rPr>
            </w:pPr>
          </w:p>
        </w:tc>
        <w:tc>
          <w:tcPr>
            <w:tcW w:w="2891" w:type="dxa"/>
            <w:vAlign w:val="center"/>
          </w:tcPr>
          <w:p w14:paraId="4A315ED2">
            <w:pPr>
              <w:rPr>
                <w:rFonts w:asciiTheme="minorEastAsia" w:hAnsiTheme="minorEastAsia" w:eastAsiaTheme="minorEastAsia"/>
                <w:color w:val="000000"/>
                <w:sz w:val="24"/>
                <w:szCs w:val="24"/>
                <w:highlight w:val="none"/>
              </w:rPr>
            </w:pPr>
          </w:p>
        </w:tc>
        <w:tc>
          <w:tcPr>
            <w:tcW w:w="1110" w:type="dxa"/>
            <w:vAlign w:val="center"/>
          </w:tcPr>
          <w:p w14:paraId="5B694141">
            <w:pPr>
              <w:rPr>
                <w:rFonts w:asciiTheme="minorEastAsia" w:hAnsiTheme="minorEastAsia" w:eastAsiaTheme="minorEastAsia"/>
                <w:color w:val="000000"/>
                <w:sz w:val="24"/>
                <w:szCs w:val="24"/>
                <w:highlight w:val="none"/>
              </w:rPr>
            </w:pPr>
          </w:p>
        </w:tc>
        <w:tc>
          <w:tcPr>
            <w:tcW w:w="2613" w:type="dxa"/>
            <w:vAlign w:val="center"/>
          </w:tcPr>
          <w:p w14:paraId="4592B10F">
            <w:pPr>
              <w:rPr>
                <w:rFonts w:asciiTheme="minorEastAsia" w:hAnsiTheme="minorEastAsia" w:eastAsiaTheme="minorEastAsia"/>
                <w:color w:val="000000"/>
                <w:sz w:val="24"/>
                <w:szCs w:val="24"/>
                <w:highlight w:val="none"/>
              </w:rPr>
            </w:pPr>
          </w:p>
        </w:tc>
      </w:tr>
      <w:tr w14:paraId="2CE7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87CC0F">
            <w:pPr>
              <w:jc w:val="center"/>
              <w:rPr>
                <w:rFonts w:asciiTheme="minorEastAsia" w:hAnsiTheme="minorEastAsia" w:eastAsiaTheme="minorEastAsia"/>
                <w:color w:val="000000"/>
                <w:sz w:val="24"/>
                <w:szCs w:val="24"/>
                <w:highlight w:val="none"/>
              </w:rPr>
            </w:pPr>
          </w:p>
        </w:tc>
        <w:tc>
          <w:tcPr>
            <w:tcW w:w="1080" w:type="dxa"/>
            <w:vAlign w:val="center"/>
          </w:tcPr>
          <w:p w14:paraId="1A1AB1AE">
            <w:pPr>
              <w:rPr>
                <w:rFonts w:asciiTheme="minorEastAsia" w:hAnsiTheme="minorEastAsia" w:eastAsiaTheme="minorEastAsia"/>
                <w:color w:val="000000"/>
                <w:sz w:val="24"/>
                <w:szCs w:val="24"/>
                <w:highlight w:val="none"/>
              </w:rPr>
            </w:pPr>
          </w:p>
        </w:tc>
        <w:tc>
          <w:tcPr>
            <w:tcW w:w="2891" w:type="dxa"/>
            <w:vAlign w:val="center"/>
          </w:tcPr>
          <w:p w14:paraId="109FCE8C">
            <w:pPr>
              <w:rPr>
                <w:rFonts w:asciiTheme="minorEastAsia" w:hAnsiTheme="minorEastAsia" w:eastAsiaTheme="minorEastAsia"/>
                <w:color w:val="000000"/>
                <w:sz w:val="24"/>
                <w:szCs w:val="24"/>
                <w:highlight w:val="none"/>
              </w:rPr>
            </w:pPr>
          </w:p>
        </w:tc>
        <w:tc>
          <w:tcPr>
            <w:tcW w:w="1110" w:type="dxa"/>
            <w:vAlign w:val="center"/>
          </w:tcPr>
          <w:p w14:paraId="14445075">
            <w:pPr>
              <w:rPr>
                <w:rFonts w:asciiTheme="minorEastAsia" w:hAnsiTheme="minorEastAsia" w:eastAsiaTheme="minorEastAsia"/>
                <w:color w:val="000000"/>
                <w:sz w:val="24"/>
                <w:szCs w:val="24"/>
                <w:highlight w:val="none"/>
              </w:rPr>
            </w:pPr>
          </w:p>
        </w:tc>
        <w:tc>
          <w:tcPr>
            <w:tcW w:w="2613" w:type="dxa"/>
            <w:vAlign w:val="center"/>
          </w:tcPr>
          <w:p w14:paraId="524A608F">
            <w:pPr>
              <w:rPr>
                <w:rFonts w:asciiTheme="minorEastAsia" w:hAnsiTheme="minorEastAsia" w:eastAsiaTheme="minorEastAsia"/>
                <w:color w:val="000000"/>
                <w:sz w:val="24"/>
                <w:szCs w:val="24"/>
                <w:highlight w:val="none"/>
              </w:rPr>
            </w:pPr>
          </w:p>
        </w:tc>
      </w:tr>
      <w:tr w14:paraId="46AD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83C8AFF">
            <w:pPr>
              <w:jc w:val="center"/>
              <w:rPr>
                <w:rFonts w:asciiTheme="minorEastAsia" w:hAnsiTheme="minorEastAsia" w:eastAsiaTheme="minorEastAsia"/>
                <w:color w:val="000000"/>
                <w:sz w:val="24"/>
                <w:szCs w:val="24"/>
                <w:highlight w:val="none"/>
              </w:rPr>
            </w:pPr>
          </w:p>
        </w:tc>
        <w:tc>
          <w:tcPr>
            <w:tcW w:w="1080" w:type="dxa"/>
            <w:vAlign w:val="center"/>
          </w:tcPr>
          <w:p w14:paraId="231276CC">
            <w:pPr>
              <w:rPr>
                <w:rFonts w:asciiTheme="minorEastAsia" w:hAnsiTheme="minorEastAsia" w:eastAsiaTheme="minorEastAsia"/>
                <w:color w:val="000000"/>
                <w:sz w:val="24"/>
                <w:szCs w:val="24"/>
                <w:highlight w:val="none"/>
              </w:rPr>
            </w:pPr>
          </w:p>
        </w:tc>
        <w:tc>
          <w:tcPr>
            <w:tcW w:w="2891" w:type="dxa"/>
            <w:vAlign w:val="center"/>
          </w:tcPr>
          <w:p w14:paraId="7CCC0DF2">
            <w:pPr>
              <w:rPr>
                <w:rFonts w:asciiTheme="minorEastAsia" w:hAnsiTheme="minorEastAsia" w:eastAsiaTheme="minorEastAsia"/>
                <w:color w:val="000000"/>
                <w:sz w:val="24"/>
                <w:szCs w:val="24"/>
                <w:highlight w:val="none"/>
              </w:rPr>
            </w:pPr>
          </w:p>
        </w:tc>
        <w:tc>
          <w:tcPr>
            <w:tcW w:w="1110" w:type="dxa"/>
            <w:vAlign w:val="center"/>
          </w:tcPr>
          <w:p w14:paraId="7498AA13">
            <w:pPr>
              <w:rPr>
                <w:rFonts w:asciiTheme="minorEastAsia" w:hAnsiTheme="minorEastAsia" w:eastAsiaTheme="minorEastAsia"/>
                <w:color w:val="000000"/>
                <w:sz w:val="24"/>
                <w:szCs w:val="24"/>
                <w:highlight w:val="none"/>
              </w:rPr>
            </w:pPr>
          </w:p>
        </w:tc>
        <w:tc>
          <w:tcPr>
            <w:tcW w:w="2613" w:type="dxa"/>
            <w:vAlign w:val="center"/>
          </w:tcPr>
          <w:p w14:paraId="137462B4">
            <w:pPr>
              <w:rPr>
                <w:rFonts w:asciiTheme="minorEastAsia" w:hAnsiTheme="minorEastAsia" w:eastAsiaTheme="minorEastAsia"/>
                <w:color w:val="000000"/>
                <w:sz w:val="24"/>
                <w:szCs w:val="24"/>
                <w:highlight w:val="none"/>
              </w:rPr>
            </w:pPr>
          </w:p>
        </w:tc>
      </w:tr>
      <w:tr w14:paraId="47A4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219A209">
            <w:pPr>
              <w:jc w:val="center"/>
              <w:rPr>
                <w:rFonts w:asciiTheme="minorEastAsia" w:hAnsiTheme="minorEastAsia" w:eastAsiaTheme="minorEastAsia"/>
                <w:color w:val="000000"/>
                <w:sz w:val="24"/>
                <w:szCs w:val="24"/>
                <w:highlight w:val="none"/>
              </w:rPr>
            </w:pPr>
          </w:p>
        </w:tc>
        <w:tc>
          <w:tcPr>
            <w:tcW w:w="1080" w:type="dxa"/>
            <w:vAlign w:val="center"/>
          </w:tcPr>
          <w:p w14:paraId="667EFEAD">
            <w:pPr>
              <w:rPr>
                <w:rFonts w:asciiTheme="minorEastAsia" w:hAnsiTheme="minorEastAsia" w:eastAsiaTheme="minorEastAsia"/>
                <w:color w:val="000000"/>
                <w:sz w:val="24"/>
                <w:szCs w:val="24"/>
                <w:highlight w:val="none"/>
              </w:rPr>
            </w:pPr>
          </w:p>
        </w:tc>
        <w:tc>
          <w:tcPr>
            <w:tcW w:w="2891" w:type="dxa"/>
            <w:vAlign w:val="center"/>
          </w:tcPr>
          <w:p w14:paraId="72060C2E">
            <w:pPr>
              <w:rPr>
                <w:rFonts w:asciiTheme="minorEastAsia" w:hAnsiTheme="minorEastAsia" w:eastAsiaTheme="minorEastAsia"/>
                <w:color w:val="000000"/>
                <w:sz w:val="24"/>
                <w:szCs w:val="24"/>
                <w:highlight w:val="none"/>
              </w:rPr>
            </w:pPr>
          </w:p>
        </w:tc>
        <w:tc>
          <w:tcPr>
            <w:tcW w:w="1110" w:type="dxa"/>
            <w:vAlign w:val="center"/>
          </w:tcPr>
          <w:p w14:paraId="2729BE2C">
            <w:pPr>
              <w:rPr>
                <w:rFonts w:asciiTheme="minorEastAsia" w:hAnsiTheme="minorEastAsia" w:eastAsiaTheme="minorEastAsia"/>
                <w:color w:val="000000"/>
                <w:sz w:val="24"/>
                <w:szCs w:val="24"/>
                <w:highlight w:val="none"/>
              </w:rPr>
            </w:pPr>
          </w:p>
        </w:tc>
        <w:tc>
          <w:tcPr>
            <w:tcW w:w="2613" w:type="dxa"/>
            <w:vAlign w:val="center"/>
          </w:tcPr>
          <w:p w14:paraId="2FF78FE6">
            <w:pPr>
              <w:rPr>
                <w:rFonts w:asciiTheme="minorEastAsia" w:hAnsiTheme="minorEastAsia" w:eastAsiaTheme="minorEastAsia"/>
                <w:color w:val="000000"/>
                <w:sz w:val="24"/>
                <w:szCs w:val="24"/>
                <w:highlight w:val="none"/>
              </w:rPr>
            </w:pPr>
          </w:p>
        </w:tc>
      </w:tr>
      <w:tr w14:paraId="1CDB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FEAC9F">
            <w:pPr>
              <w:jc w:val="center"/>
              <w:rPr>
                <w:rFonts w:asciiTheme="minorEastAsia" w:hAnsiTheme="minorEastAsia" w:eastAsiaTheme="minorEastAsia"/>
                <w:color w:val="000000"/>
                <w:sz w:val="24"/>
                <w:szCs w:val="24"/>
                <w:highlight w:val="none"/>
              </w:rPr>
            </w:pPr>
          </w:p>
        </w:tc>
        <w:tc>
          <w:tcPr>
            <w:tcW w:w="1080" w:type="dxa"/>
            <w:vAlign w:val="center"/>
          </w:tcPr>
          <w:p w14:paraId="3C1F219E">
            <w:pPr>
              <w:rPr>
                <w:rFonts w:asciiTheme="minorEastAsia" w:hAnsiTheme="minorEastAsia" w:eastAsiaTheme="minorEastAsia"/>
                <w:color w:val="000000"/>
                <w:sz w:val="24"/>
                <w:szCs w:val="24"/>
                <w:highlight w:val="none"/>
              </w:rPr>
            </w:pPr>
          </w:p>
        </w:tc>
        <w:tc>
          <w:tcPr>
            <w:tcW w:w="2891" w:type="dxa"/>
            <w:vAlign w:val="center"/>
          </w:tcPr>
          <w:p w14:paraId="2E173EC4">
            <w:pPr>
              <w:rPr>
                <w:rFonts w:asciiTheme="minorEastAsia" w:hAnsiTheme="minorEastAsia" w:eastAsiaTheme="minorEastAsia"/>
                <w:color w:val="000000"/>
                <w:sz w:val="24"/>
                <w:szCs w:val="24"/>
                <w:highlight w:val="none"/>
              </w:rPr>
            </w:pPr>
          </w:p>
        </w:tc>
        <w:tc>
          <w:tcPr>
            <w:tcW w:w="1110" w:type="dxa"/>
            <w:vAlign w:val="center"/>
          </w:tcPr>
          <w:p w14:paraId="33D99779">
            <w:pPr>
              <w:rPr>
                <w:rFonts w:asciiTheme="minorEastAsia" w:hAnsiTheme="minorEastAsia" w:eastAsiaTheme="minorEastAsia"/>
                <w:color w:val="000000"/>
                <w:sz w:val="24"/>
                <w:szCs w:val="24"/>
                <w:highlight w:val="none"/>
              </w:rPr>
            </w:pPr>
          </w:p>
        </w:tc>
        <w:tc>
          <w:tcPr>
            <w:tcW w:w="2613" w:type="dxa"/>
            <w:vAlign w:val="center"/>
          </w:tcPr>
          <w:p w14:paraId="4F1BBEB3">
            <w:pPr>
              <w:rPr>
                <w:rFonts w:asciiTheme="minorEastAsia" w:hAnsiTheme="minorEastAsia" w:eastAsiaTheme="minorEastAsia"/>
                <w:color w:val="000000"/>
                <w:sz w:val="24"/>
                <w:szCs w:val="24"/>
                <w:highlight w:val="none"/>
              </w:rPr>
            </w:pPr>
          </w:p>
        </w:tc>
      </w:tr>
    </w:tbl>
    <w:p w14:paraId="61197677">
      <w:pPr>
        <w:ind w:firstLine="240" w:firstLineChars="100"/>
        <w:rPr>
          <w:rFonts w:hint="eastAsia" w:asciiTheme="minorEastAsia" w:hAnsiTheme="minorEastAsia" w:eastAsiaTheme="minorEastAsia"/>
          <w:color w:val="000000"/>
          <w:sz w:val="24"/>
          <w:szCs w:val="24"/>
          <w:highlight w:val="none"/>
        </w:rPr>
      </w:pPr>
    </w:p>
    <w:p w14:paraId="1D52C4DA">
      <w:pPr>
        <w:ind w:firstLine="240" w:firstLineChars="100"/>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投标人名称：                   授权代表签字：            日期：</w:t>
      </w:r>
    </w:p>
    <w:p w14:paraId="4846A13C">
      <w:pPr>
        <w:rPr>
          <w:rFonts w:asciiTheme="minorEastAsia" w:hAnsiTheme="minorEastAsia" w:eastAsiaTheme="minorEastAsia"/>
          <w:b/>
          <w:color w:val="000000"/>
          <w:sz w:val="24"/>
          <w:szCs w:val="24"/>
          <w:highlight w:val="none"/>
        </w:rPr>
      </w:pPr>
    </w:p>
    <w:p w14:paraId="1B0030EB">
      <w:pPr>
        <w:ind w:left="235" w:leftChars="112"/>
        <w:rPr>
          <w:rFonts w:cs="宋体" w:asciiTheme="minorEastAsia" w:hAnsiTheme="minorEastAsia" w:eastAsiaTheme="minorEastAsia"/>
          <w:b/>
          <w:bCs/>
          <w:color w:val="000000"/>
          <w:sz w:val="24"/>
          <w:szCs w:val="24"/>
          <w:highlight w:val="none"/>
        </w:rPr>
      </w:pPr>
      <w:r>
        <w:rPr>
          <w:rFonts w:hint="eastAsia" w:asciiTheme="minorEastAsia" w:hAnsiTheme="minorEastAsia" w:eastAsiaTheme="minorEastAsia"/>
          <w:b/>
          <w:color w:val="000000"/>
          <w:sz w:val="24"/>
          <w:szCs w:val="24"/>
          <w:highlight w:val="none"/>
        </w:rPr>
        <w:t>注：</w:t>
      </w:r>
      <w:r>
        <w:rPr>
          <w:rFonts w:hint="eastAsia" w:asciiTheme="minorEastAsia" w:hAnsiTheme="minorEastAsia" w:eastAsiaTheme="minorEastAsia"/>
          <w:color w:val="000000"/>
          <w:sz w:val="24"/>
          <w:szCs w:val="24"/>
          <w:highlight w:val="none"/>
        </w:rPr>
        <w:t>即使投标人在《技术性能、参数的详细描述》中进行了描述，也要提报该表，</w:t>
      </w:r>
      <w:r>
        <w:rPr>
          <w:rFonts w:hint="eastAsia" w:asciiTheme="minorEastAsia" w:hAnsiTheme="minorEastAsia" w:eastAsiaTheme="minorEastAsia"/>
          <w:b/>
          <w:color w:val="000000"/>
          <w:sz w:val="24"/>
          <w:szCs w:val="24"/>
          <w:highlight w:val="none"/>
        </w:rPr>
        <w:t>无该表则被视为“无偏离”。</w:t>
      </w:r>
      <w:r>
        <w:rPr>
          <w:rFonts w:hint="eastAsia" w:asciiTheme="minorEastAsia" w:hAnsiTheme="minorEastAsia" w:eastAsiaTheme="minorEastAsia"/>
          <w:color w:val="000000"/>
          <w:sz w:val="24"/>
          <w:szCs w:val="24"/>
          <w:highlight w:val="none"/>
        </w:rPr>
        <w:t>如无偏离注明“无”字。</w:t>
      </w:r>
    </w:p>
    <w:p w14:paraId="0EE76DDE">
      <w:pPr>
        <w:pStyle w:val="14"/>
        <w:spacing w:line="360" w:lineRule="auto"/>
        <w:jc w:val="center"/>
        <w:rPr>
          <w:rFonts w:cs="宋体" w:asciiTheme="minorEastAsia" w:hAnsiTheme="minorEastAsia" w:eastAsiaTheme="minorEastAsia"/>
          <w:b/>
          <w:bCs/>
          <w:color w:val="000000"/>
          <w:sz w:val="24"/>
          <w:szCs w:val="24"/>
          <w:highlight w:val="none"/>
        </w:rPr>
      </w:pPr>
    </w:p>
    <w:p w14:paraId="19AC3ED3">
      <w:pPr>
        <w:pStyle w:val="14"/>
        <w:spacing w:line="360" w:lineRule="auto"/>
        <w:jc w:val="center"/>
        <w:rPr>
          <w:rFonts w:cs="宋体" w:asciiTheme="minorEastAsia" w:hAnsiTheme="minorEastAsia" w:eastAsiaTheme="minorEastAsia"/>
          <w:b/>
          <w:bCs/>
          <w:color w:val="000000"/>
          <w:sz w:val="24"/>
          <w:szCs w:val="24"/>
          <w:highlight w:val="none"/>
        </w:rPr>
      </w:pPr>
    </w:p>
    <w:p w14:paraId="1CD2AA08">
      <w:pPr>
        <w:pStyle w:val="14"/>
        <w:spacing w:line="360" w:lineRule="auto"/>
        <w:jc w:val="center"/>
        <w:rPr>
          <w:rFonts w:cs="宋体" w:asciiTheme="minorEastAsia" w:hAnsiTheme="minorEastAsia" w:eastAsiaTheme="minorEastAsia"/>
          <w:b/>
          <w:bCs/>
          <w:color w:val="000000"/>
          <w:sz w:val="24"/>
          <w:szCs w:val="24"/>
          <w:highlight w:val="none"/>
        </w:rPr>
      </w:pPr>
    </w:p>
    <w:p w14:paraId="74A33B81">
      <w:pPr>
        <w:pStyle w:val="14"/>
        <w:spacing w:line="360" w:lineRule="auto"/>
        <w:jc w:val="center"/>
        <w:rPr>
          <w:rFonts w:cs="宋体" w:asciiTheme="minorEastAsia" w:hAnsiTheme="minorEastAsia" w:eastAsiaTheme="minorEastAsia"/>
          <w:b/>
          <w:bCs/>
          <w:color w:val="000000"/>
          <w:sz w:val="24"/>
          <w:szCs w:val="24"/>
          <w:highlight w:val="none"/>
        </w:rPr>
      </w:pPr>
    </w:p>
    <w:p w14:paraId="2C2D267C">
      <w:pPr>
        <w:pStyle w:val="14"/>
        <w:spacing w:line="360" w:lineRule="auto"/>
        <w:jc w:val="center"/>
        <w:rPr>
          <w:rFonts w:cs="宋体" w:asciiTheme="minorEastAsia" w:hAnsiTheme="minorEastAsia" w:eastAsiaTheme="minorEastAsia"/>
          <w:b/>
          <w:bCs/>
          <w:color w:val="000000"/>
          <w:sz w:val="24"/>
          <w:szCs w:val="24"/>
          <w:highlight w:val="none"/>
        </w:rPr>
      </w:pPr>
    </w:p>
    <w:p w14:paraId="3417C41B">
      <w:pPr>
        <w:rPr>
          <w:rFonts w:hint="eastAsia" w:asciiTheme="minorEastAsia" w:hAnsiTheme="minorEastAsia" w:eastAsiaTheme="minorEastAsia"/>
          <w:b/>
          <w:bCs/>
          <w:color w:val="000000"/>
          <w:sz w:val="24"/>
          <w:szCs w:val="24"/>
          <w:highlight w:val="none"/>
          <w:lang w:val="en-US" w:eastAsia="zh-CN"/>
        </w:rPr>
      </w:pPr>
      <w:r>
        <w:rPr>
          <w:rFonts w:hint="eastAsia" w:cs="宋体" w:asciiTheme="minorEastAsia" w:hAnsiTheme="minorEastAsia" w:eastAsiaTheme="minorEastAsia"/>
          <w:b/>
          <w:bCs/>
          <w:color w:val="000000"/>
          <w:sz w:val="24"/>
          <w:szCs w:val="24"/>
          <w:highlight w:val="none"/>
        </w:rPr>
        <w:t>附件格式</w:t>
      </w:r>
      <w:r>
        <w:rPr>
          <w:rFonts w:hint="eastAsia" w:asciiTheme="minorEastAsia" w:hAnsiTheme="minorEastAsia" w:eastAsiaTheme="minorEastAsia"/>
          <w:b/>
          <w:bCs/>
          <w:color w:val="000000"/>
          <w:sz w:val="24"/>
          <w:szCs w:val="24"/>
          <w:highlight w:val="none"/>
          <w:lang w:val="en-US" w:eastAsia="zh-CN"/>
        </w:rPr>
        <w:t>7</w:t>
      </w:r>
    </w:p>
    <w:p w14:paraId="049991FF">
      <w:pPr>
        <w:wordWrap w:val="0"/>
        <w:adjustRightInd w:val="0"/>
        <w:snapToGrid w:val="0"/>
        <w:spacing w:line="360" w:lineRule="auto"/>
        <w:ind w:firstLine="562"/>
        <w:jc w:val="right"/>
        <w:rPr>
          <w:rFonts w:ascii="宋体" w:hAnsi="宋体"/>
          <w:b/>
          <w:sz w:val="28"/>
          <w:szCs w:val="28"/>
          <w:highlight w:val="none"/>
        </w:rPr>
      </w:pPr>
      <w:r>
        <w:rPr>
          <w:rFonts w:hint="eastAsia" w:ascii="宋体" w:hAnsi="宋体"/>
          <w:b/>
          <w:sz w:val="28"/>
          <w:szCs w:val="28"/>
          <w:highlight w:val="none"/>
        </w:rPr>
        <w:t>合同编号：</w:t>
      </w:r>
      <w:r>
        <w:rPr>
          <w:rFonts w:ascii="宋体" w:hAnsi="宋体"/>
          <w:b/>
          <w:sz w:val="28"/>
          <w:szCs w:val="36"/>
          <w:highlight w:val="none"/>
          <w:u w:val="thick"/>
        </w:rPr>
        <w:t xml:space="preserve">            </w:t>
      </w:r>
    </w:p>
    <w:p w14:paraId="2034901D">
      <w:pPr>
        <w:adjustRightInd w:val="0"/>
        <w:snapToGrid w:val="0"/>
        <w:spacing w:line="360" w:lineRule="auto"/>
        <w:ind w:firstLine="400"/>
        <w:jc w:val="left"/>
        <w:rPr>
          <w:rFonts w:ascii="宋体" w:hAnsi="宋体"/>
          <w:sz w:val="20"/>
          <w:szCs w:val="20"/>
          <w:highlight w:val="none"/>
        </w:rPr>
      </w:pPr>
    </w:p>
    <w:p w14:paraId="75352275">
      <w:pPr>
        <w:adjustRightInd w:val="0"/>
        <w:snapToGrid w:val="0"/>
        <w:spacing w:line="360" w:lineRule="auto"/>
        <w:ind w:firstLine="400"/>
        <w:jc w:val="left"/>
        <w:rPr>
          <w:rFonts w:ascii="宋体" w:hAnsi="宋体"/>
          <w:sz w:val="20"/>
          <w:szCs w:val="20"/>
          <w:highlight w:val="none"/>
        </w:rPr>
      </w:pPr>
    </w:p>
    <w:p w14:paraId="698E5BAB">
      <w:pPr>
        <w:adjustRightInd w:val="0"/>
        <w:snapToGrid w:val="0"/>
        <w:spacing w:line="360" w:lineRule="auto"/>
        <w:ind w:firstLine="400"/>
        <w:jc w:val="left"/>
        <w:rPr>
          <w:rFonts w:ascii="宋体" w:hAnsi="宋体"/>
          <w:sz w:val="20"/>
          <w:szCs w:val="20"/>
          <w:highlight w:val="none"/>
        </w:rPr>
      </w:pPr>
    </w:p>
    <w:p w14:paraId="2AF35653">
      <w:pPr>
        <w:adjustRightInd w:val="0"/>
        <w:snapToGrid w:val="0"/>
        <w:spacing w:line="360" w:lineRule="auto"/>
        <w:ind w:firstLine="400"/>
        <w:jc w:val="left"/>
        <w:rPr>
          <w:rFonts w:ascii="宋体" w:hAnsi="宋体"/>
          <w:sz w:val="20"/>
          <w:szCs w:val="20"/>
          <w:highlight w:val="none"/>
        </w:rPr>
      </w:pPr>
    </w:p>
    <w:p w14:paraId="3DEDCD02">
      <w:pPr>
        <w:adjustRightInd w:val="0"/>
        <w:snapToGrid w:val="0"/>
        <w:spacing w:line="360" w:lineRule="auto"/>
        <w:jc w:val="center"/>
        <w:rPr>
          <w:rFonts w:ascii="宋体" w:hAnsi="宋体"/>
          <w:b/>
          <w:bCs/>
          <w:sz w:val="52"/>
          <w:szCs w:val="36"/>
          <w:highlight w:val="none"/>
        </w:rPr>
      </w:pPr>
      <w:r>
        <w:rPr>
          <w:rFonts w:hint="eastAsia" w:ascii="宋体" w:hAnsi="宋体"/>
          <w:b/>
          <w:bCs/>
          <w:sz w:val="52"/>
          <w:szCs w:val="36"/>
          <w:highlight w:val="none"/>
        </w:rPr>
        <w:t>建设工程施工合同</w:t>
      </w:r>
    </w:p>
    <w:p w14:paraId="3E1715EC">
      <w:pPr>
        <w:adjustRightInd w:val="0"/>
        <w:snapToGrid w:val="0"/>
        <w:spacing w:line="360" w:lineRule="auto"/>
        <w:jc w:val="center"/>
        <w:rPr>
          <w:rFonts w:ascii="宋体" w:hAnsi="宋体"/>
          <w:b/>
          <w:sz w:val="52"/>
          <w:szCs w:val="36"/>
          <w:highlight w:val="none"/>
        </w:rPr>
      </w:pPr>
      <w:r>
        <w:rPr>
          <w:rFonts w:hint="eastAsia" w:ascii="宋体" w:hAnsi="宋体"/>
          <w:b/>
          <w:bCs/>
          <w:sz w:val="52"/>
          <w:szCs w:val="36"/>
          <w:highlight w:val="none"/>
        </w:rPr>
        <w:t>（简易模板）</w:t>
      </w:r>
    </w:p>
    <w:p w14:paraId="64EA0DDF">
      <w:pPr>
        <w:adjustRightInd w:val="0"/>
        <w:snapToGrid w:val="0"/>
        <w:spacing w:line="360" w:lineRule="auto"/>
        <w:ind w:firstLine="723"/>
        <w:jc w:val="left"/>
        <w:rPr>
          <w:rFonts w:ascii="宋体" w:hAnsi="宋体"/>
          <w:b/>
          <w:sz w:val="36"/>
          <w:szCs w:val="36"/>
          <w:highlight w:val="none"/>
        </w:rPr>
      </w:pPr>
    </w:p>
    <w:p w14:paraId="3006D77A">
      <w:pPr>
        <w:adjustRightInd w:val="0"/>
        <w:snapToGrid w:val="0"/>
        <w:spacing w:line="360" w:lineRule="auto"/>
        <w:ind w:firstLine="723"/>
        <w:jc w:val="left"/>
        <w:rPr>
          <w:rFonts w:ascii="宋体" w:hAnsi="宋体"/>
          <w:b/>
          <w:sz w:val="36"/>
          <w:szCs w:val="36"/>
          <w:highlight w:val="none"/>
        </w:rPr>
      </w:pPr>
    </w:p>
    <w:p w14:paraId="74482173">
      <w:pPr>
        <w:adjustRightInd w:val="0"/>
        <w:snapToGrid w:val="0"/>
        <w:spacing w:line="360" w:lineRule="auto"/>
        <w:ind w:firstLine="723"/>
        <w:jc w:val="left"/>
        <w:rPr>
          <w:rFonts w:ascii="宋体" w:hAnsi="宋体"/>
          <w:b/>
          <w:sz w:val="36"/>
          <w:szCs w:val="36"/>
          <w:highlight w:val="none"/>
        </w:rPr>
      </w:pPr>
    </w:p>
    <w:p w14:paraId="079C59C2">
      <w:pPr>
        <w:pStyle w:val="10"/>
        <w:ind w:firstLine="560"/>
        <w:rPr>
          <w:highlight w:val="none"/>
        </w:rPr>
      </w:pPr>
    </w:p>
    <w:p w14:paraId="2D266177">
      <w:pPr>
        <w:adjustRightInd w:val="0"/>
        <w:snapToGrid w:val="0"/>
        <w:spacing w:line="360" w:lineRule="auto"/>
        <w:ind w:firstLine="2327" w:firstLineChars="644"/>
        <w:jc w:val="left"/>
        <w:rPr>
          <w:rFonts w:ascii="宋体" w:hAnsi="宋体"/>
          <w:b/>
          <w:sz w:val="36"/>
          <w:szCs w:val="36"/>
          <w:highlight w:val="none"/>
        </w:rPr>
      </w:pPr>
    </w:p>
    <w:p w14:paraId="3C03CAD3">
      <w:pPr>
        <w:adjustRightInd w:val="0"/>
        <w:snapToGrid w:val="0"/>
        <w:spacing w:line="360" w:lineRule="auto"/>
        <w:ind w:firstLine="2530" w:firstLineChars="900"/>
        <w:jc w:val="left"/>
        <w:rPr>
          <w:rFonts w:ascii="宋体" w:hAnsi="宋体"/>
          <w:b/>
          <w:sz w:val="28"/>
          <w:szCs w:val="36"/>
          <w:highlight w:val="none"/>
          <w:u w:val="thick"/>
        </w:rPr>
      </w:pPr>
      <w:r>
        <w:rPr>
          <w:rFonts w:hint="eastAsia" w:ascii="宋体" w:hAnsi="宋体"/>
          <w:b/>
          <w:sz w:val="28"/>
          <w:szCs w:val="36"/>
          <w:highlight w:val="none"/>
        </w:rPr>
        <w:t>项目名称：</w:t>
      </w:r>
      <w:r>
        <w:rPr>
          <w:rFonts w:ascii="宋体" w:hAnsi="宋体"/>
          <w:b/>
          <w:sz w:val="28"/>
          <w:szCs w:val="36"/>
          <w:highlight w:val="none"/>
          <w:u w:val="thick"/>
        </w:rPr>
        <w:t xml:space="preserve">                           </w:t>
      </w:r>
    </w:p>
    <w:p w14:paraId="39FED819">
      <w:pPr>
        <w:pStyle w:val="10"/>
        <w:ind w:firstLine="2880" w:firstLineChars="900"/>
        <w:rPr>
          <w:highlight w:val="none"/>
        </w:rPr>
      </w:pPr>
    </w:p>
    <w:p w14:paraId="005C4DF5">
      <w:pPr>
        <w:adjustRightInd w:val="0"/>
        <w:snapToGrid w:val="0"/>
        <w:spacing w:line="360" w:lineRule="auto"/>
        <w:ind w:firstLine="2530" w:firstLineChars="900"/>
        <w:jc w:val="left"/>
        <w:rPr>
          <w:rFonts w:ascii="宋体" w:hAnsi="宋体"/>
          <w:b/>
          <w:sz w:val="28"/>
          <w:szCs w:val="36"/>
          <w:highlight w:val="none"/>
        </w:rPr>
      </w:pPr>
      <w:r>
        <w:rPr>
          <w:rFonts w:hint="eastAsia" w:ascii="宋体" w:hAnsi="宋体"/>
          <w:b/>
          <w:sz w:val="28"/>
          <w:szCs w:val="36"/>
          <w:highlight w:val="none"/>
        </w:rPr>
        <w:t>发 包 人：</w:t>
      </w:r>
      <w:r>
        <w:rPr>
          <w:rFonts w:ascii="宋体" w:hAnsi="宋体"/>
          <w:b/>
          <w:sz w:val="28"/>
          <w:szCs w:val="36"/>
          <w:highlight w:val="none"/>
          <w:u w:val="thick"/>
        </w:rPr>
        <w:t xml:space="preserve">                           </w:t>
      </w:r>
    </w:p>
    <w:p w14:paraId="22211EB9">
      <w:pPr>
        <w:adjustRightInd w:val="0"/>
        <w:snapToGrid w:val="0"/>
        <w:spacing w:line="360" w:lineRule="auto"/>
        <w:ind w:firstLine="2530" w:firstLineChars="900"/>
        <w:jc w:val="left"/>
        <w:rPr>
          <w:rFonts w:ascii="宋体" w:hAnsi="宋体"/>
          <w:b/>
          <w:sz w:val="28"/>
          <w:szCs w:val="36"/>
          <w:highlight w:val="none"/>
        </w:rPr>
      </w:pPr>
    </w:p>
    <w:p w14:paraId="7A8FD00B">
      <w:pPr>
        <w:adjustRightInd w:val="0"/>
        <w:snapToGrid w:val="0"/>
        <w:spacing w:line="360" w:lineRule="auto"/>
        <w:ind w:firstLine="2530" w:firstLineChars="900"/>
        <w:jc w:val="left"/>
        <w:rPr>
          <w:rFonts w:ascii="宋体" w:hAnsi="宋体"/>
          <w:b/>
          <w:sz w:val="28"/>
          <w:szCs w:val="36"/>
          <w:highlight w:val="none"/>
        </w:rPr>
      </w:pPr>
      <w:r>
        <w:rPr>
          <w:rFonts w:hint="eastAsia" w:ascii="宋体" w:hAnsi="宋体"/>
          <w:b/>
          <w:sz w:val="28"/>
          <w:szCs w:val="36"/>
          <w:highlight w:val="none"/>
        </w:rPr>
        <w:t>承 包 人：</w:t>
      </w:r>
      <w:r>
        <w:rPr>
          <w:rFonts w:ascii="宋体" w:hAnsi="宋体"/>
          <w:b/>
          <w:sz w:val="28"/>
          <w:szCs w:val="36"/>
          <w:highlight w:val="none"/>
          <w:u w:val="thick"/>
        </w:rPr>
        <w:t xml:space="preserve">                           </w:t>
      </w:r>
    </w:p>
    <w:p w14:paraId="0E73EB75">
      <w:pPr>
        <w:adjustRightInd w:val="0"/>
        <w:snapToGrid w:val="0"/>
        <w:spacing w:line="360" w:lineRule="auto"/>
        <w:ind w:firstLine="2530" w:firstLineChars="900"/>
        <w:jc w:val="left"/>
        <w:rPr>
          <w:rFonts w:ascii="宋体" w:hAnsi="宋体"/>
          <w:b/>
          <w:sz w:val="28"/>
          <w:szCs w:val="36"/>
          <w:highlight w:val="none"/>
        </w:rPr>
      </w:pPr>
    </w:p>
    <w:p w14:paraId="5E3192DE">
      <w:pPr>
        <w:pStyle w:val="83"/>
        <w:adjustRightInd w:val="0"/>
        <w:snapToGrid w:val="0"/>
        <w:spacing w:before="0" w:after="0" w:line="520" w:lineRule="exact"/>
        <w:ind w:firstLine="562"/>
        <w:rPr>
          <w:rFonts w:ascii="宋体" w:hAnsi="宋体"/>
          <w:sz w:val="28"/>
          <w:szCs w:val="36"/>
          <w:highlight w:val="none"/>
        </w:rPr>
        <w:sectPr>
          <w:footerReference r:id="rId7" w:type="first"/>
          <w:headerReference r:id="rId5" w:type="default"/>
          <w:footerReference r:id="rId6" w:type="default"/>
          <w:pgSz w:w="11907" w:h="16840"/>
          <w:pgMar w:top="1213" w:right="1134" w:bottom="907" w:left="1134" w:header="794" w:footer="907" w:gutter="0"/>
          <w:pgNumType w:start="1"/>
          <w:cols w:space="720" w:num="1"/>
          <w:titlePg/>
        </w:sectPr>
      </w:pPr>
    </w:p>
    <w:p w14:paraId="3B523696">
      <w:pPr>
        <w:adjustRightInd w:val="0"/>
        <w:snapToGrid w:val="0"/>
        <w:spacing w:line="520" w:lineRule="exact"/>
        <w:ind w:firstLine="482"/>
        <w:rPr>
          <w:rFonts w:ascii="仿宋" w:hAnsi="仿宋" w:eastAsia="仿宋" w:cs="仿宋"/>
          <w:b/>
          <w:sz w:val="24"/>
          <w:szCs w:val="24"/>
          <w:highlight w:val="none"/>
          <w:u w:val="single"/>
        </w:rPr>
      </w:pPr>
      <w:r>
        <w:rPr>
          <w:rFonts w:hint="eastAsia" w:ascii="仿宋" w:hAnsi="仿宋" w:eastAsia="仿宋" w:cs="仿宋"/>
          <w:b/>
          <w:sz w:val="24"/>
          <w:szCs w:val="24"/>
          <w:highlight w:val="none"/>
        </w:rPr>
        <w:t>发包人（全称）：</w:t>
      </w:r>
      <w:r>
        <w:rPr>
          <w:rFonts w:hint="eastAsia" w:ascii="仿宋" w:hAnsi="仿宋" w:eastAsia="仿宋" w:cs="仿宋"/>
          <w:b/>
          <w:sz w:val="24"/>
          <w:szCs w:val="24"/>
          <w:highlight w:val="none"/>
          <w:u w:val="single"/>
        </w:rPr>
        <w:t>         </w:t>
      </w:r>
    </w:p>
    <w:p w14:paraId="3DF776B7">
      <w:pPr>
        <w:pStyle w:val="10"/>
        <w:ind w:firstLine="482"/>
        <w:rPr>
          <w:highlight w:val="none"/>
        </w:rPr>
      </w:pPr>
      <w:r>
        <w:rPr>
          <w:rFonts w:ascii="仿宋" w:hAnsi="仿宋" w:eastAsia="仿宋" w:cs="仿宋"/>
          <w:b/>
          <w:sz w:val="24"/>
          <w:szCs w:val="24"/>
          <w:highlight w:val="none"/>
        </w:rPr>
        <w:t>住所</w:t>
      </w:r>
      <w:r>
        <w:rPr>
          <w:rFonts w:hint="eastAsia" w:ascii="仿宋" w:hAnsi="仿宋" w:eastAsia="仿宋" w:cs="仿宋"/>
          <w:b/>
          <w:sz w:val="24"/>
          <w:szCs w:val="24"/>
          <w:highlight w:val="none"/>
        </w:rPr>
        <w:t>：</w:t>
      </w:r>
      <w:r>
        <w:rPr>
          <w:rFonts w:hint="eastAsia" w:ascii="仿宋" w:hAnsi="仿宋" w:eastAsia="仿宋" w:cs="仿宋"/>
          <w:b/>
          <w:sz w:val="24"/>
          <w:szCs w:val="24"/>
          <w:highlight w:val="none"/>
          <w:u w:val="single"/>
        </w:rPr>
        <w:t xml:space="preserve">          </w:t>
      </w:r>
      <w:r>
        <w:rPr>
          <w:rFonts w:ascii="仿宋" w:hAnsi="仿宋" w:eastAsia="仿宋" w:cs="仿宋"/>
          <w:b/>
          <w:sz w:val="24"/>
          <w:szCs w:val="24"/>
          <w:highlight w:val="none"/>
          <w:u w:val="single"/>
        </w:rPr>
        <w:t xml:space="preserve">         </w:t>
      </w:r>
    </w:p>
    <w:p w14:paraId="6344A048">
      <w:pPr>
        <w:pStyle w:val="10"/>
        <w:ind w:firstLine="482"/>
        <w:rPr>
          <w:rFonts w:ascii="仿宋" w:hAnsi="仿宋" w:eastAsia="仿宋" w:cs="仿宋"/>
          <w:b/>
          <w:sz w:val="24"/>
          <w:szCs w:val="24"/>
          <w:highlight w:val="none"/>
          <w:u w:val="single"/>
        </w:rPr>
      </w:pPr>
    </w:p>
    <w:p w14:paraId="758AC006">
      <w:pPr>
        <w:adjustRightInd w:val="0"/>
        <w:snapToGrid w:val="0"/>
        <w:spacing w:line="520" w:lineRule="exact"/>
        <w:ind w:firstLine="482"/>
        <w:rPr>
          <w:rFonts w:ascii="仿宋" w:hAnsi="仿宋" w:eastAsia="仿宋" w:cs="仿宋"/>
          <w:b/>
          <w:sz w:val="24"/>
          <w:szCs w:val="24"/>
          <w:highlight w:val="none"/>
          <w:u w:val="single"/>
        </w:rPr>
      </w:pPr>
      <w:r>
        <w:rPr>
          <w:rFonts w:hint="eastAsia" w:ascii="仿宋" w:hAnsi="仿宋" w:eastAsia="仿宋" w:cs="仿宋"/>
          <w:b/>
          <w:sz w:val="24"/>
          <w:szCs w:val="24"/>
          <w:highlight w:val="none"/>
        </w:rPr>
        <w:t>承包人（全称）：</w:t>
      </w:r>
      <w:r>
        <w:rPr>
          <w:rFonts w:hint="eastAsia" w:ascii="仿宋" w:hAnsi="仿宋" w:eastAsia="仿宋" w:cs="仿宋"/>
          <w:b/>
          <w:sz w:val="24"/>
          <w:szCs w:val="24"/>
          <w:highlight w:val="none"/>
          <w:u w:val="single"/>
        </w:rPr>
        <w:t>     </w:t>
      </w:r>
    </w:p>
    <w:p w14:paraId="3837C8DF">
      <w:pPr>
        <w:pStyle w:val="10"/>
        <w:ind w:firstLine="482"/>
        <w:rPr>
          <w:rFonts w:ascii="仿宋" w:hAnsi="仿宋" w:eastAsia="仿宋" w:cs="仿宋"/>
          <w:b/>
          <w:sz w:val="24"/>
          <w:szCs w:val="24"/>
          <w:highlight w:val="none"/>
          <w:u w:val="single"/>
        </w:rPr>
      </w:pPr>
      <w:r>
        <w:rPr>
          <w:rFonts w:ascii="仿宋" w:hAnsi="仿宋" w:eastAsia="仿宋" w:cs="仿宋"/>
          <w:b/>
          <w:sz w:val="24"/>
          <w:szCs w:val="24"/>
          <w:highlight w:val="none"/>
        </w:rPr>
        <w:t>住所</w:t>
      </w:r>
      <w:r>
        <w:rPr>
          <w:rFonts w:hint="eastAsia" w:ascii="仿宋" w:hAnsi="仿宋" w:eastAsia="仿宋" w:cs="仿宋"/>
          <w:b/>
          <w:sz w:val="24"/>
          <w:szCs w:val="24"/>
          <w:highlight w:val="none"/>
        </w:rPr>
        <w:t>：</w:t>
      </w:r>
      <w:r>
        <w:rPr>
          <w:rFonts w:hint="eastAsia" w:ascii="仿宋" w:hAnsi="仿宋" w:eastAsia="仿宋" w:cs="仿宋"/>
          <w:b/>
          <w:sz w:val="24"/>
          <w:szCs w:val="24"/>
          <w:highlight w:val="none"/>
          <w:u w:val="single"/>
        </w:rPr>
        <w:t xml:space="preserve">          </w:t>
      </w:r>
      <w:r>
        <w:rPr>
          <w:rFonts w:ascii="仿宋" w:hAnsi="仿宋" w:eastAsia="仿宋" w:cs="仿宋"/>
          <w:b/>
          <w:sz w:val="24"/>
          <w:szCs w:val="24"/>
          <w:highlight w:val="none"/>
          <w:u w:val="single"/>
        </w:rPr>
        <w:t xml:space="preserve">     </w:t>
      </w:r>
    </w:p>
    <w:p w14:paraId="29620060">
      <w:pPr>
        <w:adjustRightInd w:val="0"/>
        <w:snapToGri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根据《中华人民共和国民法典》《中华人民共和国建筑法》及有关法律规定，遵循平等、自愿、公平和诚实信用的原则，双方就</w:t>
      </w:r>
      <w:r>
        <w:rPr>
          <w:rFonts w:hint="eastAsia" w:ascii="仿宋" w:hAnsi="仿宋" w:eastAsia="仿宋" w:cs="仿宋"/>
          <w:sz w:val="24"/>
          <w:szCs w:val="24"/>
          <w:highlight w:val="none"/>
          <w:u w:val="single"/>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工程施工及有关事项协商一致，共同达成如下协议：</w:t>
      </w:r>
    </w:p>
    <w:p w14:paraId="438DE08D">
      <w:pPr>
        <w:pStyle w:val="5"/>
        <w:adjustRightInd w:val="0"/>
        <w:snapToGrid w:val="0"/>
        <w:spacing w:before="120" w:after="120" w:line="520" w:lineRule="exact"/>
        <w:rPr>
          <w:rFonts w:ascii="仿宋" w:hAnsi="仿宋" w:eastAsia="仿宋" w:cs="仿宋"/>
          <w:sz w:val="24"/>
          <w:szCs w:val="24"/>
          <w:highlight w:val="none"/>
        </w:rPr>
      </w:pPr>
      <w:bookmarkStart w:id="44" w:name="_Toc351203481"/>
      <w:r>
        <w:rPr>
          <w:rFonts w:hint="eastAsia" w:ascii="仿宋" w:hAnsi="仿宋" w:eastAsia="仿宋" w:cs="仿宋"/>
          <w:sz w:val="24"/>
          <w:szCs w:val="24"/>
          <w:highlight w:val="none"/>
        </w:rPr>
        <w:t>一、工程概况</w:t>
      </w:r>
      <w:bookmarkEnd w:id="44"/>
    </w:p>
    <w:p w14:paraId="11EF09C1">
      <w:pPr>
        <w:adjustRightInd w:val="0"/>
        <w:snapToGrid w:val="0"/>
        <w:spacing w:line="520" w:lineRule="exact"/>
        <w:ind w:firstLine="470" w:firstLineChars="196"/>
        <w:rPr>
          <w:rFonts w:ascii="仿宋" w:hAnsi="仿宋" w:eastAsia="仿宋" w:cs="仿宋"/>
          <w:sz w:val="24"/>
          <w:szCs w:val="24"/>
          <w:highlight w:val="none"/>
          <w:u w:val="single"/>
        </w:rPr>
      </w:pPr>
      <w:r>
        <w:rPr>
          <w:rFonts w:hint="eastAsia" w:ascii="仿宋" w:hAnsi="仿宋" w:eastAsia="仿宋" w:cs="仿宋"/>
          <w:bCs/>
          <w:sz w:val="24"/>
          <w:szCs w:val="24"/>
          <w:highlight w:val="none"/>
        </w:rPr>
        <w:t>1.1工程名称</w:t>
      </w:r>
      <w:r>
        <w:rPr>
          <w:rFonts w:hint="eastAsia" w:ascii="仿宋" w:hAnsi="仿宋" w:eastAsia="仿宋" w:cs="仿宋"/>
          <w:sz w:val="24"/>
          <w:szCs w:val="24"/>
          <w:highlight w:val="none"/>
        </w:rPr>
        <w:t>：</w:t>
      </w:r>
      <w:r>
        <w:rPr>
          <w:rFonts w:hint="eastAsia" w:ascii="仿宋" w:hAnsi="仿宋" w:eastAsia="仿宋" w:cs="仿宋"/>
          <w:i/>
          <w:iCs/>
          <w:sz w:val="24"/>
          <w:szCs w:val="24"/>
          <w:highlight w:val="none"/>
          <w:u w:val="single"/>
        </w:rPr>
        <w:t>与外部立项（若有）、内部立项文件或招标文件填写一致</w:t>
      </w:r>
      <w:r>
        <w:rPr>
          <w:rFonts w:hint="eastAsia" w:ascii="仿宋" w:hAnsi="仿宋" w:eastAsia="仿宋" w:cs="仿宋"/>
          <w:sz w:val="24"/>
          <w:szCs w:val="24"/>
          <w:highlight w:val="none"/>
        </w:rPr>
        <w:t>。</w:t>
      </w:r>
    </w:p>
    <w:p w14:paraId="1DEB401B">
      <w:pPr>
        <w:adjustRightInd w:val="0"/>
        <w:snapToGrid w:val="0"/>
        <w:spacing w:line="520" w:lineRule="exact"/>
        <w:ind w:firstLine="470" w:firstLineChars="196"/>
        <w:rPr>
          <w:rFonts w:ascii="仿宋" w:hAnsi="仿宋" w:eastAsia="仿宋" w:cs="仿宋"/>
          <w:bCs/>
          <w:sz w:val="24"/>
          <w:szCs w:val="24"/>
          <w:highlight w:val="none"/>
        </w:rPr>
      </w:pPr>
      <w:r>
        <w:rPr>
          <w:rFonts w:hint="eastAsia" w:ascii="仿宋" w:hAnsi="仿宋" w:eastAsia="仿宋" w:cs="仿宋"/>
          <w:bCs/>
          <w:sz w:val="24"/>
          <w:szCs w:val="24"/>
          <w:highlight w:val="none"/>
        </w:rPr>
        <w:t>1.2工程地点：</w:t>
      </w:r>
      <w:r>
        <w:rPr>
          <w:rFonts w:hint="eastAsia" w:ascii="仿宋" w:hAnsi="仿宋" w:eastAsia="仿宋" w:cs="仿宋"/>
          <w:i/>
          <w:iCs/>
          <w:sz w:val="24"/>
          <w:szCs w:val="24"/>
          <w:highlight w:val="none"/>
          <w:u w:val="single"/>
        </w:rPr>
        <w:t>据实填写</w:t>
      </w:r>
      <w:r>
        <w:rPr>
          <w:rFonts w:hint="eastAsia" w:ascii="仿宋" w:hAnsi="仿宋" w:eastAsia="仿宋" w:cs="仿宋"/>
          <w:sz w:val="24"/>
          <w:szCs w:val="24"/>
          <w:highlight w:val="none"/>
        </w:rPr>
        <w:t>。</w:t>
      </w:r>
    </w:p>
    <w:p w14:paraId="252E8065">
      <w:pPr>
        <w:adjustRightInd w:val="0"/>
        <w:snapToGrid w:val="0"/>
        <w:spacing w:line="520" w:lineRule="exact"/>
        <w:ind w:firstLine="470" w:firstLineChars="196"/>
        <w:rPr>
          <w:rFonts w:ascii="仿宋" w:hAnsi="仿宋" w:eastAsia="仿宋" w:cs="仿宋"/>
          <w:bCs/>
          <w:sz w:val="24"/>
          <w:szCs w:val="24"/>
          <w:highlight w:val="none"/>
        </w:rPr>
      </w:pPr>
      <w:r>
        <w:rPr>
          <w:rFonts w:hint="eastAsia" w:ascii="仿宋" w:hAnsi="仿宋" w:eastAsia="仿宋" w:cs="仿宋"/>
          <w:bCs/>
          <w:sz w:val="24"/>
          <w:szCs w:val="24"/>
          <w:highlight w:val="none"/>
        </w:rPr>
        <w:t>1.3资金来源：</w:t>
      </w:r>
      <w:r>
        <w:rPr>
          <w:rFonts w:hint="eastAsia" w:ascii="仿宋" w:hAnsi="仿宋" w:eastAsia="仿宋" w:cs="仿宋"/>
          <w:sz w:val="24"/>
          <w:szCs w:val="24"/>
          <w:highlight w:val="none"/>
          <w:u w:val="single"/>
        </w:rPr>
        <w:t>企业自筹</w:t>
      </w:r>
      <w:r>
        <w:rPr>
          <w:rFonts w:hint="eastAsia" w:ascii="仿宋" w:hAnsi="仿宋" w:eastAsia="仿宋" w:cs="仿宋"/>
          <w:bCs/>
          <w:sz w:val="24"/>
          <w:szCs w:val="24"/>
          <w:highlight w:val="none"/>
        </w:rPr>
        <w:t>。</w:t>
      </w:r>
    </w:p>
    <w:p w14:paraId="2177CE4B">
      <w:pPr>
        <w:adjustRightInd w:val="0"/>
        <w:snapToGrid w:val="0"/>
        <w:spacing w:line="520" w:lineRule="exact"/>
        <w:ind w:firstLine="470" w:firstLineChars="196"/>
        <w:rPr>
          <w:rFonts w:ascii="仿宋" w:hAnsi="仿宋" w:eastAsia="仿宋" w:cs="仿宋"/>
          <w:bCs/>
          <w:sz w:val="24"/>
          <w:szCs w:val="24"/>
          <w:highlight w:val="none"/>
        </w:rPr>
      </w:pPr>
      <w:r>
        <w:rPr>
          <w:rFonts w:hint="eastAsia" w:ascii="仿宋" w:hAnsi="仿宋" w:eastAsia="仿宋" w:cs="仿宋"/>
          <w:bCs/>
          <w:sz w:val="24"/>
          <w:szCs w:val="24"/>
          <w:highlight w:val="none"/>
        </w:rPr>
        <w:t>1.4工程承包范围：</w:t>
      </w:r>
    </w:p>
    <w:p w14:paraId="4DAA3FE9">
      <w:pPr>
        <w:adjustRightInd w:val="0"/>
        <w:snapToGrid w:val="0"/>
        <w:spacing w:line="520" w:lineRule="exact"/>
        <w:ind w:firstLine="470" w:firstLineChars="196"/>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设计图纸范围内的********工程施工内容，包括但不限于发包人设计变更、联系单安排的施工内容等。</w:t>
      </w:r>
      <w:r>
        <w:rPr>
          <w:rFonts w:hint="eastAsia" w:ascii="仿宋" w:hAnsi="仿宋" w:eastAsia="仿宋" w:cs="仿宋"/>
          <w:i/>
          <w:sz w:val="24"/>
          <w:szCs w:val="24"/>
          <w:highlight w:val="none"/>
          <w:u w:val="single"/>
        </w:rPr>
        <w:t>（按招标文件填写）</w:t>
      </w:r>
      <w:r>
        <w:rPr>
          <w:rFonts w:hint="eastAsia" w:ascii="仿宋" w:hAnsi="仿宋" w:eastAsia="仿宋" w:cs="仿宋"/>
          <w:i/>
          <w:iCs/>
          <w:sz w:val="24"/>
          <w:szCs w:val="24"/>
          <w:highlight w:val="none"/>
          <w:u w:val="single"/>
        </w:rPr>
        <w:t>。</w:t>
      </w:r>
    </w:p>
    <w:p w14:paraId="640CC216">
      <w:pPr>
        <w:pStyle w:val="5"/>
        <w:adjustRightInd w:val="0"/>
        <w:snapToGrid w:val="0"/>
        <w:spacing w:before="120" w:after="120" w:line="520" w:lineRule="exact"/>
        <w:rPr>
          <w:rFonts w:ascii="仿宋" w:hAnsi="仿宋" w:eastAsia="仿宋" w:cs="仿宋"/>
          <w:sz w:val="24"/>
          <w:szCs w:val="24"/>
          <w:highlight w:val="none"/>
        </w:rPr>
      </w:pPr>
      <w:bookmarkStart w:id="45" w:name="_Toc351203482"/>
      <w:r>
        <w:rPr>
          <w:rFonts w:hint="eastAsia" w:ascii="仿宋" w:hAnsi="仿宋" w:eastAsia="仿宋" w:cs="仿宋"/>
          <w:sz w:val="24"/>
          <w:szCs w:val="24"/>
          <w:highlight w:val="none"/>
        </w:rPr>
        <w:t>二、合同工期</w:t>
      </w:r>
      <w:bookmarkEnd w:id="45"/>
    </w:p>
    <w:p w14:paraId="0F73392D">
      <w:pPr>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2.1计划开工日期：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7DC0AD8A">
      <w:pPr>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计划竣工日期：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38E1C153">
      <w:pPr>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工期总日历天数：</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天。工期总日历天数与根据前述计划开竣工日期计算的工期天数不一致的，以工期总日历天数为准。</w:t>
      </w:r>
    </w:p>
    <w:p w14:paraId="048EC8E4">
      <w:pPr>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sym w:font="Wingdings 2" w:char="00A3"/>
      </w:r>
      <w:r>
        <w:rPr>
          <w:rFonts w:hint="eastAsia" w:ascii="仿宋" w:hAnsi="仿宋" w:eastAsia="仿宋" w:cs="仿宋"/>
          <w:sz w:val="24"/>
          <w:szCs w:val="24"/>
          <w:highlight w:val="none"/>
        </w:rPr>
        <w:t>其中关键节点工期计划：</w:t>
      </w:r>
      <w:r>
        <w:rPr>
          <w:rFonts w:hint="eastAsia" w:ascii="仿宋" w:hAnsi="仿宋" w:eastAsia="仿宋" w:cs="仿宋"/>
          <w:i/>
          <w:sz w:val="24"/>
          <w:szCs w:val="24"/>
          <w:highlight w:val="none"/>
          <w:u w:val="single"/>
        </w:rPr>
        <w:t>根据项目实际情况列出里程碑进度节点</w:t>
      </w:r>
      <w:r>
        <w:rPr>
          <w:rFonts w:hint="eastAsia" w:ascii="仿宋" w:hAnsi="仿宋" w:eastAsia="仿宋" w:cs="仿宋"/>
          <w:sz w:val="24"/>
          <w:szCs w:val="24"/>
          <w:highlight w:val="none"/>
        </w:rPr>
        <w:t>。</w:t>
      </w:r>
    </w:p>
    <w:p w14:paraId="362F7C28">
      <w:pPr>
        <w:adjustRightInd w:val="0"/>
        <w:snapToGrid w:val="0"/>
        <w:spacing w:line="520" w:lineRule="exact"/>
        <w:ind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2.2承包人应在</w:t>
      </w:r>
      <w:r>
        <w:rPr>
          <w:rFonts w:hint="eastAsia" w:ascii="仿宋" w:hAnsi="仿宋" w:eastAsia="仿宋" w:cs="仿宋"/>
          <w:i/>
          <w:iCs/>
          <w:sz w:val="24"/>
          <w:szCs w:val="24"/>
          <w:highlight w:val="none"/>
          <w:u w:val="single"/>
        </w:rPr>
        <w:t>进场后3日内或工地第一次例会前</w:t>
      </w:r>
      <w:r>
        <w:rPr>
          <w:rFonts w:hint="eastAsia" w:ascii="仿宋" w:hAnsi="仿宋" w:eastAsia="仿宋" w:cs="仿宋"/>
          <w:sz w:val="24"/>
          <w:szCs w:val="24"/>
          <w:highlight w:val="none"/>
        </w:rPr>
        <w:t>内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4EA7EEFC">
      <w:pPr>
        <w:adjustRightInd w:val="0"/>
        <w:snapToGrid w:val="0"/>
        <w:spacing w:line="520" w:lineRule="exact"/>
        <w:ind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2.3因承包人原因造成不能按期开工或中途无故停工的，工期不能顺延，由此引起的赶工等费用由承包人自行承担。</w:t>
      </w:r>
    </w:p>
    <w:p w14:paraId="1CA9DD6F">
      <w:pPr>
        <w:adjustRightInd w:val="0"/>
        <w:snapToGrid w:val="0"/>
        <w:spacing w:line="520" w:lineRule="exact"/>
        <w:ind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0.5</w:t>
      </w:r>
      <w:r>
        <w:rPr>
          <w:rFonts w:hint="eastAsia" w:ascii="仿宋" w:hAnsi="仿宋" w:eastAsia="仿宋" w:cs="仿宋"/>
          <w:sz w:val="24"/>
          <w:szCs w:val="24"/>
          <w:highlight w:val="none"/>
        </w:rPr>
        <w:t>‰计算；各里程碑节点逾期超过</w:t>
      </w:r>
      <w:r>
        <w:rPr>
          <w:rFonts w:ascii="仿宋" w:hAnsi="仿宋" w:eastAsia="仿宋" w:cs="仿宋"/>
          <w:sz w:val="24"/>
          <w:szCs w:val="24"/>
          <w:highlight w:val="none"/>
        </w:rPr>
        <w:t>90</w:t>
      </w:r>
      <w:r>
        <w:rPr>
          <w:rFonts w:hint="eastAsia" w:ascii="仿宋" w:hAnsi="仿宋" w:eastAsia="仿宋" w:cs="仿宋"/>
          <w:sz w:val="24"/>
          <w:szCs w:val="24"/>
          <w:highlight w:val="none"/>
        </w:rPr>
        <w:t>天，每逾期一天按合同最终结算价款</w:t>
      </w:r>
      <w:r>
        <w:rPr>
          <w:rFonts w:ascii="仿宋" w:hAnsi="仿宋" w:eastAsia="仿宋" w:cs="仿宋"/>
          <w:sz w:val="24"/>
          <w:szCs w:val="24"/>
          <w:highlight w:val="none"/>
        </w:rPr>
        <w:t>1</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1</w:t>
      </w:r>
      <w:r>
        <w:rPr>
          <w:rFonts w:hint="eastAsia" w:ascii="仿宋" w:hAnsi="仿宋" w:eastAsia="仿宋" w:cs="仿宋"/>
          <w:sz w:val="24"/>
          <w:szCs w:val="24"/>
          <w:highlight w:val="none"/>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，但造成发包人的损失部分不予免除。</w:t>
      </w:r>
    </w:p>
    <w:p w14:paraId="3A1B1F08">
      <w:pPr>
        <w:pStyle w:val="5"/>
        <w:adjustRightInd w:val="0"/>
        <w:snapToGrid w:val="0"/>
        <w:spacing w:before="120" w:after="120" w:line="520" w:lineRule="exact"/>
        <w:rPr>
          <w:rFonts w:ascii="仿宋" w:hAnsi="仿宋" w:eastAsia="仿宋" w:cs="仿宋"/>
          <w:sz w:val="24"/>
          <w:szCs w:val="24"/>
          <w:highlight w:val="none"/>
        </w:rPr>
      </w:pPr>
      <w:bookmarkStart w:id="46" w:name="_Toc351203483"/>
      <w:r>
        <w:rPr>
          <w:rFonts w:hint="eastAsia" w:ascii="仿宋" w:hAnsi="仿宋" w:eastAsia="仿宋" w:cs="仿宋"/>
          <w:sz w:val="24"/>
          <w:szCs w:val="24"/>
          <w:highlight w:val="none"/>
        </w:rPr>
        <w:t>三、质量标准</w:t>
      </w:r>
      <w:bookmarkEnd w:id="46"/>
    </w:p>
    <w:p w14:paraId="32102D7F">
      <w:pPr>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3.1工程质量要求：</w:t>
      </w:r>
      <w:r>
        <w:rPr>
          <w:rFonts w:hint="eastAsia" w:ascii="仿宋" w:hAnsi="仿宋" w:eastAsia="仿宋" w:cs="仿宋"/>
          <w:sz w:val="24"/>
          <w:szCs w:val="24"/>
          <w:highlight w:val="none"/>
          <w:u w:val="single"/>
        </w:rPr>
        <w:t>工程质量达到合格等级标准</w:t>
      </w:r>
      <w:r>
        <w:rPr>
          <w:rFonts w:hint="eastAsia" w:ascii="仿宋" w:hAnsi="仿宋" w:eastAsia="仿宋" w:cs="仿宋"/>
          <w:sz w:val="24"/>
          <w:szCs w:val="24"/>
          <w:highlight w:val="none"/>
        </w:rPr>
        <w:t>。质量标准的评定以现行国家、地方政府以及行业的质量检验评定标准为依据。</w:t>
      </w:r>
    </w:p>
    <w:p w14:paraId="15D0E30A">
      <w:pPr>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3.2经检查对于出现质量不符合要求的部位，发包人有权向承包人发出整改通知，承包人必须无条件返工，直至达到合同约定的质量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不超过 5000元/次</w:t>
      </w:r>
      <w:r>
        <w:rPr>
          <w:rFonts w:hint="eastAsia" w:ascii="仿宋" w:hAnsi="仿宋" w:eastAsia="仿宋" w:cs="仿宋"/>
          <w:color w:val="FFFF00"/>
          <w:sz w:val="24"/>
          <w:szCs w:val="24"/>
          <w:highlight w:val="none"/>
        </w:rPr>
        <w:t>（根据项目据实调整）</w:t>
      </w:r>
      <w:r>
        <w:rPr>
          <w:rFonts w:hint="eastAsia" w:ascii="仿宋" w:hAnsi="仿宋" w:eastAsia="仿宋" w:cs="仿宋"/>
          <w:sz w:val="24"/>
          <w:szCs w:val="24"/>
          <w:highlight w:val="none"/>
        </w:rPr>
        <w:t>的罚款，该款项从承包人工程款结算中扣除。</w:t>
      </w:r>
    </w:p>
    <w:p w14:paraId="67889234">
      <w:pPr>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3.3若承包人的工程质量不符合合同约定的质量标准或工程质量经验收不合格或达不到竣工验收条件的，承包人须负责返工、修理、重做；情况严重或导致发包人被政府相关部门责令通报、处罚的或造成重大工程质量事故的，发包人有权视情况解除合同，或/并要求承包人除停工整改、补交罚款外，还应按工程结算价款或合同约定总价款的5%-10%向发包人支付违约金。</w:t>
      </w:r>
    </w:p>
    <w:p w14:paraId="0D09A74E">
      <w:pPr>
        <w:pStyle w:val="5"/>
        <w:adjustRightInd w:val="0"/>
        <w:snapToGrid w:val="0"/>
        <w:spacing w:before="120" w:after="120" w:line="520" w:lineRule="exact"/>
        <w:rPr>
          <w:rFonts w:ascii="仿宋" w:hAnsi="仿宋" w:eastAsia="仿宋" w:cs="仿宋"/>
          <w:sz w:val="24"/>
          <w:szCs w:val="24"/>
          <w:highlight w:val="none"/>
        </w:rPr>
      </w:pPr>
      <w:r>
        <w:rPr>
          <w:rFonts w:hint="eastAsia" w:ascii="仿宋" w:hAnsi="仿宋" w:eastAsia="仿宋" w:cs="仿宋"/>
          <w:sz w:val="24"/>
          <w:szCs w:val="24"/>
          <w:highlight w:val="none"/>
        </w:rPr>
        <w:t>四、合同价款与支付方式</w:t>
      </w:r>
    </w:p>
    <w:p w14:paraId="63E0C3C7">
      <w:pPr>
        <w:adjustRightInd w:val="0"/>
        <w:snapToGrid w:val="0"/>
        <w:spacing w:line="520" w:lineRule="exact"/>
        <w:ind w:left="510"/>
        <w:rPr>
          <w:rFonts w:ascii="仿宋" w:hAnsi="仿宋" w:eastAsia="仿宋" w:cs="仿宋"/>
          <w:i/>
          <w:sz w:val="24"/>
          <w:szCs w:val="24"/>
          <w:highlight w:val="none"/>
        </w:rPr>
      </w:pPr>
      <w:r>
        <w:rPr>
          <w:rFonts w:hint="eastAsia" w:ascii="仿宋" w:hAnsi="仿宋" w:eastAsia="仿宋" w:cs="仿宋"/>
          <w:i/>
          <w:sz w:val="24"/>
          <w:szCs w:val="24"/>
          <w:highlight w:val="none"/>
        </w:rPr>
        <w:t>（说明：本章节分为固定综合单价合同和固定总价合同，不同价格形式的内容不同，应根据实际合同价格形式选择此章节内容）</w:t>
      </w:r>
    </w:p>
    <w:p w14:paraId="35BC7681">
      <w:pPr>
        <w:adjustRightInd w:val="0"/>
        <w:snapToGrid w:val="0"/>
        <w:spacing w:line="52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t>第一种方式</w:t>
      </w:r>
    </w:p>
    <w:p w14:paraId="347252E2">
      <w:pPr>
        <w:adjustRightInd w:val="0"/>
        <w:snapToGrid w:val="0"/>
        <w:spacing w:line="520" w:lineRule="exact"/>
        <w:ind w:firstLine="482" w:firstLineChars="200"/>
        <w:rPr>
          <w:rFonts w:ascii="仿宋" w:hAnsi="仿宋" w:eastAsia="仿宋" w:cs="仿宋"/>
          <w:b/>
          <w:bCs/>
          <w:sz w:val="24"/>
          <w:szCs w:val="24"/>
          <w:highlight w:val="none"/>
        </w:rPr>
      </w:pPr>
      <w:r>
        <w:rPr>
          <w:rFonts w:hint="eastAsia" w:ascii="仿宋" w:hAnsi="仿宋" w:eastAsia="仿宋" w:cs="仿宋"/>
          <w:b/>
          <w:bCs/>
          <w:sz w:val="24"/>
          <w:szCs w:val="24"/>
          <w:highlight w:val="none"/>
        </w:rPr>
        <w:sym w:font="Wingdings 2" w:char="00A3"/>
      </w:r>
      <w:r>
        <w:rPr>
          <w:rFonts w:hint="eastAsia" w:ascii="仿宋" w:hAnsi="仿宋" w:eastAsia="仿宋" w:cs="仿宋"/>
          <w:b/>
          <w:bCs/>
          <w:sz w:val="24"/>
          <w:szCs w:val="24"/>
          <w:highlight w:val="none"/>
        </w:rPr>
        <w:t>固定单价合同</w:t>
      </w:r>
    </w:p>
    <w:p w14:paraId="50F313FE">
      <w:pPr>
        <w:adjustRightInd w:val="0"/>
        <w:snapToGri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4.1合同价款：</w:t>
      </w:r>
    </w:p>
    <w:p w14:paraId="10D7AFC0">
      <w:pPr>
        <w:adjustRightInd w:val="0"/>
        <w:snapToGri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本工程合同签约暂定价格不含税价为</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元（大写：人民币</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），增值税税率</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%，税额</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元，含税价</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元（大写：人民币</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），如国家出台新政策对增值税率进行了调整，则不含税价款不变，本合同含税总价在不含税价基础上根据国家最新税法进行相应的调整。</w:t>
      </w:r>
    </w:p>
    <w:p w14:paraId="1C6010AA">
      <w:pPr>
        <w:adjustRightInd w:val="0"/>
        <w:snapToGrid w:val="0"/>
        <w:spacing w:line="520" w:lineRule="exact"/>
        <w:ind w:firstLine="480" w:firstLineChars="200"/>
        <w:rPr>
          <w:rFonts w:ascii="仿宋" w:hAnsi="仿宋" w:eastAsia="仿宋" w:cs="仿宋"/>
          <w:i/>
          <w:iCs/>
          <w:sz w:val="24"/>
          <w:szCs w:val="24"/>
          <w:highlight w:val="none"/>
        </w:rPr>
      </w:pPr>
      <w:r>
        <w:rPr>
          <w:rFonts w:hint="eastAsia" w:ascii="仿宋" w:hAnsi="仿宋" w:eastAsia="仿宋" w:cs="仿宋"/>
          <w:i/>
          <w:iCs/>
          <w:sz w:val="24"/>
          <w:szCs w:val="24"/>
          <w:highlight w:val="none"/>
        </w:rPr>
        <w:t>□清单报价部分的价格结算时按照承包人中标后调整的最终版工程量清单执行。</w:t>
      </w:r>
    </w:p>
    <w:p w14:paraId="79959732">
      <w:pPr>
        <w:adjustRightInd w:val="0"/>
        <w:snapToGrid w:val="0"/>
        <w:spacing w:line="520" w:lineRule="exact"/>
        <w:ind w:firstLine="480" w:firstLineChars="200"/>
        <w:rPr>
          <w:rFonts w:ascii="仿宋" w:hAnsi="仿宋" w:eastAsia="仿宋" w:cs="仿宋"/>
          <w:i/>
          <w:iCs/>
          <w:sz w:val="24"/>
          <w:szCs w:val="24"/>
          <w:highlight w:val="none"/>
        </w:rPr>
      </w:pPr>
      <w:r>
        <w:rPr>
          <w:rFonts w:hint="eastAsia" w:ascii="仿宋" w:hAnsi="仿宋" w:eastAsia="仿宋" w:cs="仿宋"/>
          <w:i/>
          <w:iCs/>
          <w:sz w:val="24"/>
          <w:szCs w:val="24"/>
          <w:highlight w:val="none"/>
        </w:rPr>
        <w:t>□合同清单部分的价格结算时按照承包人开标修正后的已标价工程量清单价格乘下浮系数（商务标最后一轮澄清含税总报价扣除固定费用/开标清标修正后的含税总报价扣除固定费用）执行，单独澄清的清单项除外。</w:t>
      </w:r>
    </w:p>
    <w:p w14:paraId="20074430">
      <w:pPr>
        <w:adjustRightInd w:val="0"/>
        <w:snapToGri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4.2本工程合同价格形式为：</w:t>
      </w:r>
      <w:r>
        <w:rPr>
          <w:rFonts w:hint="eastAsia" w:ascii="仿宋" w:hAnsi="仿宋" w:eastAsia="仿宋" w:cs="仿宋"/>
          <w:sz w:val="24"/>
          <w:szCs w:val="24"/>
          <w:highlight w:val="none"/>
          <w:u w:val="single"/>
        </w:rPr>
        <w:t>固定综合单价</w:t>
      </w:r>
    </w:p>
    <w:p w14:paraId="3C4B2566">
      <w:pPr>
        <w:adjustRightInd w:val="0"/>
        <w:snapToGri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05792C88">
      <w:pPr>
        <w:tabs>
          <w:tab w:val="left" w:pos="5565"/>
        </w:tabs>
        <w:adjustRightInd w:val="0"/>
        <w:snapToGrid w:val="0"/>
        <w:spacing w:line="520" w:lineRule="exact"/>
        <w:ind w:left="540"/>
        <w:rPr>
          <w:rStyle w:val="40"/>
          <w:rFonts w:ascii="仿宋" w:hAnsi="仿宋" w:eastAsia="仿宋" w:cs="仿宋"/>
          <w:sz w:val="24"/>
          <w:szCs w:val="24"/>
          <w:highlight w:val="none"/>
        </w:rPr>
      </w:pPr>
      <w:r>
        <w:rPr>
          <w:rFonts w:hint="eastAsia" w:ascii="仿宋" w:hAnsi="仿宋" w:eastAsia="仿宋" w:cs="仿宋"/>
          <w:sz w:val="24"/>
          <w:szCs w:val="24"/>
          <w:highlight w:val="none"/>
        </w:rPr>
        <w:t>4.3工程款支付</w:t>
      </w:r>
    </w:p>
    <w:p w14:paraId="7D2AF242">
      <w:pPr>
        <w:numPr>
          <w:ilvl w:val="3"/>
          <w:numId w:val="3"/>
        </w:numPr>
        <w:tabs>
          <w:tab w:val="left" w:pos="5565"/>
        </w:tabs>
        <w:adjustRightInd w:val="0"/>
        <w:snapToGrid w:val="0"/>
        <w:spacing w:line="520" w:lineRule="exact"/>
        <w:ind w:firstLine="480"/>
        <w:rPr>
          <w:rFonts w:ascii="仿宋" w:hAnsi="仿宋" w:eastAsia="仿宋" w:cs="仿宋"/>
          <w:sz w:val="24"/>
          <w:szCs w:val="24"/>
          <w:highlight w:val="none"/>
          <w:u w:val="single"/>
        </w:rPr>
      </w:pPr>
      <w:r>
        <w:rPr>
          <w:rFonts w:hint="eastAsia" w:ascii="仿宋" w:hAnsi="仿宋" w:eastAsia="仿宋" w:cs="仿宋"/>
          <w:sz w:val="24"/>
          <w:szCs w:val="24"/>
          <w:highlight w:val="none"/>
        </w:rPr>
        <w:t>双方约定的工程款支付的方式：</w:t>
      </w:r>
      <w:r>
        <w:rPr>
          <w:rFonts w:hint="eastAsia" w:ascii="仿宋" w:hAnsi="仿宋" w:eastAsia="仿宋" w:cs="仿宋"/>
          <w:sz w:val="24"/>
          <w:szCs w:val="24"/>
          <w:highlight w:val="none"/>
          <w:u w:val="single"/>
        </w:rPr>
        <w:t>半年期商业汇票（包括银行承兑汇票和商业承兑汇票）；</w:t>
      </w:r>
    </w:p>
    <w:p w14:paraId="1E83DB22">
      <w:pPr>
        <w:numPr>
          <w:ilvl w:val="3"/>
          <w:numId w:val="3"/>
        </w:numPr>
        <w:tabs>
          <w:tab w:val="left" w:pos="5565"/>
        </w:tabs>
        <w:adjustRightInd w:val="0"/>
        <w:snapToGrid w:val="0"/>
        <w:spacing w:line="52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本合同预付款：</w:t>
      </w:r>
      <w:r>
        <w:rPr>
          <w:rFonts w:hint="eastAsia" w:ascii="仿宋" w:hAnsi="仿宋" w:eastAsia="仿宋" w:cs="仿宋"/>
          <w:sz w:val="24"/>
          <w:szCs w:val="24"/>
          <w:highlight w:val="none"/>
          <w:u w:val="single"/>
        </w:rPr>
        <w:t>无预付款</w:t>
      </w:r>
      <w:r>
        <w:rPr>
          <w:rFonts w:hint="eastAsia" w:ascii="仿宋" w:hAnsi="仿宋" w:eastAsia="仿宋" w:cs="仿宋"/>
          <w:sz w:val="24"/>
          <w:szCs w:val="24"/>
          <w:highlight w:val="none"/>
        </w:rPr>
        <w:t>；</w:t>
      </w:r>
    </w:p>
    <w:p w14:paraId="346E3DFB">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每月工程款支付按月形象进度报表，经监理工程师、发包人审核后于次月内付至月形象进度造价的</w:t>
      </w:r>
      <w:r>
        <w:rPr>
          <w:rFonts w:hint="eastAsia" w:ascii="仿宋" w:hAnsi="仿宋" w:eastAsia="仿宋" w:cs="仿宋"/>
          <w:i/>
          <w:iCs/>
          <w:sz w:val="24"/>
          <w:szCs w:val="24"/>
          <w:highlight w:val="none"/>
        </w:rPr>
        <w:t>70-</w:t>
      </w:r>
      <w:r>
        <w:rPr>
          <w:rFonts w:ascii="仿宋" w:hAnsi="仿宋" w:eastAsia="仿宋" w:cs="仿宋"/>
          <w:i/>
          <w:iCs/>
          <w:sz w:val="24"/>
          <w:szCs w:val="24"/>
          <w:highlight w:val="none"/>
        </w:rPr>
        <w:t>80</w:t>
      </w:r>
      <w:r>
        <w:rPr>
          <w:rFonts w:hint="eastAsia" w:ascii="仿宋" w:hAnsi="仿宋" w:eastAsia="仿宋" w:cs="仿宋"/>
          <w:i/>
          <w:iCs/>
          <w:sz w:val="24"/>
          <w:szCs w:val="24"/>
          <w:highlight w:val="none"/>
        </w:rPr>
        <w:t>%</w:t>
      </w:r>
      <w:r>
        <w:rPr>
          <w:rFonts w:hint="eastAsia" w:ascii="仿宋" w:hAnsi="仿宋" w:eastAsia="仿宋" w:cs="仿宋"/>
          <w:sz w:val="24"/>
          <w:szCs w:val="24"/>
          <w:highlight w:val="none"/>
        </w:rPr>
        <w:t>，累计进度款最高付至合同金额的</w:t>
      </w:r>
      <w:r>
        <w:rPr>
          <w:rFonts w:hint="eastAsia" w:ascii="仿宋" w:hAnsi="仿宋" w:eastAsia="仿宋" w:cs="仿宋"/>
          <w:i/>
          <w:iCs/>
          <w:sz w:val="24"/>
          <w:szCs w:val="24"/>
          <w:highlight w:val="none"/>
        </w:rPr>
        <w:t>70-</w:t>
      </w:r>
      <w:r>
        <w:rPr>
          <w:rFonts w:ascii="仿宋" w:hAnsi="仿宋" w:eastAsia="仿宋" w:cs="仿宋"/>
          <w:i/>
          <w:iCs/>
          <w:sz w:val="24"/>
          <w:szCs w:val="24"/>
          <w:highlight w:val="none"/>
        </w:rPr>
        <w:t>80</w:t>
      </w:r>
      <w:r>
        <w:rPr>
          <w:rFonts w:hint="eastAsia" w:ascii="仿宋" w:hAnsi="仿宋" w:eastAsia="仿宋" w:cs="仿宋"/>
          <w:i/>
          <w:iCs/>
          <w:sz w:val="24"/>
          <w:szCs w:val="24"/>
          <w:highlight w:val="none"/>
        </w:rPr>
        <w:t>%</w:t>
      </w:r>
      <w:r>
        <w:rPr>
          <w:rFonts w:hint="eastAsia" w:ascii="仿宋" w:hAnsi="仿宋" w:eastAsia="仿宋" w:cs="仿宋"/>
          <w:sz w:val="24"/>
          <w:szCs w:val="24"/>
          <w:highlight w:val="none"/>
        </w:rPr>
        <w:t>；完成工程竣工资料移交、竣工结算申报且竣工验收合格后付至已完成形象进度产值的</w:t>
      </w:r>
      <w:r>
        <w:rPr>
          <w:rFonts w:hint="eastAsia" w:ascii="仿宋" w:hAnsi="仿宋" w:eastAsia="仿宋" w:cs="仿宋"/>
          <w:i/>
          <w:iCs/>
          <w:sz w:val="24"/>
          <w:szCs w:val="24"/>
          <w:highlight w:val="none"/>
        </w:rPr>
        <w:t>75-</w:t>
      </w:r>
      <w:r>
        <w:rPr>
          <w:rFonts w:ascii="仿宋" w:hAnsi="仿宋" w:eastAsia="仿宋" w:cs="仿宋"/>
          <w:i/>
          <w:iCs/>
          <w:sz w:val="24"/>
          <w:szCs w:val="24"/>
          <w:highlight w:val="none"/>
        </w:rPr>
        <w:t>85</w:t>
      </w:r>
      <w:r>
        <w:rPr>
          <w:rFonts w:hint="eastAsia" w:ascii="仿宋" w:hAnsi="仿宋" w:eastAsia="仿宋" w:cs="仿宋"/>
          <w:i/>
          <w:iCs/>
          <w:sz w:val="24"/>
          <w:szCs w:val="24"/>
          <w:highlight w:val="none"/>
        </w:rPr>
        <w:t>%</w:t>
      </w:r>
      <w:r>
        <w:rPr>
          <w:rFonts w:hint="eastAsia" w:ascii="仿宋" w:hAnsi="仿宋" w:eastAsia="仿宋" w:cs="仿宋"/>
          <w:sz w:val="24"/>
          <w:szCs w:val="24"/>
          <w:highlight w:val="none"/>
        </w:rPr>
        <w:t>，且最高付至合同金额的</w:t>
      </w:r>
      <w:r>
        <w:rPr>
          <w:rFonts w:hint="eastAsia" w:ascii="仿宋" w:hAnsi="仿宋" w:eastAsia="仿宋" w:cs="仿宋"/>
          <w:i/>
          <w:iCs/>
          <w:sz w:val="24"/>
          <w:szCs w:val="24"/>
          <w:highlight w:val="none"/>
        </w:rPr>
        <w:t>75-</w:t>
      </w:r>
      <w:r>
        <w:rPr>
          <w:rFonts w:ascii="仿宋" w:hAnsi="仿宋" w:eastAsia="仿宋" w:cs="仿宋"/>
          <w:i/>
          <w:iCs/>
          <w:sz w:val="24"/>
          <w:szCs w:val="24"/>
          <w:highlight w:val="none"/>
        </w:rPr>
        <w:t>85</w:t>
      </w:r>
      <w:r>
        <w:rPr>
          <w:rFonts w:hint="eastAsia" w:ascii="仿宋" w:hAnsi="仿宋" w:eastAsia="仿宋" w:cs="仿宋"/>
          <w:i/>
          <w:iCs/>
          <w:sz w:val="24"/>
          <w:szCs w:val="24"/>
          <w:highlight w:val="none"/>
        </w:rPr>
        <w:t>%</w:t>
      </w:r>
      <w:r>
        <w:rPr>
          <w:rFonts w:hint="eastAsia" w:ascii="仿宋" w:hAnsi="仿宋" w:eastAsia="仿宋" w:cs="仿宋"/>
          <w:sz w:val="24"/>
          <w:szCs w:val="24"/>
          <w:highlight w:val="none"/>
        </w:rPr>
        <w:t>；竣工结算审计完毕且完成内部验收经双方签字认可后付款至工程结算款的9</w:t>
      </w:r>
      <w:r>
        <w:rPr>
          <w:rFonts w:ascii="仿宋" w:hAnsi="仿宋" w:eastAsia="仿宋" w:cs="仿宋"/>
          <w:sz w:val="24"/>
          <w:szCs w:val="24"/>
          <w:highlight w:val="none"/>
        </w:rPr>
        <w:t>7</w:t>
      </w:r>
      <w:r>
        <w:rPr>
          <w:rFonts w:hint="eastAsia" w:ascii="仿宋" w:hAnsi="仿宋" w:eastAsia="仿宋" w:cs="仿宋"/>
          <w:sz w:val="24"/>
          <w:szCs w:val="24"/>
          <w:highlight w:val="none"/>
        </w:rPr>
        <w:t>%，结算款的</w:t>
      </w:r>
      <w:r>
        <w:rPr>
          <w:rFonts w:ascii="仿宋" w:hAnsi="仿宋" w:eastAsia="仿宋" w:cs="仿宋"/>
          <w:sz w:val="24"/>
          <w:szCs w:val="24"/>
          <w:highlight w:val="none"/>
        </w:rPr>
        <w:t>3</w:t>
      </w:r>
      <w:r>
        <w:rPr>
          <w:rFonts w:hint="eastAsia" w:ascii="仿宋" w:hAnsi="仿宋" w:eastAsia="仿宋" w:cs="仿宋"/>
          <w:sz w:val="24"/>
          <w:szCs w:val="24"/>
          <w:highlight w:val="none"/>
        </w:rPr>
        <w:t>%作为质量保修金。质量保修金的支付按照本合同附件1《工程质量保修书》中的规定执行。</w:t>
      </w:r>
    </w:p>
    <w:p w14:paraId="27A499BB">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发包人所有款项的支付均需承包人持当批付款金额一致的符合国家要求的增值税专用发票、授权委托书、经办人身份证明原件及复印件等其他发包人财务制度要求的资料办理。因发票违规给发包人造成的增值税、所得税等损失，由承包人承担相关责任，包括但不限于税款、滞纳金、罚款及其它相关损失。</w:t>
      </w:r>
      <w:r>
        <w:rPr>
          <w:rFonts w:hint="eastAsia" w:ascii="仿宋" w:hAnsi="仿宋" w:eastAsia="仿宋" w:cs="仿宋"/>
          <w:i/>
          <w:sz w:val="24"/>
          <w:szCs w:val="24"/>
          <w:highlight w:val="none"/>
        </w:rPr>
        <w:t>【发票开具条款可按业务实际情况进行调整】</w:t>
      </w:r>
    </w:p>
    <w:p w14:paraId="771ECAD9">
      <w:pPr>
        <w:spacing w:line="520" w:lineRule="exact"/>
        <w:ind w:firstLine="480" w:firstLineChars="200"/>
        <w:rPr>
          <w:rFonts w:ascii="仿宋" w:hAnsi="仿宋" w:eastAsia="仿宋" w:cs="仿宋"/>
          <w:sz w:val="24"/>
          <w:szCs w:val="24"/>
          <w:highlight w:val="none"/>
          <w:u w:val="single"/>
        </w:rPr>
      </w:pPr>
      <w:r>
        <w:rPr>
          <w:rFonts w:hint="eastAsia" w:ascii="仿宋" w:hAnsi="仿宋" w:eastAsia="仿宋" w:cs="仿宋"/>
          <w:sz w:val="24"/>
          <w:szCs w:val="24"/>
          <w:highlight w:val="none"/>
        </w:rPr>
        <w:t>4.4合同价款及调整</w:t>
      </w:r>
    </w:p>
    <w:p w14:paraId="642E97B5">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4.4.1在施工过程中由于非</w:t>
      </w:r>
      <w:r>
        <w:rPr>
          <w:rFonts w:hint="eastAsia" w:ascii="仿宋" w:hAnsi="仿宋" w:eastAsia="仿宋" w:cs="仿宋"/>
          <w:sz w:val="24"/>
          <w:szCs w:val="24"/>
          <w:highlight w:val="none"/>
          <w:u w:val="single"/>
        </w:rPr>
        <w:t>承包人</w:t>
      </w:r>
      <w:r>
        <w:rPr>
          <w:rFonts w:hint="eastAsia" w:ascii="仿宋" w:hAnsi="仿宋" w:eastAsia="仿宋" w:cs="仿宋"/>
          <w:sz w:val="24"/>
          <w:szCs w:val="24"/>
          <w:highlight w:val="none"/>
        </w:rPr>
        <w:t>原因导致工程签证、设计变更引起的工程价款调整的项目，承包人在收到发包人下发的联系单、变更通知单或设计变更后，承包人应在</w:t>
      </w:r>
      <w:r>
        <w:rPr>
          <w:rFonts w:hint="eastAsia" w:ascii="仿宋" w:hAnsi="仿宋" w:eastAsia="仿宋" w:cs="仿宋"/>
          <w:sz w:val="24"/>
          <w:szCs w:val="24"/>
          <w:highlight w:val="none"/>
          <w:u w:val="single"/>
        </w:rPr>
        <w:t xml:space="preserve"> </w:t>
      </w:r>
      <w:r>
        <w:rPr>
          <w:rFonts w:hint="eastAsia" w:ascii="仿宋" w:hAnsi="仿宋" w:eastAsia="仿宋" w:cs="仿宋"/>
          <w:i/>
          <w:iCs/>
          <w:sz w:val="24"/>
          <w:szCs w:val="24"/>
          <w:highlight w:val="none"/>
          <w:u w:val="single"/>
        </w:rPr>
        <w:t xml:space="preserve"> 3</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天内将索赔资料（变更原因、材料价格、变更金额）书面报发包人审核，索赔事件结束后</w:t>
      </w:r>
      <w:r>
        <w:rPr>
          <w:rFonts w:hint="eastAsia" w:ascii="仿宋" w:hAnsi="仿宋" w:eastAsia="仿宋" w:cs="仿宋"/>
          <w:sz w:val="24"/>
          <w:szCs w:val="24"/>
          <w:highlight w:val="none"/>
          <w:u w:val="single"/>
        </w:rPr>
        <w:t xml:space="preserve"> </w:t>
      </w:r>
      <w:r>
        <w:rPr>
          <w:rFonts w:hint="eastAsia" w:ascii="仿宋" w:hAnsi="仿宋" w:eastAsia="仿宋" w:cs="仿宋"/>
          <w:i/>
          <w:iCs/>
          <w:sz w:val="24"/>
          <w:szCs w:val="24"/>
          <w:highlight w:val="none"/>
          <w:u w:val="single"/>
        </w:rPr>
        <w:t xml:space="preserve">14 </w:t>
      </w:r>
      <w:r>
        <w:rPr>
          <w:rFonts w:hint="eastAsia" w:ascii="仿宋" w:hAnsi="仿宋" w:eastAsia="仿宋" w:cs="仿宋"/>
          <w:sz w:val="24"/>
          <w:szCs w:val="24"/>
          <w:highlight w:val="none"/>
          <w:u w:val="single"/>
        </w:rPr>
        <w:t>天内</w:t>
      </w:r>
      <w:r>
        <w:rPr>
          <w:rFonts w:hint="eastAsia" w:ascii="仿宋" w:hAnsi="仿宋" w:eastAsia="仿宋" w:cs="仿宋"/>
          <w:sz w:val="24"/>
          <w:szCs w:val="24"/>
          <w:highlight w:val="none"/>
        </w:rPr>
        <w:t>形成签章齐全的经济技术资料。</w:t>
      </w:r>
    </w:p>
    <w:p w14:paraId="05DCF7F6">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□变更合同价款按下列方法进行：</w:t>
      </w:r>
    </w:p>
    <w:p w14:paraId="22355367">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关于变更估价的约定: （1）如发生与原子项相同的清单项，以承包人中标后调整的最终版工程量清单中已有综合单价乘以工程量进行结算。</w:t>
      </w:r>
    </w:p>
    <w:p w14:paraId="463C0939">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如发生与原子项相类似的清单项，新增清单项的消耗量按原子项执行（高于定额含量的按定额含量执行、低于定额含量的按原投标含量执行）；新增清单项的人工、机械单价执行原子项单价，承包人中标后调整的最终版工程量清单中已有价格的材料执行中标价格，承包人中标后调整的最终版工程量清单中没有价格的主要材料按照发包人、监理人确认的价格执行；管理费、利润等组成综合单价的其他因素均不作调整。按以上原则生成新综合单价，以实际工程量据实结算。清单已有价格的材料（如电线电缆、管材等）设备，仅规格型号发生变更的，变更后仅调整不同规格型号的材料设备市场价差。</w:t>
      </w:r>
    </w:p>
    <w:p w14:paraId="4526FC3B">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□变更合同价款按下列方法进行：</w:t>
      </w:r>
    </w:p>
    <w:p w14:paraId="55D429C3">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（1）如发生与原子项相同的清单项，以承包人开标修正后的已标价工程量清单中已有综合单价（按合同协议书约定同比例下浮后）乘以工程量进行结算。</w:t>
      </w:r>
    </w:p>
    <w:p w14:paraId="0709EF39">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如发生与原子项相类似的清单项，新增清单项的消耗量按原子项执行（高于定额含量的按定额含量执行、低于定额含量的按原投标含量执行）；新增清单项的人工、机械单价执行原子项单价（下浮后），开标修正后的已标价工程量清单中已有价格的材料执行已有清单价格（下浮后），开标修正后的已标价工程量清单中没有价格的主要材料按照发包人、监理人确认的价格执行；管理费、利润等组成综合单价的其他因素均不作调整。按以上原则生成新综合单价，以实际工程量据实结算。清单已有价格的材料（如电线电缆、管材等）设备，仅规格型号发生变更的，变更后仅调整不同规格型号的材料设备市场价差。</w:t>
      </w:r>
    </w:p>
    <w:p w14:paraId="27E69E01">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（3）非以上（1）、（2）两种情况，按照以下原则据实结算：</w:t>
      </w:r>
    </w:p>
    <w:p w14:paraId="2B3735C1">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 1 \* GB3 \* MERGEFORMAT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①</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计价依据：</w:t>
      </w:r>
      <w:r>
        <w:rPr>
          <w:rFonts w:hint="eastAsia" w:ascii="仿宋" w:hAnsi="仿宋" w:eastAsia="仿宋" w:cs="仿宋"/>
          <w:i/>
          <w:iCs/>
          <w:sz w:val="24"/>
          <w:szCs w:val="24"/>
          <w:highlight w:val="none"/>
        </w:rPr>
        <w:t>（说明：根据最新依据动态调整）</w:t>
      </w:r>
    </w:p>
    <w:p w14:paraId="3406CCA6">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2016版《山东省建筑工程消耗量定额》、2016版《山东省安装工程消耗量定额》、2016版《山东省市政工程消耗量定额》、2016版《山东省园林绿化工程消耗量定额》及相应2020版价目表；2020版《山东省房屋修缮工程消耗量定额》及2021版价目表；</w:t>
      </w:r>
    </w:p>
    <w:p w14:paraId="00D7D034">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 2 \* GB3 \* MERGEFORMAT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②</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工程类别：建筑执行Ⅲ类取费，安装执行工业安装取费，装饰执行Ⅲ类取费，市政执行Ⅲ类取费；</w:t>
      </w:r>
    </w:p>
    <w:p w14:paraId="7B2C6E76">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 3 \* GB3 \* MERGEFORMAT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③</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人工费建筑工程128元/工日，装饰工程138元/工日，安装工程138元/工日，市政工程117元/工日，园林绿化工程117元/工日；《山东省建设工程施工机械台班费用编制规则》（鲁建标字〔2016〕39号）中的人工单价调整为130元/工日；材料费投标文件中已有价格的材料执行中标价格，投标文件中没有价格的主要材料按照监理方、发包人书面确定的价格执行，其中清单已有价格的材料（如电线电缆、管材等）设备，仅规格型号发生变更的，变更后仅调整不同规格型号的材料设备市场价差。</w:t>
      </w:r>
    </w:p>
    <w:p w14:paraId="0DA5C2CB">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 4 \* GB3 \* MERGEFORMAT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④</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承包人按上述原则就清单外工作内容按总造价最终优惠率（即让利【】%）；但经发包人审核签认的计入设备费的设备价格不参与让利，（材料和设备划分标准执行《建筑工程计价设备材料划分标准》GB/T50531-2009）。</w:t>
      </w:r>
    </w:p>
    <w:p w14:paraId="71953F64">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（4）非以上（1）、（2）、（3）三种情况，由承包人事前提出书面报价，由发包人按照规定程序审批后确定单价，以实际工程量结算。</w:t>
      </w:r>
    </w:p>
    <w:p w14:paraId="4F386DDA">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（5）按上述原则组成的新综合单价，明显偏离市场价时，发包人有权利对其价格进行调整。</w:t>
      </w:r>
    </w:p>
    <w:p w14:paraId="42F1702D">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（6）招标文件或其他有关文件中所列材料暂定价按照发包人书面确定的价格进行调整。</w:t>
      </w:r>
    </w:p>
    <w:p w14:paraId="69C15724">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w:t>
      </w:r>
      <w:bookmarkStart w:id="47" w:name="_Hlk178170469"/>
      <w:r>
        <w:rPr>
          <w:rFonts w:hint="eastAsia" w:ascii="仿宋" w:hAnsi="仿宋" w:eastAsia="仿宋" w:cs="仿宋"/>
          <w:sz w:val="24"/>
          <w:szCs w:val="24"/>
          <w:highlight w:val="none"/>
        </w:rPr>
        <w:t>因变更或其它情况（除本条后面另行约定外）导致实际完成的工程量与预算书或工程量清单中有变化时，综合单价不予调整。但当实际完成的工程量比已标价工程量清单载明的工程量增加超过15%，且发包人发现承包人的已标价工程量清单相关清单子目中存在异常偏高的，超出已标价工程量清单载明的工程量15%的部分，发包人有权对异常偏高的综合单价进行修正，并按修正后的综合单价进行竣工结算。异常偏高是指清单综合单价（下浮后）与发包人按照</w:t>
      </w:r>
      <w:r>
        <w:rPr>
          <w:rFonts w:ascii="仿宋" w:hAnsi="仿宋" w:eastAsia="仿宋" w:cs="仿宋"/>
          <w:sz w:val="24"/>
          <w:szCs w:val="24"/>
          <w:highlight w:val="none"/>
        </w:rPr>
        <w:t>4.4.1</w:t>
      </w:r>
      <w:r>
        <w:rPr>
          <w:rFonts w:hint="eastAsia" w:ascii="仿宋" w:hAnsi="仿宋" w:eastAsia="仿宋" w:cs="仿宋"/>
          <w:sz w:val="24"/>
          <w:szCs w:val="24"/>
          <w:highlight w:val="none"/>
        </w:rPr>
        <w:t>第（3）条约定而确定的综合单价高出50%及以上</w:t>
      </w:r>
      <w:bookmarkEnd w:id="47"/>
      <w:r>
        <w:rPr>
          <w:rFonts w:hint="eastAsia" w:ascii="仿宋" w:hAnsi="仿宋" w:eastAsia="仿宋" w:cs="仿宋"/>
          <w:sz w:val="24"/>
          <w:szCs w:val="24"/>
          <w:highlight w:val="none"/>
        </w:rPr>
        <w:t>，发包人有权对异常偏高的综合单价按照4.4.1第（3）条进行修正。</w:t>
      </w:r>
    </w:p>
    <w:p w14:paraId="4FE57ADF">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Calibri"/>
          <w:sz w:val="24"/>
          <w:szCs w:val="24"/>
          <w:highlight w:val="none"/>
        </w:rPr>
        <w:t>□</w:t>
      </w:r>
      <w:r>
        <w:rPr>
          <w:rFonts w:hint="eastAsia" w:ascii="仿宋" w:hAnsi="仿宋" w:eastAsia="仿宋" w:cs="仿宋"/>
          <w:sz w:val="24"/>
          <w:szCs w:val="24"/>
          <w:highlight w:val="none"/>
        </w:rPr>
        <w:t>本工程清单内及清单外所有的措施费总价包干使用。无论发生任何变化，措施费均不做调整；</w:t>
      </w:r>
    </w:p>
    <w:p w14:paraId="39E7959C">
      <w:pPr>
        <w:spacing w:line="520" w:lineRule="exact"/>
        <w:ind w:firstLine="480" w:firstLineChars="200"/>
        <w:rPr>
          <w:rFonts w:ascii="仿宋" w:hAnsi="仿宋" w:eastAsia="仿宋" w:cs="仿宋"/>
          <w:i/>
          <w:iCs/>
          <w:sz w:val="24"/>
          <w:szCs w:val="24"/>
          <w:highlight w:val="none"/>
        </w:rPr>
      </w:pPr>
      <w:r>
        <w:rPr>
          <w:rFonts w:hint="eastAsia" w:ascii="仿宋" w:hAnsi="仿宋" w:eastAsia="仿宋" w:cs="仿宋"/>
          <w:sz w:val="24"/>
          <w:szCs w:val="24"/>
          <w:highlight w:val="none"/>
        </w:rPr>
        <w:t>□承包人已对拟建工程（含设计变更及工程量变化）可能发生的措施项目和措施费用作通盘考虑，清单计价一经报出即被认为是包括了所有应该发生的措施项目的全部费用。如果报出的清单中没有列项，而施工中又必须发生的项目，发包人有权认为，其已经综合在分部分项工程量清单的综合单价中。将来措施项目发生时承包人不得以任何借口提出索赔与调整，中标清单措施费包干使用，均不作任何调整。</w:t>
      </w:r>
    </w:p>
    <w:p w14:paraId="64AD2C70">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（9）本项目总承包服务费及甲供材料（设备）采保费：□无。□共</w:t>
      </w:r>
      <w:r>
        <w:rPr>
          <w:rFonts w:hint="eastAsia" w:ascii="仿宋" w:hAnsi="仿宋" w:eastAsia="仿宋" w:cs="仿宋"/>
          <w:sz w:val="24"/>
          <w:szCs w:val="24"/>
          <w:highlight w:val="none"/>
          <w:u w:val="single"/>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万元，包干使用。</w:t>
      </w:r>
    </w:p>
    <w:p w14:paraId="48CBE949">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（10）税金：本工程增值税税率为9%。</w:t>
      </w:r>
      <w:r>
        <w:rPr>
          <w:rFonts w:hint="eastAsia" w:ascii="仿宋" w:hAnsi="仿宋" w:eastAsia="仿宋" w:cs="仿宋"/>
          <w:i/>
          <w:iCs/>
          <w:sz w:val="24"/>
          <w:szCs w:val="24"/>
          <w:highlight w:val="none"/>
        </w:rPr>
        <w:t>（根据最新政策调整）</w:t>
      </w:r>
    </w:p>
    <w:p w14:paraId="5BC615D0">
      <w:pPr>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（11）计日工      元/工日（全费用）。</w:t>
      </w:r>
    </w:p>
    <w:p w14:paraId="188E482D">
      <w:pPr>
        <w:adjustRightInd w:val="0"/>
        <w:snapToGrid w:val="0"/>
        <w:spacing w:line="520" w:lineRule="exact"/>
        <w:ind w:firstLine="422" w:firstLineChars="175"/>
        <w:rPr>
          <w:rFonts w:ascii="仿宋" w:hAnsi="仿宋" w:eastAsia="仿宋" w:cs="仿宋"/>
          <w:b/>
          <w:bCs/>
          <w:sz w:val="24"/>
          <w:szCs w:val="24"/>
          <w:highlight w:val="none"/>
        </w:rPr>
      </w:pPr>
      <w:r>
        <w:rPr>
          <w:rFonts w:hint="eastAsia" w:ascii="仿宋" w:hAnsi="仿宋" w:eastAsia="仿宋" w:cs="仿宋"/>
          <w:b/>
          <w:bCs/>
          <w:sz w:val="24"/>
          <w:szCs w:val="24"/>
          <w:highlight w:val="none"/>
        </w:rPr>
        <w:t>第二种方式</w:t>
      </w:r>
    </w:p>
    <w:p w14:paraId="27D46675">
      <w:pPr>
        <w:adjustRightInd w:val="0"/>
        <w:snapToGrid w:val="0"/>
        <w:spacing w:line="520" w:lineRule="exact"/>
        <w:ind w:firstLine="422" w:firstLineChars="175"/>
        <w:rPr>
          <w:rFonts w:ascii="仿宋" w:hAnsi="仿宋" w:eastAsia="仿宋" w:cs="仿宋"/>
          <w:b/>
          <w:bCs/>
          <w:sz w:val="24"/>
          <w:szCs w:val="24"/>
          <w:highlight w:val="none"/>
        </w:rPr>
      </w:pPr>
      <w:r>
        <w:rPr>
          <w:rFonts w:hint="eastAsia" w:ascii="仿宋" w:hAnsi="仿宋" w:eastAsia="仿宋" w:cs="仿宋"/>
          <w:b/>
          <w:bCs/>
          <w:sz w:val="24"/>
          <w:szCs w:val="24"/>
          <w:highlight w:val="none"/>
        </w:rPr>
        <w:sym w:font="Wingdings 2" w:char="00A3"/>
      </w:r>
      <w:r>
        <w:rPr>
          <w:rFonts w:hint="eastAsia" w:ascii="仿宋" w:hAnsi="仿宋" w:eastAsia="仿宋" w:cs="仿宋"/>
          <w:b/>
          <w:bCs/>
          <w:sz w:val="24"/>
          <w:szCs w:val="24"/>
          <w:highlight w:val="none"/>
        </w:rPr>
        <w:t>固定总价合同</w:t>
      </w:r>
    </w:p>
    <w:p w14:paraId="595A439C">
      <w:pPr>
        <w:adjustRightInd w:val="0"/>
        <w:snapToGrid w:val="0"/>
        <w:spacing w:line="520" w:lineRule="exact"/>
        <w:ind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4.1合同价款：</w:t>
      </w:r>
    </w:p>
    <w:p w14:paraId="6786D8C6">
      <w:pPr>
        <w:adjustRightInd w:val="0"/>
        <w:snapToGrid w:val="0"/>
        <w:spacing w:line="520" w:lineRule="exact"/>
        <w:ind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本工程合同价</w:t>
      </w:r>
      <w:r>
        <w:rPr>
          <w:rFonts w:ascii="仿宋" w:hAnsi="仿宋" w:eastAsia="仿宋" w:cs="仿宋"/>
          <w:sz w:val="24"/>
          <w:szCs w:val="24"/>
          <w:highlight w:val="none"/>
        </w:rPr>
        <w:t>款</w:t>
      </w:r>
      <w:r>
        <w:rPr>
          <w:rFonts w:hint="eastAsia" w:ascii="仿宋" w:hAnsi="仿宋" w:eastAsia="仿宋" w:cs="仿宋"/>
          <w:sz w:val="24"/>
          <w:szCs w:val="24"/>
          <w:highlight w:val="none"/>
        </w:rPr>
        <w:t>为：￥</w:t>
      </w:r>
      <w:r>
        <w:rPr>
          <w:rFonts w:hint="eastAsia" w:ascii="仿宋" w:hAnsi="仿宋" w:eastAsia="仿宋" w:cs="仿宋"/>
          <w:sz w:val="24"/>
          <w:szCs w:val="24"/>
          <w:highlight w:val="none"/>
          <w:u w:val="single"/>
        </w:rPr>
        <w:t xml:space="preserve">             元(大写金额：            </w:t>
      </w:r>
      <w:r>
        <w:rPr>
          <w:rFonts w:hint="eastAsia" w:ascii="仿宋" w:hAnsi="仿宋" w:eastAsia="仿宋" w:cs="仿宋"/>
          <w:sz w:val="24"/>
          <w:szCs w:val="24"/>
          <w:highlight w:val="none"/>
        </w:rPr>
        <w:t>)。</w:t>
      </w:r>
    </w:p>
    <w:p w14:paraId="6EFE9904">
      <w:pPr>
        <w:adjustRightInd w:val="0"/>
        <w:snapToGrid w:val="0"/>
        <w:spacing w:line="520" w:lineRule="exact"/>
        <w:ind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4.2本工程合同价格形式为：</w:t>
      </w:r>
      <w:r>
        <w:rPr>
          <w:rFonts w:hint="eastAsia" w:ascii="仿宋" w:hAnsi="仿宋" w:eastAsia="仿宋" w:cs="仿宋"/>
          <w:sz w:val="24"/>
          <w:szCs w:val="24"/>
          <w:highlight w:val="none"/>
          <w:u w:val="single"/>
        </w:rPr>
        <w:t>固定总价。</w:t>
      </w:r>
      <w:r>
        <w:rPr>
          <w:rFonts w:hint="eastAsia" w:ascii="仿宋" w:hAnsi="仿宋" w:eastAsia="仿宋" w:cs="仿宋"/>
          <w:i/>
          <w:iCs/>
          <w:sz w:val="24"/>
          <w:szCs w:val="24"/>
          <w:highlight w:val="none"/>
          <w:u w:val="single"/>
        </w:rPr>
        <w:t>合同价格包括本合同中承包人的全部责任和义务所需发生的所有费用，而且本工程报价中包含了为完成本工程所需的各种施工项目相关的费用。合同价款包括</w:t>
      </w:r>
      <w:r>
        <w:rPr>
          <w:rFonts w:hint="eastAsia" w:ascii="仿宋" w:hAnsi="仿宋" w:eastAsia="仿宋" w:cs="仿宋"/>
          <w:bCs/>
          <w:i/>
          <w:iCs/>
          <w:sz w:val="24"/>
          <w:szCs w:val="24"/>
          <w:highlight w:val="none"/>
          <w:u w:val="single"/>
        </w:rPr>
        <w:t>但不限于：深化设计费、人工费、材料费（损耗费、辅材费、制作加工费、包装费、运输费、装卸费、采购保管费、试验及检测费、安装费、样品费）、机械费、</w:t>
      </w:r>
      <w:r>
        <w:rPr>
          <w:rFonts w:hint="eastAsia" w:ascii="仿宋" w:hAnsi="仿宋" w:eastAsia="仿宋" w:cs="仿宋"/>
          <w:i/>
          <w:iCs/>
          <w:sz w:val="24"/>
          <w:szCs w:val="24"/>
          <w:highlight w:val="none"/>
          <w:u w:val="single"/>
        </w:rPr>
        <w:t>措施费（包含赶工措施费、安全文明施工、临时设施、</w:t>
      </w:r>
      <w:r>
        <w:rPr>
          <w:rFonts w:hint="eastAsia" w:ascii="仿宋" w:hAnsi="仿宋" w:eastAsia="仿宋" w:cs="仿宋"/>
          <w:bCs/>
          <w:i/>
          <w:iCs/>
          <w:sz w:val="24"/>
          <w:szCs w:val="24"/>
          <w:highlight w:val="none"/>
          <w:u w:val="single"/>
        </w:rPr>
        <w:t>半成品及成品保护、</w:t>
      </w:r>
      <w:r>
        <w:rPr>
          <w:rFonts w:hint="eastAsia" w:ascii="仿宋" w:hAnsi="仿宋" w:eastAsia="仿宋" w:cs="仿宋"/>
          <w:i/>
          <w:iCs/>
          <w:sz w:val="24"/>
          <w:szCs w:val="24"/>
          <w:highlight w:val="none"/>
          <w:u w:val="single"/>
        </w:rPr>
        <w:t>垃圾清运）、企业管理费、利润、规费、税金、保险、</w:t>
      </w:r>
      <w:r>
        <w:rPr>
          <w:rFonts w:hint="eastAsia" w:ascii="仿宋" w:hAnsi="仿宋" w:eastAsia="仿宋" w:cs="仿宋"/>
          <w:bCs/>
          <w:i/>
          <w:iCs/>
          <w:sz w:val="24"/>
          <w:szCs w:val="24"/>
          <w:highlight w:val="none"/>
          <w:u w:val="single"/>
        </w:rPr>
        <w:t>技术资料费、竣工资料费、</w:t>
      </w:r>
      <w:r>
        <w:rPr>
          <w:rFonts w:hint="eastAsia" w:ascii="仿宋" w:hAnsi="仿宋" w:eastAsia="仿宋" w:cs="仿宋"/>
          <w:i/>
          <w:iCs/>
          <w:sz w:val="24"/>
          <w:szCs w:val="24"/>
          <w:highlight w:val="none"/>
          <w:u w:val="single"/>
        </w:rPr>
        <w:t>质量保修、配合其他单位施工的相关费用及人工材料涨价、汇率变动、政策性文件规定等不可预见费用的所有费用</w:t>
      </w:r>
      <w:r>
        <w:rPr>
          <w:rFonts w:hint="eastAsia" w:ascii="仿宋" w:hAnsi="仿宋" w:eastAsia="仿宋" w:cs="仿宋"/>
          <w:bCs/>
          <w:i/>
          <w:iCs/>
          <w:sz w:val="24"/>
          <w:szCs w:val="24"/>
          <w:highlight w:val="none"/>
          <w:u w:val="single"/>
        </w:rPr>
        <w:t>。</w:t>
      </w:r>
    </w:p>
    <w:p w14:paraId="4E46772E">
      <w:pPr>
        <w:adjustRightInd w:val="0"/>
        <w:snapToGrid w:val="0"/>
        <w:spacing w:line="520" w:lineRule="exact"/>
        <w:ind w:firstLine="420" w:firstLineChars="175"/>
        <w:jc w:val="left"/>
        <w:rPr>
          <w:rFonts w:ascii="仿宋" w:hAnsi="仿宋" w:eastAsia="仿宋" w:cs="仿宋"/>
          <w:sz w:val="24"/>
          <w:szCs w:val="24"/>
          <w:highlight w:val="none"/>
        </w:rPr>
      </w:pPr>
      <w:r>
        <w:rPr>
          <w:rFonts w:hint="eastAsia" w:ascii="仿宋" w:hAnsi="仿宋" w:eastAsia="仿宋" w:cs="仿宋"/>
          <w:sz w:val="24"/>
          <w:szCs w:val="24"/>
          <w:highlight w:val="none"/>
        </w:rPr>
        <w:t>本合同内工作范围按照发包人在招标文件中给定的范围最终确定，发包人不接受由于承包人对招标范围的理解存在偏差而导致的任何索赔或价格上调。</w:t>
      </w:r>
    </w:p>
    <w:p w14:paraId="72981C50">
      <w:pPr>
        <w:tabs>
          <w:tab w:val="left" w:pos="5565"/>
        </w:tabs>
        <w:adjustRightInd w:val="0"/>
        <w:snapToGrid w:val="0"/>
        <w:spacing w:line="520" w:lineRule="exact"/>
        <w:ind w:firstLine="420" w:firstLineChars="175"/>
        <w:rPr>
          <w:rFonts w:ascii="仿宋" w:hAnsi="仿宋" w:eastAsia="仿宋" w:cs="仿宋"/>
          <w:b/>
          <w:bCs/>
          <w:sz w:val="24"/>
          <w:szCs w:val="24"/>
          <w:highlight w:val="none"/>
        </w:rPr>
      </w:pPr>
      <w:r>
        <w:rPr>
          <w:rFonts w:hint="eastAsia" w:ascii="仿宋" w:hAnsi="仿宋" w:eastAsia="仿宋" w:cs="仿宋"/>
          <w:sz w:val="24"/>
          <w:szCs w:val="24"/>
          <w:highlight w:val="none"/>
        </w:rPr>
        <w:t>4.3工程款支付</w:t>
      </w:r>
      <w:r>
        <w:rPr>
          <w:rFonts w:hint="eastAsia" w:ascii="仿宋" w:hAnsi="仿宋" w:eastAsia="仿宋" w:cs="仿宋"/>
          <w:sz w:val="24"/>
          <w:szCs w:val="24"/>
          <w:highlight w:val="none"/>
          <w:u w:val="single"/>
        </w:rPr>
        <w:t>（与上面固定综合单价部分相应内容一致）。</w:t>
      </w:r>
    </w:p>
    <w:p w14:paraId="26EC16BB">
      <w:pPr>
        <w:pStyle w:val="5"/>
        <w:adjustRightInd w:val="0"/>
        <w:snapToGrid w:val="0"/>
        <w:spacing w:before="120" w:after="120" w:line="520" w:lineRule="exact"/>
        <w:rPr>
          <w:rFonts w:ascii="仿宋" w:hAnsi="仿宋" w:eastAsia="仿宋" w:cs="仿宋"/>
          <w:sz w:val="24"/>
          <w:szCs w:val="24"/>
          <w:highlight w:val="none"/>
        </w:rPr>
      </w:pPr>
      <w:r>
        <w:rPr>
          <w:rFonts w:hint="eastAsia" w:ascii="仿宋" w:hAnsi="仿宋" w:eastAsia="仿宋" w:cs="仿宋"/>
          <w:sz w:val="24"/>
          <w:szCs w:val="24"/>
          <w:highlight w:val="none"/>
        </w:rPr>
        <w:t>五、材料设备的供应和采购</w:t>
      </w:r>
    </w:p>
    <w:p w14:paraId="32546104">
      <w:pPr>
        <w:adjustRightInd w:val="0"/>
        <w:snapToGrid w:val="0"/>
        <w:spacing w:line="520" w:lineRule="exact"/>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5.1本工程的材料、设备由承包人采购。</w:t>
      </w:r>
    </w:p>
    <w:p w14:paraId="46C2BF0C">
      <w:pPr>
        <w:adjustRightInd w:val="0"/>
        <w:snapToGrid w:val="0"/>
        <w:spacing w:line="520" w:lineRule="exact"/>
        <w:ind w:firstLine="480" w:firstLineChars="200"/>
        <w:rPr>
          <w:rFonts w:ascii="仿宋" w:hAnsi="仿宋" w:eastAsia="仿宋" w:cs="仿宋"/>
          <w:sz w:val="24"/>
          <w:highlight w:val="none"/>
        </w:rPr>
      </w:pPr>
      <w:r>
        <w:rPr>
          <w:rFonts w:hint="eastAsia" w:ascii="仿宋" w:hAnsi="仿宋" w:eastAsia="仿宋" w:cs="仿宋"/>
          <w:kern w:val="0"/>
          <w:sz w:val="24"/>
          <w:szCs w:val="24"/>
          <w:highlight w:val="none"/>
        </w:rPr>
        <w:t>5.2本工程的主要设备及主要材料品牌按照附件表中选择。投标文件中已按附件选择品牌的，按投标文件所报品牌执行；未按附件选择的，施工过程中必须按此表选择品牌；附表外其他材料，承包人在投标时明确品牌的必须使用投标品牌。另外，材料及设备必须是原厂生产，禁止使用委托第三人生产后贴牌的材料和设备，否则按不合格材料处理，承包人按合同条款承担违约责任</w:t>
      </w:r>
      <w:r>
        <w:rPr>
          <w:rFonts w:hint="eastAsia" w:ascii="仿宋" w:hAnsi="仿宋" w:eastAsia="仿宋" w:cs="仿宋"/>
          <w:sz w:val="24"/>
          <w:highlight w:val="none"/>
        </w:rPr>
        <w:t>。</w:t>
      </w:r>
    </w:p>
    <w:p w14:paraId="53096C40">
      <w:pPr>
        <w:adjustRightInd w:val="0"/>
        <w:snapToGrid w:val="0"/>
        <w:spacing w:line="520" w:lineRule="exact"/>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未经发包人批准，承包人不得擅自使用替代材料或工程设备，否则视为使用不合格材料，一经发现，无论本工程是否已经竣工或是否验收合格，发包人均有权要求承包人对其进行更换，并按照应该使用的材料及设备总价的2倍向发包人承担违约金，因更换造成的工期延误和费用由承包人承担。在承包人完成更换之前，该部分工程款不予计入进度款或者进行结算。</w:t>
      </w:r>
    </w:p>
    <w:p w14:paraId="346A2A27">
      <w:pPr>
        <w:adjustRightInd w:val="0"/>
        <w:snapToGrid w:val="0"/>
        <w:spacing w:line="520" w:lineRule="exact"/>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市场差价据实调整。</w:t>
      </w:r>
    </w:p>
    <w:p w14:paraId="170D7437">
      <w:pPr>
        <w:adjustRightInd w:val="0"/>
        <w:snapToGrid w:val="0"/>
        <w:spacing w:line="520" w:lineRule="exact"/>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根据项目需要，发包人有权自行将部分乙购材料、设备改为甲供，或将部分甲供材料、设备改为甲指乙购，价格调整按合同约定条款执行。发包人无需为上述采购方式的变化向承包人支付其他额外费用或者补偿，且工期不予顺延。</w:t>
      </w:r>
    </w:p>
    <w:p w14:paraId="78DD0F6A">
      <w:pPr>
        <w:adjustRightInd w:val="0"/>
        <w:snapToGrid w:val="0"/>
        <w:spacing w:line="520" w:lineRule="exact"/>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项目施工所有（不含甲供材料设备、甲分包部分）试验检测费用（包括但不限于见证取样复试、地基基础检测、主体结构检测、钢结构检测、空气质量检测、弱电检测、外墙保温系统型式检测、防雷检测、消防检测、沉降观测、焊缝检测、配电平台高低压设备的相关试验、各类流量计、能量计、温度压力传感器的校验（项目内部验收完移交时，计量装置必须在有效期内）等）均已综合考虑并包含在承包人投标总价中。根据《建设工程质量检测管理办法》第二十一条及《山东省住房和城乡建设厅关于压实建设单位工程质量首要责任的实施办法》，非建设单位委托的检测机构出具的检测报告不得作为工程质量验收资料。乙购材料设备的见证取样送检及施工专项检测（如焊缝探伤等），由发包人委托具有相应资质的第三方检测单位进行检测。若所发生的检测费用由发包人按检测委托合同支付的，在竣工结算时按实际发生检测总费用予以扣除。若所发生的检测费由发包人委托人直接垫付的，由承包人支付给发包人委托人。</w:t>
      </w:r>
    </w:p>
    <w:p w14:paraId="17A3FC76">
      <w:pPr>
        <w:pStyle w:val="5"/>
        <w:adjustRightInd w:val="0"/>
        <w:snapToGrid w:val="0"/>
        <w:spacing w:before="120" w:after="120" w:line="520" w:lineRule="exact"/>
        <w:rPr>
          <w:rFonts w:ascii="仿宋" w:hAnsi="仿宋" w:eastAsia="仿宋" w:cs="仿宋"/>
          <w:sz w:val="24"/>
          <w:szCs w:val="24"/>
          <w:highlight w:val="none"/>
        </w:rPr>
      </w:pPr>
      <w:r>
        <w:rPr>
          <w:rFonts w:hint="eastAsia" w:ascii="仿宋" w:hAnsi="仿宋" w:eastAsia="仿宋" w:cs="仿宋"/>
          <w:sz w:val="24"/>
          <w:szCs w:val="24"/>
          <w:highlight w:val="none"/>
        </w:rPr>
        <w:t>六、竣工验收</w:t>
      </w:r>
    </w:p>
    <w:p w14:paraId="3C63090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6.1工程完成后，在组织竣工验收前，承包人应向发包人移交</w:t>
      </w:r>
      <w:r>
        <w:rPr>
          <w:rFonts w:hint="eastAsia" w:ascii="仿宋" w:hAnsi="仿宋" w:eastAsia="仿宋" w:cs="仿宋"/>
          <w:sz w:val="24"/>
          <w:szCs w:val="24"/>
          <w:highlight w:val="none"/>
          <w:u w:val="single"/>
        </w:rPr>
        <w:t>三</w:t>
      </w:r>
      <w:r>
        <w:rPr>
          <w:rFonts w:hint="eastAsia" w:ascii="仿宋" w:hAnsi="仿宋" w:eastAsia="仿宋" w:cs="仿宋"/>
          <w:sz w:val="24"/>
          <w:szCs w:val="24"/>
          <w:highlight w:val="none"/>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7E0EE20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74BCDDF8">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2</w:t>
      </w:r>
      <w:r>
        <w:rPr>
          <w:rFonts w:hint="eastAsia" w:ascii="仿宋" w:hAnsi="仿宋" w:eastAsia="仿宋" w:cs="仿宋"/>
          <w:sz w:val="24"/>
          <w:szCs w:val="24"/>
          <w:highlight w:val="none"/>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5B852684">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3</w:t>
      </w:r>
      <w:r>
        <w:rPr>
          <w:rFonts w:hint="eastAsia" w:ascii="仿宋" w:hAnsi="仿宋" w:eastAsia="仿宋" w:cs="仿宋"/>
          <w:sz w:val="24"/>
          <w:szCs w:val="24"/>
          <w:highlight w:val="none"/>
        </w:rPr>
        <w:t>承包人应在竣工验收合格后</w:t>
      </w:r>
      <w:r>
        <w:rPr>
          <w:rFonts w:hint="eastAsia" w:ascii="仿宋" w:hAnsi="仿宋" w:eastAsia="仿宋" w:cs="仿宋"/>
          <w:sz w:val="24"/>
          <w:szCs w:val="24"/>
          <w:highlight w:val="none"/>
          <w:u w:val="single"/>
        </w:rPr>
        <w:t xml:space="preserve"> 7 </w:t>
      </w:r>
      <w:r>
        <w:rPr>
          <w:rFonts w:hint="eastAsia" w:ascii="仿宋" w:hAnsi="仿宋" w:eastAsia="仿宋" w:cs="仿宋"/>
          <w:sz w:val="24"/>
          <w:szCs w:val="24"/>
          <w:highlight w:val="none"/>
        </w:rPr>
        <w:t>日内完成以下工作：</w:t>
      </w:r>
    </w:p>
    <w:p w14:paraId="60CA6B83">
      <w:pPr>
        <w:tabs>
          <w:tab w:val="left" w:pos="720"/>
          <w:tab w:val="left" w:pos="1260"/>
        </w:tabs>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w:t>
      </w:r>
    </w:p>
    <w:p w14:paraId="0BCA1ED4">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4</w:t>
      </w:r>
      <w:r>
        <w:rPr>
          <w:rFonts w:hint="eastAsia" w:ascii="仿宋" w:hAnsi="仿宋" w:eastAsia="仿宋" w:cs="仿宋"/>
          <w:sz w:val="24"/>
          <w:szCs w:val="24"/>
          <w:highlight w:val="none"/>
        </w:rPr>
        <w:t>工程在未移交发包人之前，承包人应负责已完工程的成品保护工作，保护期间发生损坏、失窃，承包人自费予以修复。如发包人提前使用，因使用损坏发生的修理费用由发包人承担。</w:t>
      </w:r>
    </w:p>
    <w:p w14:paraId="4D3DAB44">
      <w:pPr>
        <w:pStyle w:val="5"/>
        <w:adjustRightInd w:val="0"/>
        <w:snapToGrid w:val="0"/>
        <w:spacing w:before="120" w:after="120" w:line="520" w:lineRule="exact"/>
        <w:rPr>
          <w:rFonts w:ascii="仿宋" w:hAnsi="仿宋" w:eastAsia="仿宋" w:cs="仿宋"/>
          <w:sz w:val="24"/>
          <w:szCs w:val="24"/>
          <w:highlight w:val="none"/>
        </w:rPr>
      </w:pPr>
      <w:bookmarkStart w:id="48" w:name="_第十一条_工程结算"/>
      <w:bookmarkEnd w:id="48"/>
      <w:r>
        <w:rPr>
          <w:rFonts w:hint="eastAsia" w:ascii="仿宋" w:hAnsi="仿宋" w:eastAsia="仿宋" w:cs="仿宋"/>
          <w:sz w:val="24"/>
          <w:szCs w:val="24"/>
          <w:highlight w:val="none"/>
        </w:rPr>
        <w:t>七、质量保修</w:t>
      </w:r>
    </w:p>
    <w:p w14:paraId="57A3E975">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7.1本合同工程质量保修期：建设工程的保修期</w:t>
      </w:r>
      <w:r>
        <w:rPr>
          <w:rFonts w:hint="eastAsia" w:ascii="仿宋" w:hAnsi="仿宋" w:eastAsia="仿宋" w:cs="仿宋"/>
          <w:sz w:val="24"/>
          <w:szCs w:val="24"/>
          <w:highlight w:val="none"/>
          <w:u w:val="single"/>
        </w:rPr>
        <w:t>自工程竣工验收合格之日起计算</w:t>
      </w:r>
      <w:r>
        <w:rPr>
          <w:rFonts w:hint="eastAsia" w:ascii="仿宋" w:hAnsi="仿宋" w:eastAsia="仿宋" w:cs="仿宋"/>
          <w:sz w:val="24"/>
          <w:szCs w:val="24"/>
          <w:highlight w:val="none"/>
        </w:rPr>
        <w:t>，详见本合同附件1《工程质量保修书》。</w:t>
      </w:r>
    </w:p>
    <w:p w14:paraId="0A591C5C">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7.2在保修期内出现</w:t>
      </w:r>
      <w:r>
        <w:rPr>
          <w:rFonts w:hint="eastAsia" w:ascii="仿宋" w:hAnsi="仿宋" w:eastAsia="仿宋" w:cs="仿宋"/>
          <w:i/>
          <w:iCs/>
          <w:sz w:val="24"/>
          <w:szCs w:val="24"/>
          <w:highlight w:val="none"/>
          <w:u w:val="single"/>
        </w:rPr>
        <w:t xml:space="preserve"> 防水 </w:t>
      </w:r>
      <w:r>
        <w:rPr>
          <w:rFonts w:hint="eastAsia" w:ascii="仿宋" w:hAnsi="仿宋" w:eastAsia="仿宋" w:cs="仿宋"/>
          <w:sz w:val="24"/>
          <w:szCs w:val="24"/>
          <w:highlight w:val="none"/>
        </w:rPr>
        <w:t>质量问题经修复完成后，相应保修期重新计算。</w:t>
      </w:r>
    </w:p>
    <w:p w14:paraId="2DAD0B6A">
      <w:pPr>
        <w:pStyle w:val="5"/>
        <w:adjustRightInd w:val="0"/>
        <w:snapToGrid w:val="0"/>
        <w:spacing w:before="120" w:after="120" w:line="520" w:lineRule="exact"/>
        <w:rPr>
          <w:rFonts w:ascii="仿宋" w:hAnsi="仿宋" w:eastAsia="仿宋" w:cs="仿宋"/>
          <w:sz w:val="24"/>
          <w:szCs w:val="24"/>
          <w:highlight w:val="none"/>
        </w:rPr>
      </w:pPr>
      <w:r>
        <w:rPr>
          <w:rFonts w:hint="eastAsia" w:ascii="仿宋" w:hAnsi="仿宋" w:eastAsia="仿宋" w:cs="仿宋"/>
          <w:sz w:val="24"/>
          <w:szCs w:val="24"/>
          <w:highlight w:val="none"/>
        </w:rPr>
        <w:t>八、违约责任</w:t>
      </w:r>
    </w:p>
    <w:p w14:paraId="54943A63">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8</w:t>
      </w:r>
      <w:r>
        <w:rPr>
          <w:rFonts w:ascii="仿宋" w:hAnsi="仿宋" w:eastAsia="仿宋" w:cs="仿宋"/>
          <w:sz w:val="24"/>
          <w:szCs w:val="24"/>
          <w:highlight w:val="none"/>
        </w:rPr>
        <w:t>.1</w:t>
      </w:r>
      <w:r>
        <w:rPr>
          <w:rFonts w:hint="eastAsia" w:ascii="仿宋" w:hAnsi="仿宋" w:eastAsia="仿宋" w:cs="仿宋"/>
          <w:sz w:val="24"/>
          <w:szCs w:val="24"/>
          <w:highlight w:val="none"/>
        </w:rPr>
        <w:t>承包人在履行合同过程中，不能满足发包人施工进度和质量、安全文明要求的以及承包人项目经理、主要管理人员不能现场履职的，承包人应向发包人支付5000-100000元/次作为赔偿金；如发生承包人及/或实际施工人存在无相关许可资质、借用或冒用他人的资质、印章等严重情节（具体以发包人认定为准）的，发包人有权解除合同，同时承包人按合同最终结算价的10％支付违约金，没有合同最终结算价的，按合同暂定价的10％计算，发包人有权保留进一步索赔的权利。</w:t>
      </w:r>
    </w:p>
    <w:p w14:paraId="124D849A">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8.2工程量签证现场草签结束后3日内，施工单位汇总统计草签单中的工程量或发生的人工、机械设备台班数量，填写《现场签证单》。签证签批办理最长不超过28日。若超出28日，每超期一天施工单位承担签证单工程量5‰/天/项的折损，直至全部折损完毕。在竣工结算审计时，按正式签证日期与草签单日期的间隔日历天数予以扣除。</w:t>
      </w:r>
    </w:p>
    <w:p w14:paraId="6E602254">
      <w:pPr>
        <w:adjustRightInd w:val="0"/>
        <w:snapToGrid w:val="0"/>
        <w:spacing w:line="520" w:lineRule="exact"/>
        <w:ind w:right="-74" w:firstLine="420" w:firstLineChars="175"/>
        <w:rPr>
          <w:rFonts w:ascii="仿宋" w:hAnsi="仿宋" w:eastAsia="仿宋" w:cs="仿宋"/>
          <w:sz w:val="24"/>
          <w:szCs w:val="24"/>
          <w:highlight w:val="none"/>
        </w:rPr>
      </w:pPr>
      <w:r>
        <w:rPr>
          <w:rFonts w:hint="eastAsia" w:ascii="仿宋" w:hAnsi="仿宋" w:eastAsia="仿宋" w:cs="仿宋"/>
          <w:sz w:val="24"/>
          <w:szCs w:val="24"/>
          <w:highlight w:val="none"/>
        </w:rPr>
        <w:t>8.3当发生新增工作内容，合同中没有价格的，承包人应最迟在28天内提报批价申请以及依据资料，承包人逾期未提报批价申请，承包人丧失主张权利，经发包人同意事后补办的，视为承包人无条件认可发包人最终审批价格，发包人亦不再受理异议。结算时批价资料无需施工方签字认可即为有效。</w:t>
      </w:r>
    </w:p>
    <w:p w14:paraId="66D64A15">
      <w:pPr>
        <w:adjustRightInd w:val="0"/>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kern w:val="0"/>
          <w:sz w:val="24"/>
          <w:szCs w:val="24"/>
          <w:highlight w:val="none"/>
        </w:rPr>
        <w:t>8.4如果承包人违反本合同约定（含附件，如有）的，除应按本合同约定赔偿损失及违约金外，还应赔偿包括但不限于发包人因此支出的或预计支付的诉讼费、保全申请费、保全保险费、鉴定费、评估费、司法审计费、拍卖费、律师费等一切费用。</w:t>
      </w:r>
    </w:p>
    <w:p w14:paraId="5BD2BC8B">
      <w:pPr>
        <w:pStyle w:val="5"/>
        <w:adjustRightInd w:val="0"/>
        <w:snapToGrid w:val="0"/>
        <w:spacing w:before="120" w:after="120" w:line="520" w:lineRule="exact"/>
        <w:rPr>
          <w:rFonts w:ascii="仿宋" w:hAnsi="仿宋" w:eastAsia="仿宋" w:cs="仿宋"/>
          <w:sz w:val="24"/>
          <w:szCs w:val="24"/>
          <w:highlight w:val="none"/>
        </w:rPr>
      </w:pPr>
      <w:r>
        <w:rPr>
          <w:rFonts w:hint="eastAsia" w:ascii="仿宋" w:hAnsi="仿宋" w:eastAsia="仿宋" w:cs="仿宋"/>
          <w:sz w:val="24"/>
          <w:szCs w:val="24"/>
          <w:highlight w:val="none"/>
        </w:rPr>
        <w:t>九、争议解决</w:t>
      </w:r>
    </w:p>
    <w:p w14:paraId="5415693F">
      <w:pPr>
        <w:adjustRightInd w:val="0"/>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kern w:val="0"/>
          <w:sz w:val="24"/>
          <w:szCs w:val="24"/>
          <w:highlight w:val="none"/>
        </w:rPr>
        <w:t>9.1本合同有效期内发生纠纷，由双方协商解决。如协商不成，</w:t>
      </w:r>
      <w:r>
        <w:rPr>
          <w:rFonts w:hint="eastAsia" w:ascii="仿宋" w:hAnsi="仿宋" w:eastAsia="仿宋" w:cs="仿宋"/>
          <w:sz w:val="24"/>
          <w:szCs w:val="24"/>
          <w:highlight w:val="none"/>
        </w:rPr>
        <w:t>双方同意依法向</w:t>
      </w:r>
      <w:r>
        <w:rPr>
          <w:rFonts w:hint="eastAsia" w:ascii="仿宋" w:hAnsi="仿宋" w:eastAsia="仿宋" w:cs="仿宋"/>
          <w:i/>
          <w:iCs/>
          <w:sz w:val="24"/>
          <w:szCs w:val="24"/>
          <w:highlight w:val="none"/>
          <w:u w:val="single"/>
        </w:rPr>
        <w:t>建设工程所在地有管辖权的人民法院起诉</w:t>
      </w:r>
      <w:r>
        <w:rPr>
          <w:rFonts w:hint="eastAsia" w:ascii="仿宋" w:hAnsi="仿宋" w:eastAsia="仿宋" w:cs="仿宋"/>
          <w:sz w:val="24"/>
          <w:szCs w:val="24"/>
          <w:highlight w:val="none"/>
        </w:rPr>
        <w:t>解决。</w:t>
      </w:r>
    </w:p>
    <w:p w14:paraId="16D1F869">
      <w:pPr>
        <w:pStyle w:val="5"/>
        <w:adjustRightInd w:val="0"/>
        <w:snapToGrid w:val="0"/>
        <w:spacing w:before="120" w:after="120" w:line="520" w:lineRule="exact"/>
        <w:rPr>
          <w:rFonts w:ascii="仿宋" w:hAnsi="仿宋" w:eastAsia="仿宋" w:cs="仿宋"/>
          <w:sz w:val="24"/>
          <w:szCs w:val="24"/>
          <w:highlight w:val="none"/>
        </w:rPr>
      </w:pPr>
      <w:r>
        <w:rPr>
          <w:rFonts w:hint="eastAsia" w:ascii="仿宋" w:hAnsi="仿宋" w:eastAsia="仿宋" w:cs="仿宋"/>
          <w:sz w:val="24"/>
          <w:szCs w:val="24"/>
          <w:highlight w:val="none"/>
        </w:rPr>
        <w:t>十、附则</w:t>
      </w:r>
      <w:r>
        <w:rPr>
          <w:rFonts w:hint="eastAsia" w:ascii="仿宋" w:hAnsi="仿宋" w:eastAsia="仿宋" w:cs="仿宋"/>
          <w:b w:val="0"/>
          <w:bCs w:val="0"/>
          <w:i/>
          <w:iCs/>
          <w:sz w:val="24"/>
          <w:szCs w:val="24"/>
          <w:highlight w:val="none"/>
        </w:rPr>
        <w:t>（说明：根据工程实际情况，在前述条款未涉及的内容可在此进行补充）</w:t>
      </w:r>
    </w:p>
    <w:p w14:paraId="0BA65C70">
      <w:pPr>
        <w:adjustRightInd w:val="0"/>
        <w:snapToGrid w:val="0"/>
        <w:spacing w:line="360" w:lineRule="auto"/>
        <w:ind w:firstLine="480" w:firstLineChars="200"/>
        <w:rPr>
          <w:rFonts w:ascii="仿宋" w:hAnsi="仿宋" w:eastAsia="仿宋" w:cs="仿宋"/>
          <w:sz w:val="24"/>
          <w:szCs w:val="24"/>
          <w:highlight w:val="none"/>
          <w:u w:val="single"/>
        </w:rPr>
      </w:pPr>
      <w:r>
        <w:rPr>
          <w:rFonts w:hint="eastAsia" w:ascii="仿宋" w:hAnsi="仿宋" w:eastAsia="仿宋" w:cs="仿宋"/>
          <w:sz w:val="24"/>
          <w:szCs w:val="24"/>
          <w:highlight w:val="none"/>
        </w:rPr>
        <w:t>10.1发包人代表为</w:t>
      </w:r>
      <w:r>
        <w:rPr>
          <w:rFonts w:hint="eastAsia" w:ascii="仿宋" w:hAnsi="仿宋" w:eastAsia="仿宋" w:cs="仿宋"/>
          <w:sz w:val="24"/>
          <w:szCs w:val="24"/>
          <w:highlight w:val="none"/>
          <w:u w:val="single"/>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rPr>
        <w:t>；</w:t>
      </w:r>
    </w:p>
    <w:p w14:paraId="28B4CC80">
      <w:pPr>
        <w:adjustRightInd w:val="0"/>
        <w:snapToGrid w:val="0"/>
        <w:spacing w:line="360" w:lineRule="auto"/>
        <w:ind w:firstLine="960" w:firstLineChars="400"/>
        <w:rPr>
          <w:rFonts w:ascii="仿宋" w:hAnsi="仿宋" w:eastAsia="仿宋" w:cs="仿宋"/>
          <w:sz w:val="24"/>
          <w:szCs w:val="24"/>
          <w:highlight w:val="none"/>
          <w:u w:val="single"/>
        </w:rPr>
      </w:pPr>
      <w:r>
        <w:rPr>
          <w:rFonts w:hint="eastAsia" w:ascii="仿宋" w:hAnsi="仿宋" w:eastAsia="仿宋" w:cs="仿宋"/>
          <w:sz w:val="24"/>
          <w:szCs w:val="24"/>
          <w:highlight w:val="none"/>
        </w:rPr>
        <w:t>承包人代表为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rPr>
        <w:t>：         ；</w:t>
      </w:r>
      <w:r>
        <w:rPr>
          <w:rFonts w:hint="eastAsia" w:ascii="仿宋" w:hAnsi="仿宋" w:eastAsia="仿宋" w:cs="仿宋"/>
          <w:sz w:val="24"/>
          <w:szCs w:val="24"/>
          <w:highlight w:val="none"/>
        </w:rPr>
        <w:t>执业证书号：</w:t>
      </w:r>
      <w:r>
        <w:rPr>
          <w:rFonts w:hint="eastAsia" w:ascii="仿宋" w:hAnsi="仿宋" w:eastAsia="仿宋" w:cs="仿宋"/>
          <w:sz w:val="24"/>
          <w:szCs w:val="24"/>
          <w:highlight w:val="none"/>
          <w:u w:val="single"/>
        </w:rPr>
        <w:t xml:space="preserve">        。</w:t>
      </w:r>
    </w:p>
    <w:p w14:paraId="5E1D2D8E">
      <w:pPr>
        <w:adjustRightInd w:val="0"/>
        <w:snapToGrid w:val="0"/>
        <w:spacing w:line="360" w:lineRule="auto"/>
        <w:ind w:firstLine="960" w:firstLineChars="400"/>
        <w:rPr>
          <w:rFonts w:ascii="仿宋" w:hAnsi="仿宋" w:eastAsia="仿宋" w:cs="仿宋"/>
          <w:sz w:val="24"/>
          <w:szCs w:val="24"/>
          <w:highlight w:val="none"/>
        </w:rPr>
      </w:pPr>
      <w:r>
        <w:rPr>
          <w:rFonts w:hint="eastAsia" w:ascii="仿宋" w:hAnsi="仿宋" w:eastAsia="仿宋" w:cs="仿宋"/>
          <w:sz w:val="24"/>
          <w:szCs w:val="24"/>
          <w:highlight w:val="none"/>
        </w:rPr>
        <w:t>监理人代表为</w:t>
      </w:r>
      <w:r>
        <w:rPr>
          <w:rFonts w:hint="eastAsia" w:ascii="仿宋" w:hAnsi="仿宋" w:eastAsia="仿宋" w:cs="仿宋"/>
          <w:sz w:val="24"/>
          <w:szCs w:val="24"/>
          <w:highlight w:val="none"/>
          <w:u w:val="single"/>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462271E3">
      <w:pPr>
        <w:pStyle w:val="1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10.2其他补充说明</w:t>
      </w:r>
      <w:r>
        <w:rPr>
          <w:rFonts w:hint="eastAsia" w:ascii="仿宋" w:hAnsi="仿宋" w:eastAsia="仿宋" w:cs="仿宋"/>
          <w:i/>
          <w:iCs/>
          <w:sz w:val="24"/>
          <w:szCs w:val="24"/>
          <w:highlight w:val="none"/>
          <w:u w:val="single"/>
        </w:rPr>
        <w:t>（说明：根据招标文件要求补充）</w:t>
      </w:r>
    </w:p>
    <w:p w14:paraId="1568D99E">
      <w:pPr>
        <w:pStyle w:val="10"/>
        <w:numPr>
          <w:ilvl w:val="0"/>
          <w:numId w:val="4"/>
        </w:num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施工区、生活区水电费按表计量缴费，发生费用由承包人承担。</w:t>
      </w:r>
    </w:p>
    <w:p w14:paraId="6DB113D8">
      <w:pPr>
        <w:pStyle w:val="10"/>
        <w:numPr>
          <w:ilvl w:val="0"/>
          <w:numId w:val="4"/>
        </w:num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3069EDA7">
      <w:pPr>
        <w:pStyle w:val="10"/>
        <w:numPr>
          <w:ilvl w:val="0"/>
          <w:numId w:val="4"/>
        </w:numPr>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承包人应做好疫情防控工作，服从项目属地政府有关部门的管理要求，积极配合做好开工复工手续，</w:t>
      </w:r>
      <w:r>
        <w:rPr>
          <w:rFonts w:hint="eastAsia" w:ascii="仿宋" w:hAnsi="仿宋" w:eastAsia="仿宋" w:cs="仿宋"/>
          <w:sz w:val="24"/>
          <w:szCs w:val="24"/>
          <w:highlight w:val="none"/>
        </w:rPr>
        <w:t>施工现场疫情防控工作由施工总承包人统筹管理。防疫各项费用包含自合同签约价中，不另行计取。</w:t>
      </w:r>
    </w:p>
    <w:p w14:paraId="09D4AB9A">
      <w:pPr>
        <w:pStyle w:val="10"/>
        <w:numPr>
          <w:ilvl w:val="0"/>
          <w:numId w:val="4"/>
        </w:numPr>
        <w:spacing w:line="360" w:lineRule="auto"/>
        <w:ind w:firstLine="480" w:firstLineChars="200"/>
        <w:rPr>
          <w:rFonts w:ascii="仿宋" w:hAnsi="仿宋" w:eastAsia="仿宋" w:cs="仿宋"/>
          <w:color w:val="000000" w:themeColor="text1"/>
          <w:sz w:val="30"/>
          <w:szCs w:val="32"/>
          <w:highlight w:val="none"/>
          <w14:textFill>
            <w14:solidFill>
              <w14:schemeClr w14:val="tx1"/>
            </w14:solidFill>
          </w14:textFill>
        </w:rPr>
      </w:pPr>
      <w:bookmarkStart w:id="49" w:name="_Hlk159227912"/>
      <w:r>
        <w:rPr>
          <w:rFonts w:hint="eastAsia" w:ascii="仿宋" w:hAnsi="仿宋" w:eastAsia="仿宋" w:cs="仿宋"/>
          <w:sz w:val="24"/>
          <w:szCs w:val="24"/>
          <w:highlight w:val="none"/>
        </w:rPr>
        <w:t>工程结算审计，由发包人委托造价咨询单位审计或自行审计。（4</w:t>
      </w:r>
      <w:r>
        <w:rPr>
          <w:rFonts w:ascii="仿宋" w:hAnsi="仿宋" w:eastAsia="仿宋" w:cs="仿宋"/>
          <w:sz w:val="24"/>
          <w:szCs w:val="24"/>
          <w:highlight w:val="none"/>
        </w:rPr>
        <w:t>.1</w:t>
      </w:r>
      <w:r>
        <w:rPr>
          <w:rFonts w:hint="eastAsia" w:ascii="仿宋" w:hAnsi="仿宋" w:eastAsia="仿宋" w:cs="仿宋"/>
          <w:sz w:val="24"/>
          <w:szCs w:val="24"/>
          <w:highlight w:val="none"/>
        </w:rPr>
        <w:t>）</w:t>
      </w:r>
      <w:bookmarkEnd w:id="49"/>
      <w:r>
        <w:rPr>
          <w:rFonts w:hint="eastAsia" w:ascii="仿宋" w:hAnsi="仿宋" w:eastAsia="仿宋" w:cs="仿宋"/>
          <w:sz w:val="24"/>
          <w:szCs w:val="24"/>
          <w:highlight w:val="none"/>
        </w:rPr>
        <w:t>初审审计：结算审计费=基本审计费+效益审计费，其中：基本审计费1000元，效益审计费根据工程项目审减额参考鲁价费发【2007】205号文收费标准执行，对结算审减额超过5%部分，按5%计取审计费，以上费用均由承包人支付。审计费由承包人直接缴纳或者由发包人在工程款中代扣代缴。（</w:t>
      </w:r>
      <w:r>
        <w:rPr>
          <w:rFonts w:ascii="仿宋" w:hAnsi="仿宋" w:eastAsia="仿宋" w:cs="仿宋"/>
          <w:sz w:val="24"/>
          <w:szCs w:val="24"/>
          <w:highlight w:val="none"/>
        </w:rPr>
        <w:t>4</w:t>
      </w:r>
      <w:r>
        <w:rPr>
          <w:rFonts w:hint="eastAsia" w:ascii="仿宋" w:hAnsi="仿宋" w:eastAsia="仿宋" w:cs="仿宋"/>
          <w:sz w:val="24"/>
          <w:szCs w:val="24"/>
          <w:highlight w:val="none"/>
        </w:rPr>
        <w:t>.2）复审审计：结算审计费根据工程项目审减额参考鲁价费发【2007】205号文收费标准执行，结算审减额按5%计取审计费，由承包人支付。审计费由承包人直接缴纳或者由发包人在工程款中代扣代缴。</w:t>
      </w:r>
    </w:p>
    <w:p w14:paraId="7CC1C01A">
      <w:pPr>
        <w:pStyle w:val="10"/>
        <w:numPr>
          <w:ilvl w:val="0"/>
          <w:numId w:val="4"/>
        </w:num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项目描述及工作内容相同的清单子项综合单价必须相同，若有不同报价，结算时发包人有权按照较低报价确定该子项的综合单价。</w:t>
      </w:r>
    </w:p>
    <w:p w14:paraId="0E03C019">
      <w:pPr>
        <w:pStyle w:val="5"/>
        <w:adjustRightInd w:val="0"/>
        <w:snapToGrid w:val="0"/>
        <w:spacing w:before="120" w:after="120" w:line="520" w:lineRule="exact"/>
        <w:rPr>
          <w:rFonts w:ascii="仿宋" w:hAnsi="仿宋" w:eastAsia="仿宋" w:cs="仿宋"/>
          <w:sz w:val="24"/>
          <w:szCs w:val="24"/>
          <w:highlight w:val="none"/>
        </w:rPr>
      </w:pPr>
      <w:r>
        <w:rPr>
          <w:rFonts w:hint="eastAsia" w:ascii="仿宋" w:hAnsi="仿宋" w:eastAsia="仿宋" w:cs="仿宋"/>
          <w:sz w:val="24"/>
          <w:szCs w:val="24"/>
          <w:highlight w:val="none"/>
        </w:rPr>
        <w:t>十一、合同生效</w:t>
      </w:r>
    </w:p>
    <w:p w14:paraId="393B9627">
      <w:pPr>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11.1本合同签订地点：_</w:t>
      </w:r>
      <w:r>
        <w:rPr>
          <w:rFonts w:hint="eastAsia" w:ascii="仿宋" w:hAnsi="仿宋" w:eastAsia="仿宋" w:cs="仿宋"/>
          <w:bCs/>
          <w:i/>
          <w:iCs/>
          <w:sz w:val="24"/>
          <w:szCs w:val="24"/>
          <w:highlight w:val="none"/>
          <w:u w:val="single"/>
        </w:rPr>
        <w:t>山东省济南市</w:t>
      </w:r>
      <w:r>
        <w:rPr>
          <w:rFonts w:ascii="仿宋" w:hAnsi="仿宋" w:eastAsia="仿宋" w:cs="仿宋"/>
          <w:bCs/>
          <w:sz w:val="24"/>
          <w:szCs w:val="24"/>
          <w:highlight w:val="none"/>
        </w:rPr>
        <w:t>_</w:t>
      </w:r>
      <w:r>
        <w:rPr>
          <w:rFonts w:hint="eastAsia" w:ascii="仿宋" w:hAnsi="仿宋" w:eastAsia="仿宋" w:cs="仿宋"/>
          <w:bCs/>
          <w:sz w:val="24"/>
          <w:szCs w:val="24"/>
          <w:highlight w:val="none"/>
        </w:rPr>
        <w:t>。</w:t>
      </w:r>
    </w:p>
    <w:p w14:paraId="17052FE6">
      <w:pPr>
        <w:adjustRightInd w:val="0"/>
        <w:snapToGrid w:val="0"/>
        <w:spacing w:line="360" w:lineRule="auto"/>
        <w:ind w:firstLine="480" w:firstLineChars="200"/>
        <w:rPr>
          <w:rFonts w:ascii="仿宋" w:hAnsi="仿宋" w:eastAsia="仿宋" w:cs="仿宋"/>
          <w:bCs/>
          <w:sz w:val="24"/>
          <w:szCs w:val="24"/>
          <w:highlight w:val="none"/>
          <w:u w:val="single"/>
        </w:rPr>
      </w:pPr>
      <w:r>
        <w:rPr>
          <w:rFonts w:hint="eastAsia" w:ascii="仿宋" w:hAnsi="仿宋" w:eastAsia="仿宋" w:cs="仿宋"/>
          <w:bCs/>
          <w:sz w:val="24"/>
          <w:szCs w:val="24"/>
          <w:highlight w:val="none"/>
        </w:rPr>
        <w:t>11.2本合同一式</w:t>
      </w:r>
      <w:r>
        <w:rPr>
          <w:rFonts w:hint="eastAsia" w:ascii="仿宋" w:hAnsi="仿宋" w:eastAsia="仿宋" w:cs="仿宋"/>
          <w:bCs/>
          <w:sz w:val="24"/>
          <w:szCs w:val="24"/>
          <w:highlight w:val="none"/>
          <w:u w:val="single"/>
        </w:rPr>
        <w:t xml:space="preserve"> </w:t>
      </w:r>
      <w:r>
        <w:rPr>
          <w:rFonts w:hint="eastAsia" w:ascii="仿宋" w:hAnsi="仿宋" w:eastAsia="仿宋" w:cs="仿宋"/>
          <w:bCs/>
          <w:i/>
          <w:iCs/>
          <w:sz w:val="24"/>
          <w:szCs w:val="24"/>
          <w:highlight w:val="none"/>
          <w:u w:val="single"/>
        </w:rPr>
        <w:t xml:space="preserve">陆 </w:t>
      </w:r>
      <w:r>
        <w:rPr>
          <w:rFonts w:hint="eastAsia" w:ascii="仿宋" w:hAnsi="仿宋" w:eastAsia="仿宋" w:cs="仿宋"/>
          <w:bCs/>
          <w:sz w:val="24"/>
          <w:szCs w:val="24"/>
          <w:highlight w:val="none"/>
        </w:rPr>
        <w:t>份，均具有同等法律效力，发包人</w:t>
      </w:r>
      <w:r>
        <w:rPr>
          <w:rFonts w:hint="eastAsia" w:ascii="仿宋" w:hAnsi="仿宋" w:eastAsia="仿宋" w:cs="仿宋"/>
          <w:bCs/>
          <w:i/>
          <w:iCs/>
          <w:sz w:val="24"/>
          <w:szCs w:val="24"/>
          <w:highlight w:val="none"/>
          <w:u w:val="single"/>
        </w:rPr>
        <w:t xml:space="preserve"> 肆 </w:t>
      </w:r>
      <w:r>
        <w:rPr>
          <w:rFonts w:hint="eastAsia" w:ascii="仿宋" w:hAnsi="仿宋" w:eastAsia="仿宋" w:cs="仿宋"/>
          <w:bCs/>
          <w:sz w:val="24"/>
          <w:szCs w:val="24"/>
          <w:highlight w:val="none"/>
        </w:rPr>
        <w:t>份，承包人</w:t>
      </w:r>
      <w:r>
        <w:rPr>
          <w:rFonts w:hint="eastAsia" w:ascii="仿宋" w:hAnsi="仿宋" w:eastAsia="仿宋" w:cs="仿宋"/>
          <w:bCs/>
          <w:sz w:val="24"/>
          <w:szCs w:val="24"/>
          <w:highlight w:val="none"/>
          <w:u w:val="single"/>
        </w:rPr>
        <w:t xml:space="preserve"> </w:t>
      </w:r>
      <w:r>
        <w:rPr>
          <w:rFonts w:hint="eastAsia" w:ascii="仿宋" w:hAnsi="仿宋" w:eastAsia="仿宋" w:cs="仿宋"/>
          <w:bCs/>
          <w:i/>
          <w:iCs/>
          <w:sz w:val="24"/>
          <w:szCs w:val="24"/>
          <w:highlight w:val="none"/>
          <w:u w:val="single"/>
        </w:rPr>
        <w:t xml:space="preserve">贰 </w:t>
      </w:r>
      <w:r>
        <w:rPr>
          <w:rFonts w:hint="eastAsia" w:ascii="仿宋" w:hAnsi="仿宋" w:eastAsia="仿宋" w:cs="仿宋"/>
          <w:bCs/>
          <w:sz w:val="24"/>
          <w:szCs w:val="24"/>
          <w:highlight w:val="none"/>
        </w:rPr>
        <w:t>份。</w:t>
      </w:r>
    </w:p>
    <w:p w14:paraId="459D62C6">
      <w:pPr>
        <w:adjustRightInd w:val="0"/>
        <w:snapToGrid w:val="0"/>
        <w:spacing w:line="360" w:lineRule="auto"/>
        <w:ind w:firstLine="480" w:firstLineChars="200"/>
        <w:rPr>
          <w:rFonts w:ascii="仿宋" w:hAnsi="仿宋" w:eastAsia="仿宋" w:cs="仿宋"/>
          <w:bCs/>
          <w:sz w:val="24"/>
          <w:szCs w:val="24"/>
          <w:highlight w:val="none"/>
        </w:rPr>
      </w:pPr>
      <w:r>
        <w:rPr>
          <w:rFonts w:hint="eastAsia" w:ascii="仿宋" w:hAnsi="仿宋" w:eastAsia="仿宋" w:cs="仿宋"/>
          <w:bCs/>
          <w:sz w:val="24"/>
          <w:szCs w:val="24"/>
          <w:highlight w:val="none"/>
        </w:rPr>
        <w:t>11.3本合同自</w:t>
      </w:r>
      <w:r>
        <w:rPr>
          <w:rFonts w:ascii="仿宋" w:hAnsi="仿宋" w:eastAsia="仿宋" w:cs="仿宋"/>
          <w:bCs/>
          <w:sz w:val="24"/>
          <w:szCs w:val="24"/>
          <w:highlight w:val="none"/>
        </w:rPr>
        <w:t>双方授权代表签署并加盖公章</w:t>
      </w:r>
      <w:r>
        <w:rPr>
          <w:rFonts w:hint="eastAsia" w:ascii="仿宋" w:hAnsi="仿宋" w:eastAsia="仿宋" w:cs="仿宋"/>
          <w:bCs/>
          <w:sz w:val="24"/>
          <w:szCs w:val="24"/>
          <w:highlight w:val="none"/>
        </w:rPr>
        <w:t>或者合同专用章之日起生效。合同附件作为合同不可分割的一部分，具有同等法律效力。</w:t>
      </w:r>
    </w:p>
    <w:p w14:paraId="6A3D4895">
      <w:pPr>
        <w:adjustRightInd w:val="0"/>
        <w:snapToGrid w:val="0"/>
        <w:spacing w:line="520" w:lineRule="exact"/>
        <w:ind w:firstLine="482" w:firstLineChars="200"/>
        <w:rPr>
          <w:rFonts w:ascii="仿宋" w:hAnsi="仿宋" w:eastAsia="仿宋" w:cs="仿宋"/>
          <w:b/>
          <w:bCs/>
          <w:kern w:val="0"/>
          <w:sz w:val="24"/>
          <w:szCs w:val="24"/>
          <w:highlight w:val="none"/>
        </w:rPr>
      </w:pPr>
      <w:r>
        <w:rPr>
          <w:rFonts w:ascii="仿宋" w:hAnsi="仿宋" w:eastAsia="仿宋" w:cs="仿宋"/>
          <w:b/>
          <w:bCs/>
          <w:kern w:val="0"/>
          <w:sz w:val="24"/>
          <w:szCs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hint="eastAsia" w:ascii="仿宋" w:hAnsi="仿宋" w:eastAsia="仿宋" w:cs="仿宋"/>
          <w:b/>
          <w:bCs/>
          <w:kern w:val="0"/>
          <w:sz w:val="24"/>
          <w:szCs w:val="24"/>
          <w:highlight w:val="none"/>
        </w:rPr>
        <w:t>个人手写</w:t>
      </w:r>
      <w:r>
        <w:rPr>
          <w:rFonts w:ascii="仿宋" w:hAnsi="仿宋" w:eastAsia="仿宋" w:cs="仿宋"/>
          <w:b/>
          <w:bCs/>
          <w:kern w:val="0"/>
          <w:sz w:val="24"/>
          <w:szCs w:val="24"/>
          <w:highlight w:val="none"/>
        </w:rPr>
        <w:t>签名除外）</w:t>
      </w:r>
      <w:r>
        <w:rPr>
          <w:rFonts w:hint="eastAsia" w:ascii="仿宋" w:hAnsi="仿宋" w:eastAsia="仿宋" w:cs="仿宋"/>
          <w:b/>
          <w:bCs/>
          <w:kern w:val="0"/>
          <w:sz w:val="24"/>
          <w:szCs w:val="24"/>
          <w:highlight w:val="none"/>
        </w:rPr>
        <w:t>。</w:t>
      </w:r>
    </w:p>
    <w:p w14:paraId="4327AB92">
      <w:pPr>
        <w:adjustRightInd w:val="0"/>
        <w:snapToGrid w:val="0"/>
        <w:spacing w:line="520" w:lineRule="exact"/>
        <w:ind w:firstLine="482" w:firstLineChars="200"/>
        <w:rPr>
          <w:rFonts w:ascii="仿宋" w:hAnsi="仿宋" w:eastAsia="仿宋" w:cs="仿宋"/>
          <w:b/>
          <w:bCs/>
          <w:kern w:val="0"/>
          <w:sz w:val="24"/>
          <w:szCs w:val="24"/>
          <w:highlight w:val="none"/>
        </w:rPr>
      </w:pPr>
      <w:r>
        <w:rPr>
          <w:rFonts w:ascii="仿宋" w:hAnsi="仿宋" w:eastAsia="仿宋" w:cs="仿宋"/>
          <w:b/>
          <w:bCs/>
          <w:kern w:val="0"/>
          <w:sz w:val="24"/>
          <w:szCs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 w:hAnsi="仿宋" w:eastAsia="仿宋" w:cs="仿宋"/>
          <w:b/>
          <w:bCs/>
          <w:kern w:val="0"/>
          <w:sz w:val="24"/>
          <w:szCs w:val="24"/>
          <w:highlight w:val="none"/>
        </w:rPr>
        <w:t>各</w:t>
      </w:r>
      <w:r>
        <w:rPr>
          <w:rFonts w:ascii="仿宋" w:hAnsi="仿宋" w:eastAsia="仿宋" w:cs="仿宋"/>
          <w:b/>
          <w:bCs/>
          <w:kern w:val="0"/>
          <w:sz w:val="24"/>
          <w:szCs w:val="24"/>
          <w:highlight w:val="none"/>
        </w:rPr>
        <w:t>方已签署完毕。</w:t>
      </w:r>
    </w:p>
    <w:p w14:paraId="39494B6F">
      <w:pPr>
        <w:adjustRightInd w:val="0"/>
        <w:snapToGrid w:val="0"/>
        <w:spacing w:line="520" w:lineRule="exact"/>
        <w:rPr>
          <w:rFonts w:ascii="仿宋" w:hAnsi="仿宋" w:eastAsia="仿宋" w:cs="仿宋"/>
          <w:sz w:val="24"/>
          <w:szCs w:val="24"/>
          <w:highlight w:val="none"/>
        </w:rPr>
      </w:pPr>
    </w:p>
    <w:tbl>
      <w:tblPr>
        <w:tblStyle w:val="31"/>
        <w:tblW w:w="9179" w:type="dxa"/>
        <w:jc w:val="center"/>
        <w:tblLayout w:type="fixed"/>
        <w:tblCellMar>
          <w:top w:w="0" w:type="dxa"/>
          <w:left w:w="108" w:type="dxa"/>
          <w:bottom w:w="0" w:type="dxa"/>
          <w:right w:w="108" w:type="dxa"/>
        </w:tblCellMar>
      </w:tblPr>
      <w:tblGrid>
        <w:gridCol w:w="4498"/>
        <w:gridCol w:w="4681"/>
      </w:tblGrid>
      <w:tr w14:paraId="77349E4E">
        <w:tblPrEx>
          <w:tblCellMar>
            <w:top w:w="0" w:type="dxa"/>
            <w:left w:w="108" w:type="dxa"/>
            <w:bottom w:w="0" w:type="dxa"/>
            <w:right w:w="108" w:type="dxa"/>
          </w:tblCellMar>
        </w:tblPrEx>
        <w:trPr>
          <w:trHeight w:val="1245" w:hRule="exact"/>
          <w:jc w:val="center"/>
        </w:trPr>
        <w:tc>
          <w:tcPr>
            <w:tcW w:w="4498" w:type="dxa"/>
            <w:tcBorders>
              <w:top w:val="single" w:color="auto" w:sz="4" w:space="0"/>
              <w:left w:val="single" w:color="auto" w:sz="4" w:space="0"/>
              <w:bottom w:val="single" w:color="auto" w:sz="4" w:space="0"/>
              <w:right w:val="single" w:color="auto" w:sz="4" w:space="0"/>
            </w:tcBorders>
          </w:tcPr>
          <w:p w14:paraId="66B0981C">
            <w:pPr>
              <w:spacing w:line="540" w:lineRule="exact"/>
              <w:rPr>
                <w:rFonts w:ascii="仿宋" w:hAnsi="仿宋" w:eastAsia="仿宋" w:cs="仿宋"/>
                <w:bCs/>
                <w:sz w:val="24"/>
                <w:szCs w:val="24"/>
                <w:highlight w:val="none"/>
              </w:rPr>
            </w:pPr>
            <w:r>
              <w:rPr>
                <w:rFonts w:hint="eastAsia" w:ascii="仿宋" w:hAnsi="仿宋" w:eastAsia="仿宋" w:cs="仿宋"/>
                <w:sz w:val="24"/>
                <w:szCs w:val="24"/>
                <w:highlight w:val="none"/>
              </w:rPr>
              <w:t>发包人</w:t>
            </w:r>
            <w:r>
              <w:rPr>
                <w:rFonts w:hint="eastAsia" w:ascii="仿宋" w:hAnsi="仿宋" w:eastAsia="仿宋" w:cs="仿宋"/>
                <w:bCs/>
                <w:sz w:val="24"/>
                <w:szCs w:val="24"/>
                <w:highlight w:val="none"/>
              </w:rPr>
              <w:t>：（签章）</w:t>
            </w:r>
          </w:p>
          <w:p w14:paraId="3C442704">
            <w:pPr>
              <w:spacing w:line="540" w:lineRule="exact"/>
              <w:rPr>
                <w:rFonts w:ascii="仿宋" w:hAnsi="仿宋" w:eastAsia="仿宋" w:cs="仿宋"/>
                <w:sz w:val="24"/>
                <w:szCs w:val="24"/>
                <w:highlight w:val="none"/>
              </w:rPr>
            </w:pPr>
          </w:p>
        </w:tc>
        <w:tc>
          <w:tcPr>
            <w:tcW w:w="4681" w:type="dxa"/>
            <w:tcBorders>
              <w:top w:val="single" w:color="auto" w:sz="4" w:space="0"/>
              <w:left w:val="single" w:color="auto" w:sz="4" w:space="0"/>
              <w:bottom w:val="single" w:color="auto" w:sz="4" w:space="0"/>
              <w:right w:val="single" w:color="auto" w:sz="4" w:space="0"/>
            </w:tcBorders>
          </w:tcPr>
          <w:p w14:paraId="3DE0434B">
            <w:pPr>
              <w:spacing w:line="540" w:lineRule="exact"/>
              <w:rPr>
                <w:rFonts w:ascii="仿宋" w:hAnsi="仿宋" w:eastAsia="仿宋" w:cs="仿宋"/>
                <w:bCs/>
                <w:sz w:val="24"/>
                <w:szCs w:val="24"/>
                <w:highlight w:val="none"/>
              </w:rPr>
            </w:pPr>
            <w:r>
              <w:rPr>
                <w:rFonts w:hint="eastAsia" w:ascii="仿宋" w:hAnsi="仿宋" w:eastAsia="仿宋" w:cs="仿宋"/>
                <w:bCs/>
                <w:sz w:val="24"/>
                <w:szCs w:val="24"/>
                <w:highlight w:val="none"/>
              </w:rPr>
              <w:t>承包人：（签章）</w:t>
            </w:r>
          </w:p>
          <w:p w14:paraId="67575371">
            <w:pPr>
              <w:spacing w:line="540" w:lineRule="exact"/>
              <w:rPr>
                <w:rFonts w:ascii="仿宋" w:hAnsi="仿宋" w:eastAsia="仿宋" w:cs="仿宋"/>
                <w:bCs/>
                <w:sz w:val="24"/>
                <w:szCs w:val="24"/>
                <w:highlight w:val="none"/>
                <w:lang w:bidi="en-US"/>
              </w:rPr>
            </w:pPr>
          </w:p>
        </w:tc>
      </w:tr>
      <w:tr w14:paraId="12057829">
        <w:tblPrEx>
          <w:tblCellMar>
            <w:top w:w="0" w:type="dxa"/>
            <w:left w:w="108" w:type="dxa"/>
            <w:bottom w:w="0" w:type="dxa"/>
            <w:right w:w="108" w:type="dxa"/>
          </w:tblCellMar>
        </w:tblPrEx>
        <w:trPr>
          <w:trHeight w:val="786" w:hRule="atLeast"/>
          <w:jc w:val="center"/>
        </w:trPr>
        <w:tc>
          <w:tcPr>
            <w:tcW w:w="4498" w:type="dxa"/>
            <w:tcBorders>
              <w:top w:val="single" w:color="auto" w:sz="4" w:space="0"/>
              <w:left w:val="single" w:color="auto" w:sz="4" w:space="0"/>
              <w:bottom w:val="single" w:color="auto" w:sz="4" w:space="0"/>
              <w:right w:val="single" w:color="auto" w:sz="4" w:space="0"/>
            </w:tcBorders>
          </w:tcPr>
          <w:p w14:paraId="38D924BC">
            <w:pPr>
              <w:spacing w:before="240" w:after="160" w:line="240" w:lineRule="exact"/>
              <w:rPr>
                <w:rFonts w:ascii="仿宋" w:hAnsi="仿宋" w:eastAsia="仿宋" w:cs="仿宋"/>
                <w:sz w:val="24"/>
                <w:szCs w:val="24"/>
                <w:highlight w:val="none"/>
              </w:rPr>
            </w:pPr>
            <w:r>
              <w:rPr>
                <w:rFonts w:hint="eastAsia" w:ascii="仿宋" w:hAnsi="仿宋" w:eastAsia="仿宋" w:cs="仿宋"/>
                <w:bCs/>
                <w:sz w:val="24"/>
                <w:szCs w:val="24"/>
                <w:highlight w:val="none"/>
              </w:rPr>
              <w:t>法定代表人/委托人（签字）：</w:t>
            </w:r>
          </w:p>
        </w:tc>
        <w:tc>
          <w:tcPr>
            <w:tcW w:w="4681" w:type="dxa"/>
            <w:tcBorders>
              <w:top w:val="single" w:color="auto" w:sz="4" w:space="0"/>
              <w:left w:val="single" w:color="auto" w:sz="4" w:space="0"/>
              <w:bottom w:val="single" w:color="auto" w:sz="4" w:space="0"/>
              <w:right w:val="single" w:color="auto" w:sz="4" w:space="0"/>
            </w:tcBorders>
          </w:tcPr>
          <w:p w14:paraId="46B5D980">
            <w:pPr>
              <w:spacing w:before="240" w:after="160" w:line="240" w:lineRule="exact"/>
              <w:rPr>
                <w:rFonts w:ascii="仿宋" w:hAnsi="仿宋" w:eastAsia="仿宋" w:cs="仿宋"/>
                <w:bCs/>
                <w:sz w:val="24"/>
                <w:szCs w:val="24"/>
                <w:highlight w:val="none"/>
                <w:lang w:bidi="en-US"/>
              </w:rPr>
            </w:pPr>
            <w:r>
              <w:rPr>
                <w:rFonts w:hint="eastAsia" w:ascii="仿宋" w:hAnsi="仿宋" w:eastAsia="仿宋" w:cs="仿宋"/>
                <w:bCs/>
                <w:sz w:val="24"/>
                <w:szCs w:val="24"/>
                <w:highlight w:val="none"/>
              </w:rPr>
              <w:t>法定代表人/委托人（签字）：</w:t>
            </w:r>
          </w:p>
        </w:tc>
      </w:tr>
      <w:tr w14:paraId="31C6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4498" w:type="dxa"/>
            <w:vAlign w:val="center"/>
          </w:tcPr>
          <w:p w14:paraId="4C526954">
            <w:pPr>
              <w:rPr>
                <w:rFonts w:ascii="仿宋" w:hAnsi="仿宋" w:eastAsia="仿宋" w:cs="仿宋"/>
                <w:sz w:val="24"/>
                <w:szCs w:val="24"/>
                <w:highlight w:val="none"/>
              </w:rPr>
            </w:pPr>
            <w:r>
              <w:rPr>
                <w:rFonts w:hint="eastAsia" w:ascii="仿宋" w:hAnsi="仿宋" w:eastAsia="仿宋" w:cs="仿宋"/>
                <w:bCs/>
                <w:sz w:val="24"/>
                <w:szCs w:val="24"/>
                <w:highlight w:val="none"/>
              </w:rPr>
              <w:t>开户银行：</w:t>
            </w:r>
          </w:p>
        </w:tc>
        <w:tc>
          <w:tcPr>
            <w:tcW w:w="4681" w:type="dxa"/>
            <w:vAlign w:val="center"/>
          </w:tcPr>
          <w:p w14:paraId="6060D9A6">
            <w:pPr>
              <w:rPr>
                <w:rFonts w:ascii="仿宋" w:hAnsi="仿宋" w:eastAsia="仿宋" w:cs="仿宋"/>
                <w:sz w:val="24"/>
                <w:szCs w:val="24"/>
                <w:highlight w:val="none"/>
              </w:rPr>
            </w:pPr>
            <w:r>
              <w:rPr>
                <w:rFonts w:hint="eastAsia" w:ascii="仿宋" w:hAnsi="仿宋" w:eastAsia="仿宋" w:cs="仿宋"/>
                <w:sz w:val="24"/>
                <w:szCs w:val="24"/>
                <w:highlight w:val="none"/>
              </w:rPr>
              <w:t>开户银行：</w:t>
            </w:r>
          </w:p>
        </w:tc>
      </w:tr>
      <w:tr w14:paraId="17E8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7E7E572B">
            <w:pPr>
              <w:rPr>
                <w:rFonts w:ascii="仿宋" w:hAnsi="仿宋" w:eastAsia="仿宋" w:cs="仿宋"/>
                <w:sz w:val="24"/>
                <w:szCs w:val="24"/>
                <w:highlight w:val="none"/>
              </w:rPr>
            </w:pPr>
            <w:r>
              <w:rPr>
                <w:rFonts w:hint="eastAsia" w:ascii="仿宋" w:hAnsi="仿宋" w:eastAsia="仿宋" w:cs="仿宋"/>
                <w:bCs/>
                <w:sz w:val="24"/>
                <w:szCs w:val="24"/>
                <w:highlight w:val="none"/>
              </w:rPr>
              <w:t>户名：</w:t>
            </w:r>
          </w:p>
        </w:tc>
        <w:tc>
          <w:tcPr>
            <w:tcW w:w="4681" w:type="dxa"/>
            <w:vAlign w:val="center"/>
          </w:tcPr>
          <w:p w14:paraId="0BC50E99">
            <w:pPr>
              <w:rPr>
                <w:rFonts w:ascii="仿宋" w:hAnsi="仿宋" w:eastAsia="仿宋" w:cs="仿宋"/>
                <w:bCs/>
                <w:sz w:val="24"/>
                <w:szCs w:val="24"/>
                <w:highlight w:val="none"/>
                <w:lang w:bidi="en-US"/>
              </w:rPr>
            </w:pPr>
            <w:r>
              <w:rPr>
                <w:rFonts w:hint="eastAsia" w:ascii="仿宋" w:hAnsi="仿宋" w:eastAsia="仿宋" w:cs="仿宋"/>
                <w:bCs/>
                <w:sz w:val="24"/>
                <w:szCs w:val="24"/>
                <w:highlight w:val="none"/>
              </w:rPr>
              <w:t>户名：</w:t>
            </w:r>
          </w:p>
        </w:tc>
      </w:tr>
      <w:tr w14:paraId="6B62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7240D6BB">
            <w:pPr>
              <w:rPr>
                <w:rFonts w:ascii="仿宋" w:hAnsi="仿宋" w:eastAsia="仿宋" w:cs="仿宋"/>
                <w:sz w:val="24"/>
                <w:szCs w:val="24"/>
                <w:highlight w:val="none"/>
              </w:rPr>
            </w:pPr>
            <w:r>
              <w:rPr>
                <w:rFonts w:hint="eastAsia" w:ascii="仿宋" w:hAnsi="仿宋" w:eastAsia="仿宋" w:cs="仿宋"/>
                <w:bCs/>
                <w:sz w:val="24"/>
                <w:szCs w:val="24"/>
                <w:highlight w:val="none"/>
              </w:rPr>
              <w:t>账号：</w:t>
            </w:r>
          </w:p>
        </w:tc>
        <w:tc>
          <w:tcPr>
            <w:tcW w:w="4681" w:type="dxa"/>
            <w:vAlign w:val="center"/>
          </w:tcPr>
          <w:p w14:paraId="03AEB53D">
            <w:pPr>
              <w:rPr>
                <w:rFonts w:ascii="仿宋" w:hAnsi="仿宋" w:eastAsia="仿宋" w:cs="仿宋"/>
                <w:bCs/>
                <w:sz w:val="24"/>
                <w:szCs w:val="24"/>
                <w:highlight w:val="none"/>
                <w:lang w:eastAsia="en-US" w:bidi="en-US"/>
              </w:rPr>
            </w:pPr>
            <w:r>
              <w:rPr>
                <w:rFonts w:hint="eastAsia" w:ascii="仿宋" w:hAnsi="仿宋" w:eastAsia="仿宋" w:cs="仿宋"/>
                <w:bCs/>
                <w:sz w:val="24"/>
                <w:szCs w:val="24"/>
                <w:highlight w:val="none"/>
              </w:rPr>
              <w:t>账号：</w:t>
            </w:r>
          </w:p>
        </w:tc>
      </w:tr>
      <w:tr w14:paraId="7667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736F3BF5">
            <w:pPr>
              <w:rPr>
                <w:rFonts w:ascii="仿宋" w:hAnsi="仿宋" w:eastAsia="仿宋" w:cs="仿宋"/>
                <w:sz w:val="24"/>
                <w:szCs w:val="24"/>
                <w:highlight w:val="none"/>
              </w:rPr>
            </w:pPr>
            <w:r>
              <w:rPr>
                <w:rFonts w:hint="eastAsia" w:ascii="仿宋" w:hAnsi="仿宋" w:eastAsia="仿宋" w:cs="仿宋"/>
                <w:bCs/>
                <w:sz w:val="24"/>
                <w:szCs w:val="24"/>
                <w:highlight w:val="none"/>
              </w:rPr>
              <w:t>纳税人识别号：</w:t>
            </w:r>
          </w:p>
        </w:tc>
        <w:tc>
          <w:tcPr>
            <w:tcW w:w="4681" w:type="dxa"/>
            <w:vAlign w:val="center"/>
          </w:tcPr>
          <w:p w14:paraId="38BF164C">
            <w:pPr>
              <w:rPr>
                <w:rFonts w:ascii="仿宋" w:hAnsi="仿宋" w:eastAsia="仿宋" w:cs="仿宋"/>
                <w:bCs/>
                <w:sz w:val="24"/>
                <w:szCs w:val="24"/>
                <w:highlight w:val="none"/>
                <w:lang w:eastAsia="en-US" w:bidi="en-US"/>
              </w:rPr>
            </w:pPr>
            <w:r>
              <w:rPr>
                <w:rFonts w:hint="eastAsia" w:ascii="仿宋" w:hAnsi="仿宋" w:eastAsia="仿宋" w:cs="仿宋"/>
                <w:bCs/>
                <w:sz w:val="24"/>
                <w:szCs w:val="24"/>
                <w:highlight w:val="none"/>
              </w:rPr>
              <w:t>纳税人识别号：</w:t>
            </w:r>
          </w:p>
        </w:tc>
      </w:tr>
      <w:tr w14:paraId="4866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379BFEBE">
            <w:pPr>
              <w:rPr>
                <w:rFonts w:ascii="仿宋" w:hAnsi="仿宋" w:eastAsia="仿宋" w:cs="仿宋"/>
                <w:sz w:val="24"/>
                <w:szCs w:val="24"/>
                <w:highlight w:val="none"/>
              </w:rPr>
            </w:pPr>
            <w:r>
              <w:rPr>
                <w:rFonts w:hint="eastAsia" w:ascii="仿宋" w:hAnsi="仿宋" w:eastAsia="仿宋" w:cs="仿宋"/>
                <w:bCs/>
                <w:sz w:val="24"/>
                <w:szCs w:val="24"/>
                <w:highlight w:val="none"/>
              </w:rPr>
              <w:t>邮编：</w:t>
            </w:r>
          </w:p>
        </w:tc>
        <w:tc>
          <w:tcPr>
            <w:tcW w:w="4681" w:type="dxa"/>
            <w:vAlign w:val="center"/>
          </w:tcPr>
          <w:p w14:paraId="23C0D79A">
            <w:pPr>
              <w:rPr>
                <w:rFonts w:ascii="仿宋" w:hAnsi="仿宋" w:eastAsia="仿宋" w:cs="仿宋"/>
                <w:bCs/>
                <w:sz w:val="24"/>
                <w:szCs w:val="24"/>
                <w:highlight w:val="none"/>
                <w:lang w:eastAsia="en-US" w:bidi="en-US"/>
              </w:rPr>
            </w:pPr>
            <w:r>
              <w:rPr>
                <w:rFonts w:hint="eastAsia" w:ascii="仿宋" w:hAnsi="仿宋" w:eastAsia="仿宋" w:cs="仿宋"/>
                <w:bCs/>
                <w:sz w:val="24"/>
                <w:szCs w:val="24"/>
                <w:highlight w:val="none"/>
              </w:rPr>
              <w:t>邮编：</w:t>
            </w:r>
          </w:p>
        </w:tc>
      </w:tr>
      <w:tr w14:paraId="182C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7A17094A">
            <w:pPr>
              <w:rPr>
                <w:rFonts w:ascii="仿宋" w:hAnsi="仿宋" w:eastAsia="仿宋" w:cs="仿宋"/>
                <w:sz w:val="24"/>
                <w:szCs w:val="24"/>
                <w:highlight w:val="none"/>
              </w:rPr>
            </w:pPr>
            <w:r>
              <w:rPr>
                <w:rFonts w:hint="eastAsia" w:ascii="仿宋" w:hAnsi="仿宋" w:eastAsia="仿宋" w:cs="仿宋"/>
                <w:bCs/>
                <w:sz w:val="24"/>
                <w:szCs w:val="24"/>
                <w:highlight w:val="none"/>
              </w:rPr>
              <w:t>电话：</w:t>
            </w:r>
          </w:p>
        </w:tc>
        <w:tc>
          <w:tcPr>
            <w:tcW w:w="4681" w:type="dxa"/>
            <w:vAlign w:val="center"/>
          </w:tcPr>
          <w:p w14:paraId="148066CE">
            <w:pPr>
              <w:rPr>
                <w:rFonts w:ascii="仿宋" w:hAnsi="仿宋" w:eastAsia="仿宋" w:cs="仿宋"/>
                <w:bCs/>
                <w:sz w:val="24"/>
                <w:szCs w:val="24"/>
                <w:highlight w:val="none"/>
                <w:lang w:eastAsia="en-US"/>
              </w:rPr>
            </w:pPr>
            <w:r>
              <w:rPr>
                <w:rFonts w:hint="eastAsia" w:ascii="仿宋" w:hAnsi="仿宋" w:eastAsia="仿宋" w:cs="仿宋"/>
                <w:bCs/>
                <w:sz w:val="24"/>
                <w:szCs w:val="24"/>
                <w:highlight w:val="none"/>
              </w:rPr>
              <w:t>电话：</w:t>
            </w:r>
          </w:p>
        </w:tc>
      </w:tr>
      <w:tr w14:paraId="1D7E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6B43FFBA">
            <w:pPr>
              <w:rPr>
                <w:rFonts w:ascii="仿宋" w:hAnsi="仿宋" w:eastAsia="仿宋" w:cs="仿宋"/>
                <w:sz w:val="24"/>
                <w:szCs w:val="24"/>
                <w:highlight w:val="none"/>
              </w:rPr>
            </w:pPr>
            <w:r>
              <w:rPr>
                <w:rFonts w:hint="eastAsia" w:ascii="仿宋" w:hAnsi="仿宋" w:eastAsia="仿宋" w:cs="仿宋"/>
                <w:bCs/>
                <w:sz w:val="24"/>
                <w:szCs w:val="24"/>
                <w:highlight w:val="none"/>
              </w:rPr>
              <w:t>传真：</w:t>
            </w:r>
          </w:p>
        </w:tc>
        <w:tc>
          <w:tcPr>
            <w:tcW w:w="4681" w:type="dxa"/>
            <w:vAlign w:val="center"/>
          </w:tcPr>
          <w:p w14:paraId="745C7007">
            <w:pPr>
              <w:rPr>
                <w:rFonts w:ascii="仿宋" w:hAnsi="仿宋" w:eastAsia="仿宋" w:cs="仿宋"/>
                <w:bCs/>
                <w:sz w:val="24"/>
                <w:szCs w:val="24"/>
                <w:highlight w:val="none"/>
                <w:lang w:eastAsia="en-US" w:bidi="en-US"/>
              </w:rPr>
            </w:pPr>
            <w:r>
              <w:rPr>
                <w:rFonts w:hint="eastAsia" w:ascii="仿宋" w:hAnsi="仿宋" w:eastAsia="仿宋" w:cs="仿宋"/>
                <w:bCs/>
                <w:sz w:val="24"/>
                <w:szCs w:val="24"/>
                <w:highlight w:val="none"/>
              </w:rPr>
              <w:t>传真：</w:t>
            </w:r>
          </w:p>
        </w:tc>
      </w:tr>
      <w:tr w14:paraId="06A1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0E00A23F">
            <w:pPr>
              <w:rPr>
                <w:rFonts w:ascii="仿宋" w:hAnsi="仿宋" w:eastAsia="仿宋" w:cs="仿宋"/>
                <w:sz w:val="24"/>
                <w:szCs w:val="24"/>
                <w:highlight w:val="none"/>
              </w:rPr>
            </w:pPr>
            <w:r>
              <w:rPr>
                <w:rFonts w:hint="eastAsia" w:ascii="仿宋" w:hAnsi="仿宋" w:eastAsia="仿宋" w:cs="仿宋"/>
                <w:bCs/>
                <w:sz w:val="24"/>
                <w:szCs w:val="24"/>
                <w:highlight w:val="none"/>
              </w:rPr>
              <w:t>邮箱：</w:t>
            </w:r>
          </w:p>
        </w:tc>
        <w:tc>
          <w:tcPr>
            <w:tcW w:w="4681" w:type="dxa"/>
            <w:vAlign w:val="center"/>
          </w:tcPr>
          <w:p w14:paraId="4251610A">
            <w:pPr>
              <w:rPr>
                <w:rFonts w:ascii="仿宋" w:hAnsi="仿宋" w:eastAsia="仿宋" w:cs="仿宋"/>
                <w:bCs/>
                <w:sz w:val="24"/>
                <w:szCs w:val="24"/>
                <w:highlight w:val="none"/>
                <w:lang w:eastAsia="en-US" w:bidi="en-US"/>
              </w:rPr>
            </w:pPr>
            <w:r>
              <w:rPr>
                <w:rFonts w:hint="eastAsia" w:ascii="仿宋" w:hAnsi="仿宋" w:eastAsia="仿宋" w:cs="仿宋"/>
                <w:bCs/>
                <w:sz w:val="24"/>
                <w:szCs w:val="24"/>
                <w:highlight w:val="none"/>
              </w:rPr>
              <w:t>邮箱：</w:t>
            </w:r>
          </w:p>
        </w:tc>
      </w:tr>
      <w:tr w14:paraId="7322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4498" w:type="dxa"/>
            <w:vAlign w:val="center"/>
          </w:tcPr>
          <w:p w14:paraId="60224BF5">
            <w:pPr>
              <w:rPr>
                <w:rFonts w:ascii="仿宋" w:hAnsi="仿宋" w:eastAsia="仿宋" w:cs="仿宋"/>
                <w:sz w:val="24"/>
                <w:szCs w:val="24"/>
                <w:highlight w:val="none"/>
              </w:rPr>
            </w:pPr>
            <w:r>
              <w:rPr>
                <w:rFonts w:hint="eastAsia" w:ascii="仿宋" w:hAnsi="仿宋" w:eastAsia="仿宋" w:cs="仿宋"/>
                <w:bCs/>
                <w:sz w:val="24"/>
                <w:szCs w:val="24"/>
                <w:highlight w:val="none"/>
              </w:rPr>
              <w:t>联系人：</w:t>
            </w:r>
          </w:p>
        </w:tc>
        <w:tc>
          <w:tcPr>
            <w:tcW w:w="4681" w:type="dxa"/>
            <w:vAlign w:val="center"/>
          </w:tcPr>
          <w:p w14:paraId="479DA840">
            <w:pPr>
              <w:rPr>
                <w:rFonts w:ascii="仿宋" w:hAnsi="仿宋" w:eastAsia="仿宋" w:cs="仿宋"/>
                <w:bCs/>
                <w:sz w:val="24"/>
                <w:szCs w:val="24"/>
                <w:highlight w:val="none"/>
                <w:lang w:bidi="en-US"/>
              </w:rPr>
            </w:pPr>
            <w:r>
              <w:rPr>
                <w:rFonts w:hint="eastAsia" w:ascii="仿宋" w:hAnsi="仿宋" w:eastAsia="仿宋" w:cs="仿宋"/>
                <w:bCs/>
                <w:sz w:val="24"/>
                <w:szCs w:val="24"/>
                <w:highlight w:val="none"/>
              </w:rPr>
              <w:t>联系人：</w:t>
            </w:r>
          </w:p>
        </w:tc>
      </w:tr>
      <w:tr w14:paraId="60C5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4498" w:type="dxa"/>
            <w:vAlign w:val="center"/>
          </w:tcPr>
          <w:p w14:paraId="75D8080E">
            <w:pPr>
              <w:rPr>
                <w:rFonts w:ascii="仿宋" w:hAnsi="仿宋" w:eastAsia="仿宋" w:cs="仿宋"/>
                <w:sz w:val="24"/>
                <w:szCs w:val="24"/>
                <w:highlight w:val="none"/>
              </w:rPr>
            </w:pPr>
            <w:r>
              <w:rPr>
                <w:rFonts w:hint="eastAsia" w:ascii="仿宋" w:hAnsi="仿宋" w:eastAsia="仿宋" w:cs="仿宋"/>
                <w:bCs/>
                <w:sz w:val="24"/>
                <w:szCs w:val="24"/>
                <w:highlight w:val="none"/>
              </w:rPr>
              <w:t xml:space="preserve">地址： </w:t>
            </w:r>
          </w:p>
        </w:tc>
        <w:tc>
          <w:tcPr>
            <w:tcW w:w="4681" w:type="dxa"/>
            <w:vAlign w:val="center"/>
          </w:tcPr>
          <w:p w14:paraId="20AA0ACE">
            <w:pPr>
              <w:rPr>
                <w:rFonts w:ascii="仿宋" w:hAnsi="仿宋" w:eastAsia="仿宋" w:cs="仿宋"/>
                <w:bCs/>
                <w:sz w:val="24"/>
                <w:szCs w:val="24"/>
                <w:highlight w:val="none"/>
                <w:lang w:bidi="en-US"/>
              </w:rPr>
            </w:pPr>
            <w:r>
              <w:rPr>
                <w:rFonts w:hint="eastAsia" w:ascii="仿宋" w:hAnsi="仿宋" w:eastAsia="仿宋" w:cs="仿宋"/>
                <w:bCs/>
                <w:sz w:val="24"/>
                <w:szCs w:val="24"/>
                <w:highlight w:val="none"/>
              </w:rPr>
              <w:t>地址：</w:t>
            </w:r>
          </w:p>
        </w:tc>
      </w:tr>
      <w:tr w14:paraId="0268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4498" w:type="dxa"/>
            <w:vAlign w:val="center"/>
          </w:tcPr>
          <w:p w14:paraId="1DD4D8B3">
            <w:pPr>
              <w:rPr>
                <w:rFonts w:ascii="仿宋" w:hAnsi="仿宋" w:eastAsia="仿宋" w:cs="仿宋"/>
                <w:bCs/>
                <w:sz w:val="24"/>
                <w:szCs w:val="24"/>
                <w:highlight w:val="none"/>
              </w:rPr>
            </w:pPr>
            <w:r>
              <w:rPr>
                <w:rFonts w:hint="eastAsia" w:ascii="仿宋" w:hAnsi="仿宋" w:eastAsia="仿宋" w:cs="仿宋"/>
                <w:bCs/>
                <w:sz w:val="24"/>
                <w:szCs w:val="24"/>
                <w:highlight w:val="none"/>
              </w:rPr>
              <w:t>日期：</w:t>
            </w:r>
          </w:p>
        </w:tc>
        <w:tc>
          <w:tcPr>
            <w:tcW w:w="4681" w:type="dxa"/>
            <w:vAlign w:val="center"/>
          </w:tcPr>
          <w:p w14:paraId="63FF0728">
            <w:pPr>
              <w:rPr>
                <w:rFonts w:ascii="仿宋" w:hAnsi="仿宋" w:eastAsia="仿宋" w:cs="仿宋"/>
                <w:bCs/>
                <w:sz w:val="24"/>
                <w:szCs w:val="24"/>
                <w:highlight w:val="none"/>
              </w:rPr>
            </w:pPr>
            <w:r>
              <w:rPr>
                <w:rFonts w:hint="eastAsia" w:ascii="仿宋" w:hAnsi="仿宋" w:eastAsia="仿宋" w:cs="仿宋"/>
                <w:bCs/>
                <w:sz w:val="24"/>
                <w:szCs w:val="24"/>
                <w:highlight w:val="none"/>
              </w:rPr>
              <w:t>日期：</w:t>
            </w:r>
          </w:p>
        </w:tc>
      </w:tr>
    </w:tbl>
    <w:p w14:paraId="684C8A5A">
      <w:pPr>
        <w:spacing w:line="440" w:lineRule="exact"/>
        <w:rPr>
          <w:rFonts w:ascii="仿宋" w:hAnsi="仿宋" w:eastAsia="仿宋" w:cs="仿宋"/>
          <w:sz w:val="24"/>
          <w:szCs w:val="24"/>
          <w:highlight w:val="none"/>
        </w:rPr>
      </w:pPr>
      <w:r>
        <w:rPr>
          <w:rFonts w:ascii="仿宋" w:hAnsi="仿宋" w:eastAsia="仿宋" w:cs="仿宋"/>
          <w:sz w:val="24"/>
          <w:szCs w:val="24"/>
          <w:highlight w:val="none"/>
        </w:rPr>
        <w:br w:type="page"/>
      </w:r>
    </w:p>
    <w:p w14:paraId="4D5FB583">
      <w:pPr>
        <w:spacing w:line="440" w:lineRule="exact"/>
        <w:rPr>
          <w:rFonts w:ascii="仿宋" w:hAnsi="仿宋" w:eastAsia="仿宋" w:cs="仿宋"/>
          <w:sz w:val="24"/>
          <w:szCs w:val="24"/>
          <w:highlight w:val="none"/>
        </w:rPr>
      </w:pPr>
      <w:r>
        <w:rPr>
          <w:rFonts w:hint="eastAsia" w:ascii="仿宋" w:hAnsi="仿宋" w:eastAsia="仿宋" w:cs="仿宋"/>
          <w:sz w:val="24"/>
          <w:szCs w:val="24"/>
          <w:highlight w:val="none"/>
        </w:rPr>
        <w:t>附</w:t>
      </w:r>
      <w:bookmarkStart w:id="50" w:name="_Toc296891266"/>
      <w:bookmarkStart w:id="51" w:name="_Toc296347225"/>
      <w:bookmarkStart w:id="52" w:name="_Toc296891054"/>
      <w:bookmarkStart w:id="53" w:name="_Toc267261693"/>
      <w:bookmarkStart w:id="54" w:name="_Toc296346727"/>
      <w:bookmarkStart w:id="55" w:name="_Toc296503226"/>
      <w:bookmarkStart w:id="56" w:name="_Toc296944565"/>
      <w:r>
        <w:rPr>
          <w:rFonts w:hint="eastAsia" w:ascii="仿宋" w:hAnsi="仿宋" w:eastAsia="仿宋" w:cs="仿宋"/>
          <w:sz w:val="24"/>
          <w:szCs w:val="24"/>
          <w:highlight w:val="none"/>
        </w:rPr>
        <w:t>件1：</w:t>
      </w:r>
      <w:bookmarkEnd w:id="50"/>
      <w:bookmarkEnd w:id="51"/>
      <w:bookmarkEnd w:id="52"/>
      <w:bookmarkEnd w:id="53"/>
      <w:bookmarkEnd w:id="54"/>
      <w:bookmarkEnd w:id="55"/>
      <w:bookmarkEnd w:id="56"/>
    </w:p>
    <w:p w14:paraId="36E002BE">
      <w:pPr>
        <w:spacing w:before="158" w:beforeLines="50" w:after="158" w:afterLines="50" w:line="440" w:lineRule="exact"/>
        <w:jc w:val="center"/>
        <w:rPr>
          <w:rFonts w:ascii="黑体" w:hAnsi="黑体" w:eastAsia="黑体"/>
          <w:color w:val="000000" w:themeColor="text1"/>
          <w:sz w:val="28"/>
          <w:highlight w:val="none"/>
          <w14:textFill>
            <w14:solidFill>
              <w14:schemeClr w14:val="tx1"/>
            </w14:solidFill>
          </w14:textFill>
        </w:rPr>
      </w:pPr>
      <w:r>
        <w:rPr>
          <w:rFonts w:hint="eastAsia" w:ascii="黑体" w:hAnsi="黑体" w:eastAsia="黑体"/>
          <w:color w:val="000000" w:themeColor="text1"/>
          <w:sz w:val="28"/>
          <w:highlight w:val="none"/>
          <w14:textFill>
            <w14:solidFill>
              <w14:schemeClr w14:val="tx1"/>
            </w14:solidFill>
          </w14:textFill>
        </w:rPr>
        <w:t>工程质量保修书</w:t>
      </w:r>
    </w:p>
    <w:p w14:paraId="38E29296">
      <w:pPr>
        <w:spacing w:line="440" w:lineRule="exact"/>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发包人（全称）：</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 xml:space="preserve"> </w:t>
      </w:r>
    </w:p>
    <w:p w14:paraId="520B9CD2">
      <w:pPr>
        <w:spacing w:line="440" w:lineRule="exact"/>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承包人（全称）：</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 xml:space="preserve"> </w:t>
      </w:r>
    </w:p>
    <w:p w14:paraId="16F17542">
      <w:pPr>
        <w:spacing w:line="440" w:lineRule="exact"/>
        <w:rPr>
          <w:rFonts w:ascii="仿宋_GB2312" w:eastAsia="仿宋_GB2312"/>
          <w:color w:val="000000" w:themeColor="text1"/>
          <w:sz w:val="24"/>
          <w:szCs w:val="24"/>
          <w:highlight w:val="none"/>
          <w14:textFill>
            <w14:solidFill>
              <w14:schemeClr w14:val="tx1"/>
            </w14:solidFill>
          </w14:textFill>
        </w:rPr>
      </w:pPr>
    </w:p>
    <w:p w14:paraId="3326926A">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发包人和承包人根据《中华人民共和国建筑法》和《建设工程质量管理条例》，经协商一致就</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（工程全称）签订工程质量保修书。</w:t>
      </w:r>
    </w:p>
    <w:p w14:paraId="27C1D685">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一、工程质量保修范围和内容</w:t>
      </w:r>
    </w:p>
    <w:p w14:paraId="27C07D76">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承包人在质量保修期内，按照有关法律规定和合同约定，承担工程质量保修责任。</w:t>
      </w:r>
    </w:p>
    <w:p w14:paraId="32A30E64">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 xml:space="preserve">承包人承包范围以内的全部工程内容。若施工合同中有其它保修约定的按约定执行 </w:t>
      </w:r>
      <w:r>
        <w:rPr>
          <w:rFonts w:hint="eastAsia" w:ascii="仿宋_GB2312" w:eastAsia="仿宋_GB2312"/>
          <w:color w:val="000000" w:themeColor="text1"/>
          <w:sz w:val="24"/>
          <w:highlight w:val="none"/>
          <w14:textFill>
            <w14:solidFill>
              <w14:schemeClr w14:val="tx1"/>
            </w14:solidFill>
          </w14:textFill>
        </w:rPr>
        <w:t>。</w:t>
      </w:r>
    </w:p>
    <w:p w14:paraId="69339015">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二、质量保修期</w:t>
      </w:r>
    </w:p>
    <w:p w14:paraId="43F52CDD">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根据《建设工程质量管理条例》及有关规定，工程的质量保修期如下：</w:t>
      </w:r>
    </w:p>
    <w:p w14:paraId="51CB097E">
      <w:pPr>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1．地基基础工程和主体结构工程为设计文件规定的工程合理使用年限；</w:t>
      </w:r>
    </w:p>
    <w:p w14:paraId="4A451298">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2．屋面防水工程、有防水要求的卫生间、房间和外墙面的防渗为</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 xml:space="preserve">5 </w:t>
      </w:r>
      <w:r>
        <w:rPr>
          <w:rFonts w:hint="eastAsia" w:ascii="仿宋_GB2312" w:eastAsia="仿宋_GB2312"/>
          <w:color w:val="000000" w:themeColor="text1"/>
          <w:sz w:val="24"/>
          <w:highlight w:val="none"/>
          <w14:textFill>
            <w14:solidFill>
              <w14:schemeClr w14:val="tx1"/>
            </w14:solidFill>
          </w14:textFill>
        </w:rPr>
        <w:t>年；</w:t>
      </w:r>
    </w:p>
    <w:p w14:paraId="3C244A3C">
      <w:pPr>
        <w:spacing w:line="360" w:lineRule="auto"/>
        <w:ind w:left="420" w:leftChars="200" w:firstLine="120" w:firstLineChars="5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3．装修工程为</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2</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年；</w:t>
      </w:r>
    </w:p>
    <w:p w14:paraId="5B3BCC91">
      <w:pPr>
        <w:spacing w:line="360" w:lineRule="auto"/>
        <w:ind w:left="420" w:leftChars="200" w:firstLine="120" w:firstLineChars="5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4．电气管线、给排水管道、设备安装工程为</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2</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年；</w:t>
      </w:r>
    </w:p>
    <w:p w14:paraId="04F92482">
      <w:pPr>
        <w:spacing w:line="360" w:lineRule="auto"/>
        <w:ind w:left="420" w:leftChars="200" w:firstLine="120" w:firstLineChars="5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5．供热与供冷系统为</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2</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个采暖期、供冷期；</w:t>
      </w:r>
    </w:p>
    <w:p w14:paraId="2D03A6DE">
      <w:pPr>
        <w:spacing w:line="360" w:lineRule="auto"/>
        <w:ind w:left="420" w:leftChars="200" w:firstLine="120" w:firstLineChars="5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6．给排水设施、道路等配套工程为</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2</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年；</w:t>
      </w:r>
    </w:p>
    <w:p w14:paraId="48691997">
      <w:pPr>
        <w:spacing w:line="360" w:lineRule="auto"/>
        <w:ind w:left="420" w:leftChars="200" w:firstLine="120" w:firstLineChars="5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7．其他项目保修期限约定如下：</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i/>
          <w:color w:val="000000" w:themeColor="text1"/>
          <w:sz w:val="24"/>
          <w:highlight w:val="none"/>
          <w:u w:val="single"/>
          <w14:textFill>
            <w14:solidFill>
              <w14:schemeClr w14:val="tx1"/>
            </w14:solidFill>
          </w14:textFill>
        </w:rPr>
        <w:t xml:space="preserve">依据工程具体情况而定 </w:t>
      </w:r>
      <w:r>
        <w:rPr>
          <w:rFonts w:hint="eastAsia" w:ascii="仿宋_GB2312" w:eastAsia="仿宋_GB2312"/>
          <w:color w:val="000000" w:themeColor="text1"/>
          <w:sz w:val="24"/>
          <w:highlight w:val="none"/>
          <w14:textFill>
            <w14:solidFill>
              <w14:schemeClr w14:val="tx1"/>
            </w14:solidFill>
          </w14:textFill>
        </w:rPr>
        <w:t>。</w:t>
      </w:r>
    </w:p>
    <w:p w14:paraId="0348DFD6">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质量保修期自工程竣工验收合格之日起计算。在保修期内出现</w:t>
      </w:r>
      <w:r>
        <w:rPr>
          <w:rFonts w:hint="eastAsia" w:ascii="仿宋_GB2312" w:eastAsia="仿宋_GB2312"/>
          <w:i/>
          <w:color w:val="000000" w:themeColor="text1"/>
          <w:sz w:val="24"/>
          <w:highlight w:val="none"/>
          <w:u w:val="single"/>
          <w14:textFill>
            <w14:solidFill>
              <w14:schemeClr w14:val="tx1"/>
            </w14:solidFill>
          </w14:textFill>
        </w:rPr>
        <w:t xml:space="preserve"> 防水 </w:t>
      </w:r>
      <w:r>
        <w:rPr>
          <w:rFonts w:hint="eastAsia" w:ascii="仿宋_GB2312" w:eastAsia="仿宋_GB2312"/>
          <w:color w:val="000000" w:themeColor="text1"/>
          <w:sz w:val="24"/>
          <w:highlight w:val="none"/>
          <w14:textFill>
            <w14:solidFill>
              <w14:schemeClr w14:val="tx1"/>
            </w14:solidFill>
          </w14:textFill>
        </w:rPr>
        <w:t>质量问题经修复完成后，相应保修期重新计算。</w:t>
      </w:r>
    </w:p>
    <w:p w14:paraId="6C129C10">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三、质量保修责任</w:t>
      </w:r>
    </w:p>
    <w:p w14:paraId="287F50B3">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1．属于保修范围、内容的项目，承包人应当在接到保修通知之日起24小时内派人保修。承包人不在约定期限内派人保修的，发包人可以委托他人修理；保修费用从质量保修金内双倍扣除。</w:t>
      </w:r>
    </w:p>
    <w:p w14:paraId="1E4ACD31">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2．发生紧急事故需抢修的，承包人在接到事故通知后，应当立即到达事故现场抢修。非承包人施工质量引起的事故，抢修费用由发包人承担。</w:t>
      </w:r>
    </w:p>
    <w:p w14:paraId="3059F10B">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r>
        <w:rPr>
          <w:rFonts w:hint="eastAsia" w:ascii="仿宋_GB2312" w:hAnsi="仿宋_GB2312" w:eastAsia="仿宋_GB2312"/>
          <w:color w:val="000000" w:themeColor="text1"/>
          <w:sz w:val="24"/>
          <w:highlight w:val="none"/>
          <w14:textFill>
            <w14:solidFill>
              <w14:schemeClr w14:val="tx1"/>
            </w14:solidFill>
          </w14:textFill>
        </w:rPr>
        <w:t>。</w:t>
      </w:r>
    </w:p>
    <w:p w14:paraId="324A6610">
      <w:pPr>
        <w:spacing w:line="520" w:lineRule="exact"/>
        <w:ind w:firstLine="470" w:firstLineChars="196"/>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4．质量保修完成后，由发包人组织验收。</w:t>
      </w:r>
    </w:p>
    <w:p w14:paraId="5C01751B">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四、质量保修金的支付</w:t>
      </w:r>
    </w:p>
    <w:p w14:paraId="69DB8776">
      <w:pPr>
        <w:spacing w:line="360" w:lineRule="auto"/>
        <w:ind w:left="105" w:leftChars="50" w:firstLine="491" w:firstLineChars="205"/>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本工程双方约定承包人向发包人支付工程质量保修金金额为工程结算款的</w:t>
      </w:r>
      <w:r>
        <w:rPr>
          <w:rFonts w:hint="eastAsia" w:ascii="仿宋_GB2312" w:eastAsia="仿宋_GB2312"/>
          <w:color w:val="000000" w:themeColor="text1"/>
          <w:sz w:val="24"/>
          <w:highlight w:val="none"/>
          <w:u w:val="single"/>
          <w14:textFill>
            <w14:solidFill>
              <w14:schemeClr w14:val="tx1"/>
            </w14:solidFill>
          </w14:textFill>
        </w:rPr>
        <w:t>百分之叁（大写）</w:t>
      </w:r>
      <w:r>
        <w:rPr>
          <w:rFonts w:hint="eastAsia" w:ascii="仿宋_GB2312" w:eastAsia="仿宋_GB2312"/>
          <w:color w:val="000000" w:themeColor="text1"/>
          <w:sz w:val="24"/>
          <w:highlight w:val="none"/>
          <w14:textFill>
            <w14:solidFill>
              <w14:schemeClr w14:val="tx1"/>
            </w14:solidFill>
          </w14:textFill>
        </w:rPr>
        <w:t xml:space="preserve">。质量保修金银行利率为 </w:t>
      </w:r>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无</w:t>
      </w:r>
      <w:r>
        <w:rPr>
          <w:rFonts w:hint="eastAsia" w:ascii="仿宋_GB2312" w:eastAsia="仿宋_GB2312"/>
          <w:color w:val="000000" w:themeColor="text1"/>
          <w:sz w:val="24"/>
          <w:highlight w:val="none"/>
          <w14:textFill>
            <w14:solidFill>
              <w14:schemeClr w14:val="tx1"/>
            </w14:solidFill>
          </w14:textFill>
        </w:rPr>
        <w:t>。</w:t>
      </w:r>
    </w:p>
    <w:p w14:paraId="5C4BD561">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五、质量保修金的返还</w:t>
      </w:r>
    </w:p>
    <w:p w14:paraId="23C0DF20">
      <w:pPr>
        <w:pStyle w:val="10"/>
        <w:spacing w:line="360" w:lineRule="auto"/>
        <w:ind w:firstLine="480" w:firstLineChars="200"/>
        <w:jc w:val="left"/>
        <w:rPr>
          <w:rFonts w:ascii="仿宋_GB2312" w:hAnsi="仿宋" w:eastAsia="仿宋_GB2312" w:cs="仿宋"/>
          <w:sz w:val="24"/>
          <w:szCs w:val="24"/>
          <w:highlight w:val="none"/>
        </w:rPr>
      </w:pPr>
      <w:r>
        <w:rPr>
          <w:rFonts w:hint="eastAsia" w:ascii="仿宋_GB2312" w:hAnsi="仿宋" w:eastAsia="仿宋_GB2312" w:cs="仿宋"/>
          <w:sz w:val="24"/>
          <w:szCs w:val="24"/>
          <w:highlight w:val="none"/>
        </w:rPr>
        <w:sym w:font="Wingdings 2" w:char="00A3"/>
      </w:r>
      <w:r>
        <w:rPr>
          <w:rFonts w:hint="eastAsia" w:ascii="仿宋_GB2312" w:hAnsi="仿宋" w:eastAsia="仿宋_GB2312" w:cs="仿宋"/>
          <w:sz w:val="24"/>
          <w:szCs w:val="24"/>
          <w:highlight w:val="none"/>
        </w:rPr>
        <w:t>工程竣工验收合格之日起两年且无质量问题，且经工程使用单位或发包人签署质量保修金支付证明后，无息返还质量保修金的100%。</w:t>
      </w:r>
    </w:p>
    <w:p w14:paraId="3C9E6548">
      <w:pPr>
        <w:pStyle w:val="10"/>
        <w:spacing w:line="360" w:lineRule="auto"/>
        <w:ind w:firstLine="480" w:firstLineChars="200"/>
        <w:jc w:val="left"/>
        <w:rPr>
          <w:rFonts w:ascii="仿宋_GB2312" w:hAnsi="仿宋" w:eastAsia="仿宋_GB2312" w:cs="仿宋"/>
          <w:sz w:val="24"/>
          <w:szCs w:val="24"/>
          <w:highlight w:val="none"/>
        </w:rPr>
      </w:pPr>
      <w:r>
        <w:rPr>
          <w:rFonts w:hint="eastAsia" w:ascii="仿宋_GB2312" w:hAnsi="仿宋" w:eastAsia="仿宋_GB2312" w:cs="仿宋"/>
          <w:sz w:val="24"/>
          <w:szCs w:val="24"/>
          <w:highlight w:val="none"/>
        </w:rPr>
        <w:sym w:font="Wingdings 2" w:char="00A3"/>
      </w:r>
      <w:r>
        <w:rPr>
          <w:rFonts w:hint="eastAsia" w:ascii="仿宋_GB2312" w:hAnsi="仿宋" w:eastAsia="仿宋_GB2312" w:cs="仿宋"/>
          <w:sz w:val="24"/>
          <w:szCs w:val="24"/>
          <w:highlight w:val="none"/>
        </w:rPr>
        <w:t>工程竣工验收合格之日起两年且无质量问题，经工程使用单位或发包人签署质量保修金支付证明后，无息返还质量保修金的80%。自工程竣工验收合格之日起三年且无质量问题，经工程使用单位或发包人签署质量保修金支付证明后，无息返还质量保修金的20%。</w:t>
      </w:r>
    </w:p>
    <w:p w14:paraId="167ACF29">
      <w:pPr>
        <w:spacing w:line="360" w:lineRule="auto"/>
        <w:ind w:left="105" w:leftChars="50" w:firstLine="491" w:firstLineChars="205"/>
        <w:rPr>
          <w:rFonts w:ascii="仿宋_GB2312" w:eastAsia="仿宋_GB2312"/>
          <w:color w:val="000000" w:themeColor="text1"/>
          <w:sz w:val="24"/>
          <w:highlight w:val="none"/>
          <w:u w:val="single"/>
          <w14:textFill>
            <w14:solidFill>
              <w14:schemeClr w14:val="tx1"/>
            </w14:solidFill>
          </w14:textFill>
        </w:rPr>
      </w:pPr>
      <w:r>
        <w:rPr>
          <w:rFonts w:hint="eastAsia" w:ascii="仿宋_GB2312" w:hAnsi="仿宋" w:eastAsia="仿宋_GB2312" w:cs="仿宋"/>
          <w:sz w:val="24"/>
          <w:szCs w:val="24"/>
          <w:highlight w:val="none"/>
        </w:rPr>
        <w:sym w:font="Wingdings 2" w:char="00A3"/>
      </w:r>
      <w:r>
        <w:rPr>
          <w:rFonts w:hint="eastAsia" w:ascii="仿宋_GB2312" w:hAnsi="仿宋" w:eastAsia="仿宋_GB2312" w:cs="仿宋"/>
          <w:sz w:val="24"/>
          <w:szCs w:val="24"/>
          <w:highlight w:val="none"/>
        </w:rPr>
        <w:t>自工程竣工验收合格之日起两年且无质量问题，经工程使用单位或发包人签署质量保修金支付证明后，无息返还质量保修金的50%。自工程竣工验收合格之日起三年且无质量问题，经工程使用单位或发包人签署质量保修金支付证明后，无息返还质量保修金的30%，自工程竣工验收合格之日起五年且无质量问题，经工程使用单位或发包人签署质量保修金支付证明后，无息返还质量保修金的20%。</w:t>
      </w:r>
    </w:p>
    <w:p w14:paraId="10AE2D8A">
      <w:pPr>
        <w:spacing w:line="360" w:lineRule="auto"/>
        <w:ind w:left="105" w:leftChars="50" w:firstLine="491" w:firstLineChars="205"/>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质量保修期延长的，最后一笔返还质量保修金的期限同时顺延。</w:t>
      </w:r>
    </w:p>
    <w:p w14:paraId="0EC7EDC9">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六、其它</w:t>
      </w:r>
    </w:p>
    <w:p w14:paraId="748923F3">
      <w:pPr>
        <w:spacing w:line="360" w:lineRule="auto"/>
        <w:ind w:left="105" w:leftChars="50" w:firstLine="491" w:firstLineChars="205"/>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1、本保修书作为施工工程合同的附件，与施工工程合同具有同等法律效力。</w:t>
      </w:r>
    </w:p>
    <w:p w14:paraId="051B3E08">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2、双方约定的其它工程质量保修事项：</w:t>
      </w:r>
    </w:p>
    <w:p w14:paraId="77570969">
      <w:pPr>
        <w:spacing w:line="360" w:lineRule="auto"/>
        <w:ind w:firstLine="480" w:firstLineChars="200"/>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1）对于属于质量问题及保修范围、内容的项目，承包人应当在接到发包人的《质量维修通知单》（书面形式通过顺丰或EMS向施工单位发送，均为有效）之日起按照通知单载明的限期内派人维修。承包人不在约定期限内派人维修的，发包人可以另委托第三方维修；发生的维修费用，按第三方维修单位向发包人主张的结算报审金额计取，从本合同尾款内双倍扣除。本合同尾款不足部分，仍由承包人承担。从合同尾款中扣除的，承包人承诺配合发包人签订合同补充协议，调整合同额。逾期维修造成的的损失亦由承包人承担。</w:t>
      </w:r>
    </w:p>
    <w:p w14:paraId="17025E9F">
      <w:pPr>
        <w:spacing w:line="360" w:lineRule="auto"/>
        <w:ind w:left="105" w:leftChars="50" w:firstLine="491" w:firstLineChars="205"/>
        <w:rPr>
          <w:rFonts w:ascii="仿宋_GB2312" w:eastAsia="仿宋_GB2312"/>
          <w:color w:val="000000" w:themeColor="text1"/>
          <w:sz w:val="24"/>
          <w:szCs w:val="24"/>
          <w:highlight w:val="none"/>
          <w14:textFill>
            <w14:solidFill>
              <w14:schemeClr w14:val="tx1"/>
            </w14:solidFill>
          </w14:textFill>
        </w:rPr>
      </w:pPr>
    </w:p>
    <w:p w14:paraId="00D76561">
      <w:pPr>
        <w:spacing w:line="360" w:lineRule="auto"/>
        <w:ind w:firstLine="456" w:firstLineChars="190"/>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工程质量保修书由发包人、承包人在工程竣工验收前共同签署，作为施工合同附件，其有效期限至保修期满。</w:t>
      </w:r>
    </w:p>
    <w:p w14:paraId="134E2012">
      <w:pPr>
        <w:spacing w:line="360" w:lineRule="auto"/>
        <w:ind w:firstLine="456" w:firstLineChars="190"/>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62836CF1">
      <w:pPr>
        <w:spacing w:line="440" w:lineRule="exact"/>
        <w:rPr>
          <w:rFonts w:ascii="仿宋" w:hAnsi="仿宋" w:eastAsia="仿宋" w:cs="仿宋"/>
          <w:sz w:val="24"/>
          <w:szCs w:val="24"/>
          <w:highlight w:val="none"/>
        </w:rPr>
      </w:pPr>
      <w:r>
        <w:rPr>
          <w:rFonts w:hint="eastAsia" w:ascii="仿宋" w:hAnsi="仿宋" w:eastAsia="仿宋" w:cs="仿宋"/>
          <w:sz w:val="24"/>
          <w:szCs w:val="24"/>
          <w:highlight w:val="none"/>
        </w:rPr>
        <w:t xml:space="preserve">附件2：           </w:t>
      </w:r>
    </w:p>
    <w:p w14:paraId="735A5ADF">
      <w:pPr>
        <w:spacing w:before="158" w:beforeLines="50" w:after="158" w:afterLines="50" w:line="440" w:lineRule="exact"/>
        <w:jc w:val="center"/>
        <w:rPr>
          <w:rFonts w:eastAsia="黑体"/>
          <w:color w:val="000000" w:themeColor="text1"/>
          <w:sz w:val="28"/>
          <w:szCs w:val="28"/>
          <w:highlight w:val="none"/>
          <w14:textFill>
            <w14:solidFill>
              <w14:schemeClr w14:val="tx1"/>
            </w14:solidFill>
          </w14:textFill>
        </w:rPr>
      </w:pPr>
      <w:r>
        <w:rPr>
          <w:rFonts w:hint="eastAsia" w:eastAsia="黑体"/>
          <w:color w:val="000000" w:themeColor="text1"/>
          <w:sz w:val="28"/>
          <w:szCs w:val="28"/>
          <w:highlight w:val="none"/>
          <w14:textFill>
            <w14:solidFill>
              <w14:schemeClr w14:val="tx1"/>
            </w14:solidFill>
          </w14:textFill>
        </w:rPr>
        <w:t>相关方安全协议</w:t>
      </w:r>
    </w:p>
    <w:p w14:paraId="4047AAC8">
      <w:pPr>
        <w:pStyle w:val="76"/>
        <w:spacing w:line="300" w:lineRule="auto"/>
        <w:ind w:firstLine="480"/>
        <w:rPr>
          <w:rFonts w:ascii="仿宋_GB2312" w:hAnsi="仿宋_GB2312" w:eastAsia="仿宋_GB2312" w:cs="仿宋_GB2312"/>
          <w:sz w:val="24"/>
          <w:highlight w:val="none"/>
        </w:rPr>
      </w:pPr>
      <w:r>
        <w:rPr>
          <w:rFonts w:ascii="仿宋_GB2312" w:hAnsi="仿宋_GB2312" w:eastAsia="仿宋_GB2312" w:cs="仿宋_GB2312"/>
          <w:sz w:val="24"/>
          <w:szCs w:val="24"/>
          <w:highlight w:val="none"/>
        </w:rPr>
        <w:t>甲方：</w:t>
      </w:r>
    </w:p>
    <w:p w14:paraId="4E16E527">
      <w:pPr>
        <w:pStyle w:val="76"/>
        <w:spacing w:line="300" w:lineRule="auto"/>
        <w:ind w:firstLine="480"/>
        <w:rPr>
          <w:rFonts w:ascii="仿宋_GB2312" w:hAnsi="仿宋_GB2312" w:eastAsia="仿宋_GB2312" w:cs="仿宋_GB2312"/>
          <w:sz w:val="24"/>
          <w:highlight w:val="none"/>
        </w:rPr>
      </w:pPr>
      <w:r>
        <w:rPr>
          <w:rFonts w:ascii="仿宋_GB2312" w:hAnsi="仿宋_GB2312" w:eastAsia="仿宋_GB2312" w:cs="仿宋_GB2312"/>
          <w:sz w:val="24"/>
          <w:szCs w:val="24"/>
          <w:highlight w:val="none"/>
        </w:rPr>
        <w:t>乙方：</w:t>
      </w:r>
    </w:p>
    <w:p w14:paraId="6F1F2DD4">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乙方在甲方厂区（含园区）开展</w:t>
      </w:r>
      <w:r>
        <w:rPr>
          <w:rFonts w:hint="eastAsia" w:ascii="仿宋_GB2312" w:hAnsi="仿宋_GB2312" w:eastAsia="仿宋_GB2312" w:cs="仿宋_GB2312"/>
          <w:sz w:val="24"/>
          <w:szCs w:val="24"/>
          <w:highlight w:val="none"/>
          <w:u w:val="single"/>
        </w:rPr>
        <w:t xml:space="preserve">           </w:t>
      </w:r>
      <w:r>
        <w:rPr>
          <w:rFonts w:ascii="仿宋_GB2312" w:hAnsi="仿宋_GB2312" w:eastAsia="仿宋_GB2312" w:cs="仿宋_GB2312"/>
          <w:sz w:val="24"/>
          <w:szCs w:val="24"/>
          <w:highlight w:val="none"/>
        </w:rPr>
        <w:t>项目</w:t>
      </w:r>
      <w:r>
        <w:rPr>
          <w:rFonts w:hint="eastAsia" w:ascii="仿宋_GB2312" w:hAnsi="仿宋_GB2312" w:eastAsia="仿宋_GB2312" w:cs="仿宋_GB2312"/>
          <w:sz w:val="24"/>
          <w:szCs w:val="24"/>
          <w:highlight w:val="none"/>
        </w:rPr>
        <w:t>，</w:t>
      </w:r>
      <w:r>
        <w:rPr>
          <w:rFonts w:ascii="仿宋_GB2312" w:hAnsi="仿宋_GB2312" w:eastAsia="仿宋_GB2312" w:cs="仿宋_GB2312"/>
          <w:sz w:val="24"/>
          <w:szCs w:val="24"/>
          <w:highlight w:val="none"/>
        </w:rPr>
        <w:t>根据国</w:t>
      </w:r>
      <w:r>
        <w:rPr>
          <w:rFonts w:hint="eastAsia" w:ascii="仿宋_GB2312" w:hAnsi="仿宋_GB2312" w:eastAsia="仿宋_GB2312" w:cs="仿宋_GB2312"/>
          <w:sz w:val="24"/>
          <w:szCs w:val="24"/>
          <w:highlight w:val="none"/>
        </w:rPr>
        <w:t>家、地方</w:t>
      </w:r>
      <w:r>
        <w:rPr>
          <w:rFonts w:ascii="仿宋_GB2312" w:hAnsi="仿宋_GB2312" w:eastAsia="仿宋_GB2312" w:cs="仿宋_GB2312"/>
          <w:sz w:val="24"/>
          <w:szCs w:val="24"/>
          <w:highlight w:val="none"/>
        </w:rPr>
        <w:t>有关安全生产的法律、法规、条例</w:t>
      </w:r>
      <w:r>
        <w:rPr>
          <w:rFonts w:hint="eastAsia" w:ascii="仿宋_GB2312" w:hAnsi="仿宋_GB2312" w:eastAsia="仿宋_GB2312" w:cs="仿宋_GB2312"/>
          <w:sz w:val="24"/>
          <w:szCs w:val="24"/>
          <w:highlight w:val="none"/>
        </w:rPr>
        <w:t>、规章、政策等规范性文件的要求</w:t>
      </w:r>
      <w:r>
        <w:rPr>
          <w:rFonts w:ascii="仿宋_GB2312" w:hAnsi="仿宋_GB2312" w:eastAsia="仿宋_GB2312" w:cs="仿宋_GB2312"/>
          <w:sz w:val="24"/>
          <w:szCs w:val="24"/>
          <w:highlight w:val="none"/>
        </w:rPr>
        <w:t>，为明确甲乙双方安全管理职责与权利，预防各类事故的发生，经甲乙双方协商一致，同意签订本协议，并</w:t>
      </w:r>
      <w:r>
        <w:rPr>
          <w:rFonts w:hint="eastAsia" w:ascii="仿宋_GB2312" w:hAnsi="仿宋_GB2312" w:eastAsia="仿宋_GB2312" w:cs="仿宋_GB2312"/>
          <w:sz w:val="24"/>
          <w:szCs w:val="24"/>
          <w:highlight w:val="none"/>
        </w:rPr>
        <w:t>共同</w:t>
      </w:r>
      <w:r>
        <w:rPr>
          <w:rFonts w:ascii="仿宋_GB2312" w:hAnsi="仿宋_GB2312" w:eastAsia="仿宋_GB2312" w:cs="仿宋_GB2312"/>
          <w:sz w:val="24"/>
          <w:szCs w:val="24"/>
          <w:highlight w:val="none"/>
        </w:rPr>
        <w:t>遵守。</w:t>
      </w:r>
    </w:p>
    <w:p w14:paraId="1E4B0C9F">
      <w:pPr>
        <w:pStyle w:val="76"/>
        <w:spacing w:line="300" w:lineRule="auto"/>
        <w:ind w:firstLine="480"/>
        <w:rPr>
          <w:rFonts w:ascii="黑体" w:hAnsi="黑体" w:eastAsia="黑体" w:cs="黑体"/>
          <w:sz w:val="24"/>
          <w:highlight w:val="none"/>
        </w:rPr>
      </w:pPr>
      <w:r>
        <w:rPr>
          <w:rFonts w:hint="eastAsia" w:ascii="黑体" w:hAnsi="黑体" w:eastAsia="黑体" w:cs="黑体"/>
          <w:sz w:val="24"/>
          <w:szCs w:val="24"/>
          <w:highlight w:val="none"/>
        </w:rPr>
        <w:t>一、甲乙双方安全管理职责与权利：</w:t>
      </w:r>
    </w:p>
    <w:p w14:paraId="056E74FF">
      <w:pPr>
        <w:pStyle w:val="76"/>
        <w:numPr>
          <w:ilvl w:val="255"/>
          <w:numId w:val="0"/>
        </w:numPr>
        <w:spacing w:line="300" w:lineRule="auto"/>
        <w:ind w:firstLine="482" w:firstLineChars="200"/>
        <w:rPr>
          <w:rFonts w:ascii="楷体_GB2312" w:hAnsi="楷体_GB2312" w:eastAsia="楷体_GB2312" w:cs="楷体_GB2312"/>
          <w:b/>
          <w:bCs/>
          <w:sz w:val="24"/>
          <w:highlight w:val="none"/>
        </w:rPr>
      </w:pPr>
      <w:r>
        <w:rPr>
          <w:rFonts w:hint="eastAsia" w:ascii="楷体_GB2312" w:hAnsi="楷体_GB2312" w:eastAsia="楷体_GB2312" w:cs="楷体_GB2312"/>
          <w:b/>
          <w:bCs/>
          <w:sz w:val="24"/>
          <w:szCs w:val="24"/>
          <w:highlight w:val="none"/>
        </w:rPr>
        <w:t>（一）甲方职责与权利</w:t>
      </w:r>
    </w:p>
    <w:p w14:paraId="7A1C72F6">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1.甲方根据协作需求，负责为乙方提供作业场地及必要的风、水、电、气等能源。</w:t>
      </w:r>
    </w:p>
    <w:p w14:paraId="3C618B1D">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2685C2F1">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2EBEC37D">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4.甲方对乙方不得违章指挥、强令冒险作业，因甲方人员人为原因造成乙方人员发生事故的，由乙方负责处理，甲方予以协助并赔偿乙方的合理损失。</w:t>
      </w:r>
    </w:p>
    <w:p w14:paraId="6DFEF018">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5.甲方对乙方在甲方发生安全事故时，将尽量协助救护、保护事故现场，并有权开展或参加对事故的调查处理。因乙方原因导致的生产安全事故，由乙方承担相应责任。</w:t>
      </w:r>
    </w:p>
    <w:p w14:paraId="14AC8E26">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3B418672">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7.对于提供生活物质、食品的乙方，甲方有权要求乙方提供乙方工作人员的健康证明。在甲方服务时，乙方要严格遵守甲方的相关安全管理制度和卫生、健康管理制度。</w:t>
      </w:r>
    </w:p>
    <w:p w14:paraId="052CD48D">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8、甲方有权要求乙方提供作业人员的工伤保险及意外保险缴纳证明。</w:t>
      </w:r>
    </w:p>
    <w:p w14:paraId="538FFDC0">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9、甲方指定专人</w:t>
      </w:r>
      <w:r>
        <w:rPr>
          <w:rFonts w:hint="eastAsia" w:ascii="仿宋_GB2312" w:hAnsi="仿宋_GB2312"/>
          <w:sz w:val="24"/>
          <w:highlight w:val="none"/>
        </w:rPr>
        <w:t>（联系人、安全员：</w:t>
      </w:r>
      <w:r>
        <w:rPr>
          <w:rFonts w:ascii="仿宋_GB2312" w:hAnsi="仿宋_GB2312"/>
          <w:sz w:val="24"/>
          <w:highlight w:val="none"/>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sz w:val="24"/>
          <w:highlight w:val="none"/>
        </w:rPr>
        <w:t>；联系方式：</w:t>
      </w:r>
      <w:r>
        <w:rPr>
          <w:rFonts w:hint="eastAsia" w:ascii="仿宋_GB2312" w:hAnsi="仿宋_GB2312" w:eastAsia="仿宋_GB2312" w:cs="仿宋_GB2312"/>
          <w:sz w:val="24"/>
          <w:szCs w:val="24"/>
          <w:highlight w:val="none"/>
        </w:rPr>
        <w:t xml:space="preserve">     </w:t>
      </w:r>
      <w:r>
        <w:rPr>
          <w:rFonts w:ascii="仿宋_GB2312" w:hAnsi="仿宋_GB2312"/>
          <w:sz w:val="24"/>
          <w:highlight w:val="none"/>
        </w:rPr>
        <w:t xml:space="preserve">   </w:t>
      </w:r>
      <w:r>
        <w:rPr>
          <w:rFonts w:hint="eastAsia" w:ascii="仿宋_GB2312" w:hAnsi="仿宋_GB2312"/>
          <w:sz w:val="24"/>
          <w:highlight w:val="none"/>
        </w:rPr>
        <w:t>）</w:t>
      </w:r>
      <w:r>
        <w:rPr>
          <w:rFonts w:hint="eastAsia" w:ascii="仿宋_GB2312" w:hAnsi="仿宋_GB2312" w:eastAsia="仿宋_GB2312" w:cs="仿宋_GB2312"/>
          <w:sz w:val="24"/>
          <w:szCs w:val="24"/>
          <w:highlight w:val="none"/>
        </w:rPr>
        <w:t>负责乙方业务和安全管理，乙方出现各类问题都应及时与甲方联系人、安全员联系。</w:t>
      </w:r>
    </w:p>
    <w:p w14:paraId="380F653E">
      <w:pPr>
        <w:pStyle w:val="76"/>
        <w:numPr>
          <w:ilvl w:val="255"/>
          <w:numId w:val="0"/>
        </w:numPr>
        <w:spacing w:line="300" w:lineRule="auto"/>
        <w:ind w:firstLine="482" w:firstLineChars="200"/>
        <w:rPr>
          <w:rFonts w:ascii="楷体_GB2312" w:hAnsi="楷体_GB2312" w:eastAsia="楷体_GB2312" w:cs="楷体_GB2312"/>
          <w:b/>
          <w:bCs/>
          <w:sz w:val="24"/>
          <w:highlight w:val="none"/>
        </w:rPr>
      </w:pPr>
      <w:r>
        <w:rPr>
          <w:rFonts w:hint="eastAsia" w:ascii="楷体_GB2312" w:hAnsi="楷体_GB2312" w:eastAsia="楷体_GB2312" w:cs="楷体_GB2312"/>
          <w:b/>
          <w:bCs/>
          <w:sz w:val="24"/>
          <w:szCs w:val="24"/>
          <w:highlight w:val="none"/>
        </w:rPr>
        <w:t>（二）乙方职责与权利</w:t>
      </w:r>
    </w:p>
    <w:p w14:paraId="7448EAFB">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1.乙方进入甲方生产现场的车辆、人员必须执行甲方的各项安全管理规定，接受甲方安全管理人员的监督和管理。乙方应在进入现场前充分了解并知悉甲方的各项安全管理规定。</w:t>
      </w:r>
    </w:p>
    <w:p w14:paraId="7206363D">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2.乙方在甲方现场作业应指定安全负责人，佩戴安全管理标识负责本方的安全管理工作，</w:t>
      </w:r>
      <w:r>
        <w:rPr>
          <w:rFonts w:hint="eastAsia" w:ascii="仿宋_GB2312" w:hAnsi="仿宋_GB2312" w:eastAsia="仿宋_GB2312" w:cs="仿宋_GB2312"/>
          <w:sz w:val="24"/>
          <w:highlight w:val="none"/>
        </w:rPr>
        <w:t>乙方安全管理人员要定期开展隐患排查，并将检查及处理情况如实记录存档”</w:t>
      </w:r>
      <w:r>
        <w:rPr>
          <w:rFonts w:hint="eastAsia" w:ascii="仿宋_GB2312" w:hAnsi="仿宋_GB2312" w:eastAsia="仿宋_GB2312" w:cs="仿宋_GB2312"/>
          <w:sz w:val="24"/>
          <w:szCs w:val="24"/>
          <w:highlight w:val="none"/>
        </w:rPr>
        <w:t>。乙方应于本协议签订前，将该负责人姓名及其相关资料送至甲方审核、备案，当负责人发生变动时，乙方应在变动后5个工作日内书面通知甲方并将变动后的人员姓名及相关资料送至甲方备案。</w:t>
      </w:r>
    </w:p>
    <w:p w14:paraId="6060FFF3">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295828E7">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0D84B266">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2ECCBB21">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6.各类机动车辆在甲方厂区主干道行驶速度不超过30公里/小时，其他道路不得超过20公里/小时；结冰、积雪、积水的道路和恶劣天气能见度在30m以内时不超过10公里/小时，</w:t>
      </w:r>
      <w:r>
        <w:rPr>
          <w:rFonts w:hint="eastAsia" w:ascii="仿宋_GB2312" w:hAnsi="仿宋_GB2312" w:eastAsia="仿宋_GB2312" w:cs="仿宋_GB2312"/>
          <w:sz w:val="24"/>
          <w:highlight w:val="none"/>
        </w:rPr>
        <w:t>恶劣天气能见度在5m以内或能见度在10m以内、道路最大纵坡在6%以上时,应停止行驶</w:t>
      </w:r>
      <w:r>
        <w:rPr>
          <w:rFonts w:hint="eastAsia" w:ascii="仿宋_GB2312" w:hAnsi="仿宋_GB2312" w:eastAsia="仿宋_GB2312" w:cs="仿宋_GB2312"/>
          <w:sz w:val="24"/>
          <w:szCs w:val="24"/>
          <w:highlight w:val="none"/>
        </w:rPr>
        <w:t>；车间内行驶速度不超过5公里/小时；进出车间大门行驶速度不超过3公里/小时。</w:t>
      </w:r>
    </w:p>
    <w:p w14:paraId="660E3FD7">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3DA5118E">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5F327DD0">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9.因乙方人员不遵守相关安全法律法规及甲方的规章制度造成安全生产事故的，乙方应负责处理相关事宜，并承担相应责任和损失，甲方予以协助。</w:t>
      </w:r>
    </w:p>
    <w:p w14:paraId="22AC02E5">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10.乙方负责处理其工作人员在甲方现场工作期间发生的工伤事故，并承担相应费用及责任，甲方予以积极配合。</w:t>
      </w:r>
    </w:p>
    <w:p w14:paraId="1F81F972">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11.乙方人员在甲方现场造成甲方工作人员或第三方人员人身伤害、财产损失或甲方产品、设备等财产损失的，由乙方承担相应费用及责任。</w:t>
      </w:r>
    </w:p>
    <w:p w14:paraId="1E9B43E4">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3FF4FB9A">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0AE1E211">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14.乙方所使用的机械设施、各类机器等设备，必须是经过检测且合格可靠的，各类设备设施的合格证、检测证和安全防护装置等必须齐全、完好。严禁使用不安全的设备设施进行作业。</w:t>
      </w:r>
    </w:p>
    <w:p w14:paraId="41DB659A">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15.乙方负责按照相关要求为作业现场配备所需的安全防护设施、消防设施，负责为乙方作业人员配备合格、可靠的安全防护用品（特殊劳动防护用品需提供采购单位相应资质）。</w:t>
      </w:r>
    </w:p>
    <w:p w14:paraId="6E606A77">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7F3F58B0">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17.乙方承诺，不将承租的项目部分或全部转包给其他单位，因违规转包而导致的一切后果由乙方自行承担。</w:t>
      </w:r>
    </w:p>
    <w:p w14:paraId="0B357F41">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18.积极支持配合和参加甲方组织的消防安全防范活动，自觉培养消防意识宣传消防重要性。进行经常性的防火安全检查，对发现的火险隐患必须采取应急措施。</w:t>
      </w:r>
    </w:p>
    <w:p w14:paraId="48179AC3">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443D60D9">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20.乙方应遵守装修工程消防安全管理规定和工程施工安全技术规范，在作业范围内消防灭火器材的配备及日常的维护由乙方负责，应确保消防器材及设施完好有效。</w:t>
      </w:r>
    </w:p>
    <w:p w14:paraId="1F8DC53D">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21.乙方作业区域发生火灾事故时能冷静准确向119报警，并能灭火、指引和协助他人逃生。必须立即采取有效措施防止事故扩大，组织人员抢救并保护现场，并立即向甲方报告。</w:t>
      </w:r>
    </w:p>
    <w:p w14:paraId="23FC3993">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7D6D6EB6">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23.乙方承诺指定专人</w:t>
      </w:r>
      <w:r>
        <w:rPr>
          <w:rFonts w:hint="eastAsia" w:ascii="仿宋_GB2312" w:hAnsi="仿宋_GB2312"/>
          <w:sz w:val="24"/>
          <w:highlight w:val="none"/>
        </w:rPr>
        <w:t>（联系人、安全员：</w:t>
      </w:r>
      <w:r>
        <w:rPr>
          <w:rFonts w:ascii="仿宋_GB2312" w:hAnsi="仿宋_GB2312"/>
          <w:sz w:val="24"/>
          <w:highlight w:val="none"/>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sz w:val="24"/>
          <w:highlight w:val="none"/>
        </w:rPr>
        <w:t>；联系方式：</w:t>
      </w:r>
      <w:r>
        <w:rPr>
          <w:rFonts w:hint="eastAsia" w:ascii="仿宋_GB2312" w:hAnsi="仿宋_GB2312" w:eastAsia="仿宋_GB2312" w:cs="仿宋_GB2312"/>
          <w:sz w:val="24"/>
          <w:szCs w:val="24"/>
          <w:highlight w:val="none"/>
        </w:rPr>
        <w:t xml:space="preserve">    </w:t>
      </w:r>
      <w:r>
        <w:rPr>
          <w:rFonts w:ascii="仿宋_GB2312" w:hAnsi="仿宋_GB2312"/>
          <w:sz w:val="24"/>
          <w:highlight w:val="none"/>
        </w:rPr>
        <w:t xml:space="preserve">    </w:t>
      </w:r>
      <w:r>
        <w:rPr>
          <w:rFonts w:hint="eastAsia" w:ascii="仿宋_GB2312" w:hAnsi="仿宋_GB2312"/>
          <w:sz w:val="24"/>
          <w:highlight w:val="none"/>
        </w:rPr>
        <w:t>）</w:t>
      </w:r>
      <w:r>
        <w:rPr>
          <w:rFonts w:hint="eastAsia" w:ascii="仿宋_GB2312" w:hAnsi="仿宋_GB2312" w:eastAsia="仿宋_GB2312" w:cs="仿宋_GB2312"/>
          <w:sz w:val="24"/>
          <w:highlight w:val="none"/>
        </w:rPr>
        <w:t>负责作业过程中的安全管理，负责与甲方进行安全管理工作的对接，配合甲方统一协调管理。</w:t>
      </w:r>
    </w:p>
    <w:p w14:paraId="11A31607">
      <w:pPr>
        <w:pStyle w:val="76"/>
        <w:spacing w:line="300" w:lineRule="auto"/>
        <w:ind w:firstLine="480"/>
        <w:rPr>
          <w:rFonts w:ascii="黑体" w:hAnsi="黑体" w:eastAsia="黑体" w:cs="黑体"/>
          <w:sz w:val="24"/>
          <w:highlight w:val="none"/>
        </w:rPr>
      </w:pPr>
      <w:r>
        <w:rPr>
          <w:rFonts w:hint="eastAsia" w:ascii="黑体" w:hAnsi="黑体" w:eastAsia="黑体" w:cs="黑体"/>
          <w:sz w:val="24"/>
          <w:szCs w:val="24"/>
          <w:highlight w:val="none"/>
        </w:rPr>
        <w:t>二、其他相关手续办理</w:t>
      </w:r>
    </w:p>
    <w:p w14:paraId="6533AC09">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乙方进入甲方厂区进行施工，办理其他相关手续，应遵守以下约定：</w:t>
      </w:r>
    </w:p>
    <w:p w14:paraId="27F54338">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1.进厂手续：甲方与乙方的施工合同签订后，乙方单位持相关的资质材料，按照甲方管理制度办理施工手续后 ,方可进行作业。</w:t>
      </w:r>
    </w:p>
    <w:p w14:paraId="3173B3CF">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39EDBB4E">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3.入厂安全教育：乙方进入甲方厂区前应对其施工人员进行安全教育并提供教育培训的相关资料，到甲方办理《施工许可证》。</w:t>
      </w:r>
    </w:p>
    <w:p w14:paraId="6ABB99AA">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47F94A5A">
      <w:pPr>
        <w:pStyle w:val="76"/>
        <w:spacing w:line="300" w:lineRule="auto"/>
        <w:ind w:firstLine="480"/>
        <w:rPr>
          <w:rFonts w:ascii="黑体" w:hAnsi="黑体" w:eastAsia="黑体" w:cs="黑体"/>
          <w:sz w:val="24"/>
          <w:highlight w:val="none"/>
        </w:rPr>
      </w:pPr>
      <w:r>
        <w:rPr>
          <w:rFonts w:hint="eastAsia" w:ascii="黑体" w:hAnsi="黑体" w:eastAsia="黑体" w:cs="黑体"/>
          <w:sz w:val="24"/>
          <w:szCs w:val="24"/>
          <w:highlight w:val="none"/>
        </w:rPr>
        <w:t>三、违约责任</w:t>
      </w:r>
    </w:p>
    <w:p w14:paraId="4054796B">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因乙方人员或车辆违反有关法律、法规、规章、规范性文件、甲方有关管理规定以及本协议约定，造成的一切后果和损失，由乙方承担全部责任并赔偿甲方之损失。</w:t>
      </w:r>
    </w:p>
    <w:p w14:paraId="6B2EBA2D">
      <w:pPr>
        <w:pStyle w:val="76"/>
        <w:spacing w:line="300" w:lineRule="auto"/>
        <w:ind w:firstLine="480"/>
        <w:rPr>
          <w:rFonts w:ascii="黑体" w:hAnsi="黑体" w:eastAsia="黑体" w:cs="黑体"/>
          <w:sz w:val="24"/>
          <w:highlight w:val="none"/>
        </w:rPr>
      </w:pPr>
      <w:r>
        <w:rPr>
          <w:rFonts w:hint="eastAsia" w:ascii="黑体" w:hAnsi="黑体" w:eastAsia="黑体" w:cs="黑体"/>
          <w:sz w:val="24"/>
          <w:szCs w:val="24"/>
          <w:highlight w:val="none"/>
        </w:rPr>
        <w:t>四、争议解决</w:t>
      </w:r>
    </w:p>
    <w:p w14:paraId="046B5923">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本协议履行过程中产生的争议，双方协商解决，协商不成的提交甲方所在地法院诉讼解决。</w:t>
      </w:r>
    </w:p>
    <w:p w14:paraId="7AB4962F">
      <w:pPr>
        <w:pStyle w:val="76"/>
        <w:spacing w:line="300" w:lineRule="auto"/>
        <w:ind w:firstLine="480"/>
        <w:rPr>
          <w:rFonts w:ascii="黑体" w:hAnsi="黑体" w:eastAsia="黑体" w:cs="黑体"/>
          <w:sz w:val="24"/>
          <w:highlight w:val="none"/>
        </w:rPr>
      </w:pPr>
      <w:r>
        <w:rPr>
          <w:rFonts w:hint="eastAsia" w:ascii="黑体" w:hAnsi="黑体" w:eastAsia="黑体" w:cs="黑体"/>
          <w:sz w:val="24"/>
          <w:szCs w:val="24"/>
          <w:highlight w:val="none"/>
        </w:rPr>
        <w:t>五、附则</w:t>
      </w:r>
    </w:p>
    <w:p w14:paraId="5C7306B9">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3BC67AEF">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2.本协议附件与主协议具有相同的法律效力。在本协议有效期内，双方就未尽事宜达成补充协议的，补充协议与本协议具有同等法律效力。</w:t>
      </w:r>
    </w:p>
    <w:p w14:paraId="5398627A">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3.甲方与乙方签订本协议时，已向乙方告知甲方的各项安全管理规定。乙方已充分了解并知悉甲方的各项安全管理规定及内容，并承诺严格遵守。</w:t>
      </w:r>
    </w:p>
    <w:p w14:paraId="27715D6F">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4.按照《安全生产法》规定，乙方如有不签订本协议和未执行协议擅自在甲方厂区内施工的情况，乙方均属违章作业。</w:t>
      </w:r>
    </w:p>
    <w:p w14:paraId="1CED11F4">
      <w:pPr>
        <w:pStyle w:val="76"/>
        <w:spacing w:line="300" w:lineRule="auto"/>
        <w:ind w:firstLine="48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bookmarkStart w:id="57" w:name="_Hlk201301915"/>
      <w:r>
        <w:rPr>
          <w:rFonts w:ascii="仿宋_GB2312" w:hAnsi="仿宋_GB2312" w:eastAsia="仿宋_GB2312" w:cs="仿宋_GB2312"/>
          <w:sz w:val="24"/>
          <w:szCs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hint="eastAsia" w:ascii="仿宋_GB2312" w:hAnsi="仿宋_GB2312" w:eastAsia="仿宋_GB2312" w:cs="仿宋_GB2312"/>
          <w:sz w:val="24"/>
          <w:szCs w:val="24"/>
          <w:highlight w:val="none"/>
        </w:rPr>
        <w:t>个人手写</w:t>
      </w:r>
      <w:r>
        <w:rPr>
          <w:rFonts w:ascii="仿宋_GB2312" w:hAnsi="仿宋_GB2312" w:eastAsia="仿宋_GB2312" w:cs="仿宋_GB2312"/>
          <w:sz w:val="24"/>
          <w:szCs w:val="24"/>
          <w:highlight w:val="none"/>
        </w:rPr>
        <w:t>签名除外）</w:t>
      </w:r>
      <w:r>
        <w:rPr>
          <w:rFonts w:hint="eastAsia" w:ascii="仿宋_GB2312" w:hAnsi="仿宋_GB2312" w:eastAsia="仿宋_GB2312" w:cs="仿宋_GB2312"/>
          <w:sz w:val="24"/>
          <w:szCs w:val="24"/>
          <w:highlight w:val="none"/>
        </w:rPr>
        <w:t>。</w:t>
      </w:r>
    </w:p>
    <w:p w14:paraId="00ACA38B">
      <w:pPr>
        <w:pStyle w:val="76"/>
        <w:spacing w:line="300" w:lineRule="auto"/>
        <w:ind w:firstLine="480"/>
        <w:rPr>
          <w:rFonts w:ascii="仿宋_GB2312" w:hAnsi="仿宋_GB2312" w:eastAsia="仿宋_GB2312" w:cs="仿宋_GB2312"/>
          <w:sz w:val="24"/>
          <w:szCs w:val="24"/>
          <w:highlight w:val="none"/>
        </w:rPr>
      </w:pPr>
      <w:r>
        <w:rPr>
          <w:rFonts w:ascii="仿宋_GB2312" w:hAnsi="仿宋_GB2312" w:eastAsia="仿宋_GB2312" w:cs="仿宋_GB2312"/>
          <w:sz w:val="24"/>
          <w:szCs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_GB2312" w:hAnsi="仿宋_GB2312" w:eastAsia="仿宋_GB2312" w:cs="仿宋_GB2312"/>
          <w:sz w:val="24"/>
          <w:szCs w:val="24"/>
          <w:highlight w:val="none"/>
        </w:rPr>
        <w:t>各</w:t>
      </w:r>
      <w:r>
        <w:rPr>
          <w:rFonts w:ascii="仿宋_GB2312" w:hAnsi="仿宋_GB2312" w:eastAsia="仿宋_GB2312" w:cs="仿宋_GB2312"/>
          <w:sz w:val="24"/>
          <w:szCs w:val="24"/>
          <w:highlight w:val="none"/>
        </w:rPr>
        <w:t>方已签署完毕。</w:t>
      </w:r>
      <w:bookmarkEnd w:id="57"/>
    </w:p>
    <w:p w14:paraId="4A4C254F">
      <w:pPr>
        <w:pStyle w:val="76"/>
        <w:spacing w:line="300" w:lineRule="auto"/>
        <w:ind w:firstLine="480"/>
        <w:rPr>
          <w:rFonts w:ascii="仿宋_GB2312" w:hAnsi="仿宋_GB2312" w:eastAsia="仿宋_GB2312" w:cs="仿宋_GB2312"/>
          <w:sz w:val="24"/>
          <w:highlight w:val="none"/>
        </w:rPr>
      </w:pPr>
      <w:r>
        <w:rPr>
          <w:rFonts w:hint="eastAsia" w:ascii="仿宋_GB2312" w:hAnsi="仿宋_GB2312" w:eastAsia="仿宋_GB2312" w:cs="仿宋_GB2312"/>
          <w:sz w:val="24"/>
          <w:szCs w:val="24"/>
          <w:highlight w:val="none"/>
        </w:rPr>
        <w:t>6.本协议应与具体项目合同同时签订。一式四份，甲乙双方各两份。</w:t>
      </w:r>
    </w:p>
    <w:p w14:paraId="48EB3DBE">
      <w:pPr>
        <w:pStyle w:val="76"/>
        <w:spacing w:line="300" w:lineRule="auto"/>
        <w:ind w:firstLine="480"/>
        <w:rPr>
          <w:rFonts w:ascii="仿宋_GB2312" w:hAnsi="仿宋_GB2312" w:eastAsia="仿宋_GB2312" w:cs="仿宋_GB2312"/>
          <w:sz w:val="24"/>
          <w:highlight w:val="none"/>
        </w:rPr>
      </w:pPr>
    </w:p>
    <w:p w14:paraId="04B07EF2">
      <w:pPr>
        <w:pStyle w:val="76"/>
        <w:spacing w:line="300" w:lineRule="auto"/>
        <w:ind w:firstLine="48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甲方（盖章）：                    乙方（盖章）：</w:t>
      </w:r>
    </w:p>
    <w:p w14:paraId="018FC4BA">
      <w:pPr>
        <w:pStyle w:val="76"/>
        <w:spacing w:line="300" w:lineRule="auto"/>
        <w:ind w:firstLine="480"/>
        <w:rPr>
          <w:rFonts w:ascii="仿宋_GB2312" w:hAnsi="仿宋_GB2312" w:eastAsia="仿宋_GB2312" w:cs="仿宋_GB2312"/>
          <w:sz w:val="24"/>
          <w:szCs w:val="24"/>
          <w:highlight w:val="none"/>
        </w:rPr>
      </w:pPr>
    </w:p>
    <w:p w14:paraId="59D9F46C">
      <w:pPr>
        <w:pStyle w:val="76"/>
        <w:spacing w:line="300" w:lineRule="auto"/>
        <w:ind w:firstLine="48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授权代表（签字）：                授权代表（签字）：</w:t>
      </w:r>
    </w:p>
    <w:p w14:paraId="70A5715D">
      <w:pPr>
        <w:pStyle w:val="76"/>
        <w:spacing w:line="300" w:lineRule="auto"/>
        <w:ind w:firstLine="480"/>
        <w:rPr>
          <w:rFonts w:ascii="仿宋_GB2312" w:hAnsi="仿宋_GB2312" w:eastAsia="仿宋_GB2312" w:cs="仿宋_GB2312"/>
          <w:sz w:val="24"/>
          <w:szCs w:val="24"/>
          <w:highlight w:val="none"/>
        </w:rPr>
      </w:pPr>
    </w:p>
    <w:p w14:paraId="227A5928">
      <w:pPr>
        <w:pStyle w:val="76"/>
        <w:spacing w:line="300" w:lineRule="auto"/>
        <w:ind w:firstLine="480"/>
        <w:rPr>
          <w:rFonts w:ascii="仿宋_GB2312" w:hAnsi="仿宋_GB2312" w:eastAsia="仿宋_GB2312" w:cs="仿宋_GB2312"/>
          <w:sz w:val="24"/>
          <w:highlight w:val="none"/>
        </w:rPr>
      </w:pPr>
    </w:p>
    <w:p w14:paraId="19CE3955">
      <w:pPr>
        <w:pStyle w:val="76"/>
        <w:spacing w:line="360" w:lineRule="auto"/>
        <w:ind w:firstLine="480"/>
        <w:rPr>
          <w:rFonts w:ascii="仿宋_GB2312" w:hAnsi="仿宋_GB2312" w:eastAsia="仿宋_GB2312" w:cs="仿宋_GB2312"/>
          <w:sz w:val="24"/>
          <w:highlight w:val="none"/>
        </w:rPr>
      </w:pPr>
      <w:r>
        <w:rPr>
          <w:rFonts w:ascii="仿宋" w:hAnsi="仿宋" w:eastAsia="仿宋" w:cs="仿宋"/>
          <w:sz w:val="24"/>
          <w:szCs w:val="24"/>
          <w:highlight w:val="none"/>
        </w:rPr>
        <w:br w:type="page"/>
      </w:r>
    </w:p>
    <w:p w14:paraId="115707F9">
      <w:pPr>
        <w:rPr>
          <w:rFonts w:ascii="仿宋" w:hAnsi="仿宋" w:eastAsia="仿宋" w:cs="仿宋"/>
          <w:b/>
          <w:bCs/>
          <w:sz w:val="28"/>
          <w:szCs w:val="28"/>
          <w:highlight w:val="none"/>
        </w:rPr>
      </w:pPr>
      <w:r>
        <w:rPr>
          <w:rFonts w:hint="eastAsia" w:ascii="仿宋" w:hAnsi="仿宋" w:eastAsia="仿宋" w:cs="仿宋"/>
          <w:sz w:val="24"/>
          <w:szCs w:val="24"/>
          <w:highlight w:val="none"/>
        </w:rPr>
        <w:t xml:space="preserve">附件3：                  </w:t>
      </w:r>
      <w:r>
        <w:rPr>
          <w:rFonts w:hint="eastAsia" w:ascii="仿宋" w:hAnsi="仿宋" w:eastAsia="仿宋" w:cs="仿宋"/>
          <w:b/>
          <w:bCs/>
          <w:sz w:val="28"/>
          <w:szCs w:val="28"/>
          <w:highlight w:val="none"/>
        </w:rPr>
        <w:t xml:space="preserve"> </w:t>
      </w:r>
      <w:r>
        <w:rPr>
          <w:rFonts w:hint="eastAsia" w:ascii="黑体" w:hAnsi="黑体" w:eastAsia="黑体" w:cs="仿宋"/>
          <w:sz w:val="28"/>
          <w:szCs w:val="28"/>
          <w:highlight w:val="none"/>
        </w:rPr>
        <w:t>主要材料及设备品牌表</w:t>
      </w:r>
    </w:p>
    <w:p w14:paraId="01F1B3DC">
      <w:pPr>
        <w:spacing w:before="158" w:beforeLines="50" w:after="158" w:afterLines="50" w:line="440" w:lineRule="exact"/>
        <w:jc w:val="center"/>
        <w:rPr>
          <w:rFonts w:eastAsia="黑体"/>
          <w:color w:val="000000" w:themeColor="text1"/>
          <w:sz w:val="28"/>
          <w:szCs w:val="28"/>
          <w:highlight w:val="none"/>
          <w14:textFill>
            <w14:solidFill>
              <w14:schemeClr w14:val="tx1"/>
            </w14:solidFill>
          </w14:textFill>
        </w:rPr>
      </w:pPr>
      <w:r>
        <w:rPr>
          <w:rFonts w:hint="eastAsia" w:eastAsia="黑体"/>
          <w:color w:val="000000" w:themeColor="text1"/>
          <w:sz w:val="28"/>
          <w:szCs w:val="28"/>
          <w:highlight w:val="none"/>
          <w14:textFill>
            <w14:solidFill>
              <w14:schemeClr w14:val="tx1"/>
            </w14:solidFill>
          </w14:textFill>
        </w:rPr>
        <w:t>甲限乙购材料品牌表</w:t>
      </w:r>
    </w:p>
    <w:tbl>
      <w:tblPr>
        <w:tblStyle w:val="31"/>
        <w:tblW w:w="5000" w:type="pct"/>
        <w:tblInd w:w="0" w:type="dxa"/>
        <w:tblLayout w:type="autofit"/>
        <w:tblCellMar>
          <w:top w:w="0" w:type="dxa"/>
          <w:left w:w="0" w:type="dxa"/>
          <w:bottom w:w="0" w:type="dxa"/>
          <w:right w:w="0" w:type="dxa"/>
        </w:tblCellMar>
      </w:tblPr>
      <w:tblGrid>
        <w:gridCol w:w="763"/>
        <w:gridCol w:w="2952"/>
        <w:gridCol w:w="5385"/>
      </w:tblGrid>
      <w:tr w14:paraId="00F0C8D4">
        <w:tblPrEx>
          <w:tblCellMar>
            <w:top w:w="0" w:type="dxa"/>
            <w:left w:w="0" w:type="dxa"/>
            <w:bottom w:w="0" w:type="dxa"/>
            <w:right w:w="0"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53326">
            <w:pPr>
              <w:jc w:val="center"/>
              <w:textAlignment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lang w:bidi="ar"/>
                <w14:textFill>
                  <w14:solidFill>
                    <w14:schemeClr w14:val="tx1"/>
                  </w14:solidFill>
                </w14:textFill>
              </w:rPr>
              <w:t>序号</w:t>
            </w:r>
          </w:p>
        </w:tc>
        <w:tc>
          <w:tcPr>
            <w:tcW w:w="162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BE9DB6">
            <w:pPr>
              <w:jc w:val="center"/>
              <w:textAlignment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lang w:bidi="ar"/>
                <w14:textFill>
                  <w14:solidFill>
                    <w14:schemeClr w14:val="tx1"/>
                  </w14:solidFill>
                </w14:textFill>
              </w:rPr>
              <w:t>主材及设备名称</w:t>
            </w:r>
          </w:p>
        </w:tc>
        <w:tc>
          <w:tcPr>
            <w:tcW w:w="295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61D81D">
            <w:pPr>
              <w:jc w:val="center"/>
              <w:textAlignment w:val="center"/>
              <w:rPr>
                <w:rFonts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lang w:bidi="ar"/>
                <w14:textFill>
                  <w14:solidFill>
                    <w14:schemeClr w14:val="tx1"/>
                  </w14:solidFill>
                </w14:textFill>
              </w:rPr>
              <w:t>甲限品牌范围</w:t>
            </w:r>
          </w:p>
        </w:tc>
      </w:tr>
      <w:tr w14:paraId="66FAAD06">
        <w:tblPrEx>
          <w:tblCellMar>
            <w:top w:w="0" w:type="dxa"/>
            <w:left w:w="0" w:type="dxa"/>
            <w:bottom w:w="0" w:type="dxa"/>
            <w:right w:w="0"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05347B">
            <w:pPr>
              <w:jc w:val="center"/>
              <w:textAlignment w:val="center"/>
              <w:rPr>
                <w:rFonts w:ascii="仿宋" w:hAnsi="仿宋" w:eastAsia="仿宋" w:cs="仿宋"/>
                <w:b/>
                <w:color w:val="000000" w:themeColor="text1"/>
                <w:sz w:val="28"/>
                <w:szCs w:val="28"/>
                <w:highlight w:val="none"/>
                <w:lang w:bidi="ar"/>
                <w14:textFill>
                  <w14:solidFill>
                    <w14:schemeClr w14:val="tx1"/>
                  </w14:solidFill>
                </w14:textFill>
              </w:rPr>
            </w:pPr>
          </w:p>
        </w:tc>
        <w:tc>
          <w:tcPr>
            <w:tcW w:w="16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BDC8D3">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c>
          <w:tcPr>
            <w:tcW w:w="2959"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D1BD17">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r>
      <w:tr w14:paraId="4D5D4F8E">
        <w:tblPrEx>
          <w:tblCellMar>
            <w:top w:w="0" w:type="dxa"/>
            <w:left w:w="0" w:type="dxa"/>
            <w:bottom w:w="0" w:type="dxa"/>
            <w:right w:w="0"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55FD8">
            <w:pPr>
              <w:jc w:val="center"/>
              <w:textAlignment w:val="center"/>
              <w:rPr>
                <w:rFonts w:ascii="仿宋" w:hAnsi="仿宋" w:eastAsia="仿宋" w:cs="仿宋"/>
                <w:b/>
                <w:color w:val="000000" w:themeColor="text1"/>
                <w:sz w:val="28"/>
                <w:szCs w:val="28"/>
                <w:highlight w:val="none"/>
                <w:lang w:bidi="ar"/>
                <w14:textFill>
                  <w14:solidFill>
                    <w14:schemeClr w14:val="tx1"/>
                  </w14:solidFill>
                </w14:textFill>
              </w:rPr>
            </w:pPr>
          </w:p>
        </w:tc>
        <w:tc>
          <w:tcPr>
            <w:tcW w:w="16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BD05C8">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c>
          <w:tcPr>
            <w:tcW w:w="2959"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E3A114">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r>
      <w:tr w14:paraId="2BE3196D">
        <w:tblPrEx>
          <w:tblCellMar>
            <w:top w:w="0" w:type="dxa"/>
            <w:left w:w="0" w:type="dxa"/>
            <w:bottom w:w="0" w:type="dxa"/>
            <w:right w:w="0"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5F553">
            <w:pPr>
              <w:jc w:val="center"/>
              <w:textAlignment w:val="center"/>
              <w:rPr>
                <w:rFonts w:ascii="仿宋" w:hAnsi="仿宋" w:eastAsia="仿宋" w:cs="仿宋"/>
                <w:b/>
                <w:color w:val="000000" w:themeColor="text1"/>
                <w:sz w:val="28"/>
                <w:szCs w:val="28"/>
                <w:highlight w:val="none"/>
                <w:lang w:bidi="ar"/>
                <w14:textFill>
                  <w14:solidFill>
                    <w14:schemeClr w14:val="tx1"/>
                  </w14:solidFill>
                </w14:textFill>
              </w:rPr>
            </w:pPr>
          </w:p>
        </w:tc>
        <w:tc>
          <w:tcPr>
            <w:tcW w:w="1622"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F1866A">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c>
          <w:tcPr>
            <w:tcW w:w="295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EBA5145">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r>
      <w:tr w14:paraId="7F8275B6">
        <w:tblPrEx>
          <w:tblCellMar>
            <w:top w:w="0" w:type="dxa"/>
            <w:left w:w="0" w:type="dxa"/>
            <w:bottom w:w="0" w:type="dxa"/>
            <w:right w:w="0"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689BB2">
            <w:pPr>
              <w:jc w:val="center"/>
              <w:textAlignment w:val="center"/>
              <w:rPr>
                <w:rFonts w:ascii="仿宋" w:hAnsi="仿宋" w:eastAsia="仿宋" w:cs="仿宋"/>
                <w:b/>
                <w:color w:val="000000" w:themeColor="text1"/>
                <w:sz w:val="28"/>
                <w:szCs w:val="28"/>
                <w:highlight w:val="none"/>
                <w:lang w:bidi="ar"/>
                <w14:textFill>
                  <w14:solidFill>
                    <w14:schemeClr w14:val="tx1"/>
                  </w14:solidFill>
                </w14:textFill>
              </w:rPr>
            </w:pPr>
          </w:p>
        </w:tc>
        <w:tc>
          <w:tcPr>
            <w:tcW w:w="1622"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24E9C">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c>
          <w:tcPr>
            <w:tcW w:w="295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49A2871">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r>
      <w:tr w14:paraId="6A91092B">
        <w:tblPrEx>
          <w:tblCellMar>
            <w:top w:w="0" w:type="dxa"/>
            <w:left w:w="0" w:type="dxa"/>
            <w:bottom w:w="0" w:type="dxa"/>
            <w:right w:w="0"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DC90A">
            <w:pPr>
              <w:jc w:val="center"/>
              <w:textAlignment w:val="center"/>
              <w:rPr>
                <w:rFonts w:ascii="仿宋" w:hAnsi="仿宋" w:eastAsia="仿宋" w:cs="仿宋"/>
                <w:b/>
                <w:color w:val="000000" w:themeColor="text1"/>
                <w:sz w:val="28"/>
                <w:szCs w:val="28"/>
                <w:highlight w:val="none"/>
                <w:lang w:bidi="ar"/>
                <w14:textFill>
                  <w14:solidFill>
                    <w14:schemeClr w14:val="tx1"/>
                  </w14:solidFill>
                </w14:textFill>
              </w:rPr>
            </w:pPr>
          </w:p>
        </w:tc>
        <w:tc>
          <w:tcPr>
            <w:tcW w:w="1622"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383DB">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c>
          <w:tcPr>
            <w:tcW w:w="2959" w:type="pct"/>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B6226AC">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r>
      <w:tr w14:paraId="16D582D3">
        <w:tblPrEx>
          <w:tblCellMar>
            <w:top w:w="0" w:type="dxa"/>
            <w:left w:w="0" w:type="dxa"/>
            <w:bottom w:w="0" w:type="dxa"/>
            <w:right w:w="0"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30299D">
            <w:pPr>
              <w:jc w:val="center"/>
              <w:textAlignment w:val="center"/>
              <w:rPr>
                <w:rFonts w:ascii="仿宋" w:hAnsi="仿宋" w:eastAsia="仿宋" w:cs="仿宋"/>
                <w:b/>
                <w:color w:val="000000" w:themeColor="text1"/>
                <w:sz w:val="28"/>
                <w:szCs w:val="28"/>
                <w:highlight w:val="none"/>
                <w:lang w:bidi="ar"/>
                <w14:textFill>
                  <w14:solidFill>
                    <w14:schemeClr w14:val="tx1"/>
                  </w14:solidFill>
                </w14:textFill>
              </w:rPr>
            </w:pPr>
          </w:p>
        </w:tc>
        <w:tc>
          <w:tcPr>
            <w:tcW w:w="162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A04F06">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c>
          <w:tcPr>
            <w:tcW w:w="295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E157F">
            <w:pPr>
              <w:jc w:val="center"/>
              <w:textAlignment w:val="center"/>
              <w:rPr>
                <w:rFonts w:ascii="仿宋" w:hAnsi="仿宋" w:eastAsia="仿宋" w:cs="仿宋"/>
                <w:color w:val="000000" w:themeColor="text1"/>
                <w:sz w:val="28"/>
                <w:szCs w:val="28"/>
                <w:highlight w:val="none"/>
                <w14:textFill>
                  <w14:solidFill>
                    <w14:schemeClr w14:val="tx1"/>
                  </w14:solidFill>
                </w14:textFill>
              </w:rPr>
            </w:pPr>
          </w:p>
        </w:tc>
      </w:tr>
    </w:tbl>
    <w:p w14:paraId="2BABCB43">
      <w:pPr>
        <w:jc w:val="center"/>
        <w:rPr>
          <w:rFonts w:ascii="仿宋" w:hAnsi="仿宋" w:eastAsia="仿宋" w:cs="仿宋"/>
          <w:color w:val="000000" w:themeColor="text1"/>
          <w:sz w:val="32"/>
          <w:szCs w:val="32"/>
          <w:highlight w:val="none"/>
          <w14:textFill>
            <w14:solidFill>
              <w14:schemeClr w14:val="tx1"/>
            </w14:solidFill>
          </w14:textFill>
        </w:rPr>
      </w:pPr>
    </w:p>
    <w:p w14:paraId="37D7CDAF">
      <w:pPr>
        <w:spacing w:before="158" w:beforeLines="50" w:after="158" w:afterLines="50" w:line="440" w:lineRule="exact"/>
        <w:jc w:val="center"/>
        <w:rPr>
          <w:rFonts w:eastAsia="黑体"/>
          <w:color w:val="000000" w:themeColor="text1"/>
          <w:sz w:val="28"/>
          <w:szCs w:val="28"/>
          <w:highlight w:val="none"/>
          <w14:textFill>
            <w14:solidFill>
              <w14:schemeClr w14:val="tx1"/>
            </w14:solidFill>
          </w14:textFill>
        </w:rPr>
      </w:pPr>
      <w:r>
        <w:rPr>
          <w:rFonts w:hint="eastAsia" w:eastAsia="黑体"/>
          <w:color w:val="000000" w:themeColor="text1"/>
          <w:sz w:val="28"/>
          <w:szCs w:val="28"/>
          <w:highlight w:val="none"/>
          <w14:textFill>
            <w14:solidFill>
              <w14:schemeClr w14:val="tx1"/>
            </w14:solidFill>
          </w14:textFill>
        </w:rPr>
        <w:t>非甲限、乙购主要材料（设备）品牌表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3443"/>
        <w:gridCol w:w="1252"/>
        <w:gridCol w:w="2335"/>
        <w:gridCol w:w="1384"/>
      </w:tblGrid>
      <w:tr w14:paraId="2192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7A6B1151">
            <w:pPr>
              <w:jc w:val="center"/>
              <w:textAlignment w:val="center"/>
              <w:rPr>
                <w:rFonts w:ascii="仿宋" w:hAnsi="仿宋" w:eastAsia="仿宋" w:cs="仿宋"/>
                <w:b/>
                <w:sz w:val="28"/>
                <w:szCs w:val="28"/>
                <w:highlight w:val="none"/>
              </w:rPr>
            </w:pPr>
            <w:r>
              <w:rPr>
                <w:rFonts w:hint="eastAsia" w:ascii="仿宋" w:hAnsi="仿宋" w:eastAsia="仿宋" w:cs="仿宋"/>
                <w:b/>
                <w:sz w:val="28"/>
                <w:szCs w:val="28"/>
                <w:highlight w:val="none"/>
              </w:rPr>
              <w:t>序号</w:t>
            </w:r>
          </w:p>
        </w:tc>
        <w:tc>
          <w:tcPr>
            <w:tcW w:w="1854" w:type="pct"/>
            <w:vAlign w:val="center"/>
          </w:tcPr>
          <w:p w14:paraId="2A9659ED">
            <w:pPr>
              <w:jc w:val="center"/>
              <w:textAlignment w:val="center"/>
              <w:rPr>
                <w:rFonts w:ascii="仿宋" w:hAnsi="仿宋" w:eastAsia="仿宋" w:cs="仿宋"/>
                <w:b/>
                <w:sz w:val="28"/>
                <w:szCs w:val="28"/>
                <w:highlight w:val="none"/>
              </w:rPr>
            </w:pPr>
            <w:r>
              <w:rPr>
                <w:rFonts w:hint="eastAsia" w:ascii="仿宋" w:hAnsi="仿宋" w:eastAsia="仿宋" w:cs="仿宋"/>
                <w:b/>
                <w:sz w:val="28"/>
                <w:szCs w:val="28"/>
                <w:highlight w:val="none"/>
              </w:rPr>
              <w:t>材料（设备）名称</w:t>
            </w:r>
          </w:p>
        </w:tc>
        <w:tc>
          <w:tcPr>
            <w:tcW w:w="674" w:type="pct"/>
            <w:vAlign w:val="center"/>
          </w:tcPr>
          <w:p w14:paraId="19E59324">
            <w:pPr>
              <w:jc w:val="center"/>
              <w:textAlignment w:val="center"/>
              <w:rPr>
                <w:rFonts w:ascii="仿宋" w:hAnsi="仿宋" w:eastAsia="仿宋" w:cs="仿宋"/>
                <w:b/>
                <w:sz w:val="28"/>
                <w:szCs w:val="28"/>
                <w:highlight w:val="none"/>
              </w:rPr>
            </w:pPr>
            <w:r>
              <w:rPr>
                <w:rFonts w:hint="eastAsia" w:ascii="仿宋" w:hAnsi="仿宋" w:eastAsia="仿宋" w:cs="仿宋"/>
                <w:b/>
                <w:sz w:val="28"/>
                <w:szCs w:val="28"/>
                <w:highlight w:val="none"/>
              </w:rPr>
              <w:t>品牌</w:t>
            </w:r>
          </w:p>
        </w:tc>
        <w:tc>
          <w:tcPr>
            <w:tcW w:w="1257" w:type="pct"/>
            <w:vAlign w:val="center"/>
          </w:tcPr>
          <w:p w14:paraId="2EC9C87F">
            <w:pPr>
              <w:jc w:val="center"/>
              <w:textAlignment w:val="center"/>
              <w:rPr>
                <w:rFonts w:ascii="仿宋" w:hAnsi="仿宋" w:eastAsia="仿宋" w:cs="仿宋"/>
                <w:b/>
                <w:sz w:val="28"/>
                <w:szCs w:val="28"/>
                <w:highlight w:val="none"/>
              </w:rPr>
            </w:pPr>
            <w:r>
              <w:rPr>
                <w:rFonts w:hint="eastAsia" w:ascii="仿宋" w:hAnsi="仿宋" w:eastAsia="仿宋" w:cs="仿宋"/>
                <w:b/>
                <w:sz w:val="28"/>
                <w:szCs w:val="28"/>
                <w:highlight w:val="none"/>
              </w:rPr>
              <w:t>产地</w:t>
            </w:r>
          </w:p>
        </w:tc>
        <w:tc>
          <w:tcPr>
            <w:tcW w:w="745" w:type="pct"/>
            <w:vAlign w:val="center"/>
          </w:tcPr>
          <w:p w14:paraId="04B2FAFE">
            <w:pPr>
              <w:jc w:val="center"/>
              <w:textAlignment w:val="center"/>
              <w:rPr>
                <w:rFonts w:ascii="仿宋" w:hAnsi="仿宋" w:eastAsia="仿宋" w:cs="仿宋"/>
                <w:b/>
                <w:sz w:val="28"/>
                <w:szCs w:val="28"/>
                <w:highlight w:val="none"/>
              </w:rPr>
            </w:pPr>
            <w:r>
              <w:rPr>
                <w:rFonts w:hint="eastAsia" w:ascii="仿宋" w:hAnsi="仿宋" w:eastAsia="仿宋" w:cs="仿宋"/>
                <w:b/>
                <w:sz w:val="28"/>
                <w:szCs w:val="28"/>
                <w:highlight w:val="none"/>
              </w:rPr>
              <w:t>等级</w:t>
            </w:r>
          </w:p>
        </w:tc>
      </w:tr>
      <w:tr w14:paraId="51E1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66369031">
            <w:pPr>
              <w:jc w:val="center"/>
              <w:rPr>
                <w:szCs w:val="26"/>
                <w:highlight w:val="none"/>
              </w:rPr>
            </w:pPr>
            <w:r>
              <w:rPr>
                <w:rFonts w:hint="eastAsia"/>
                <w:szCs w:val="26"/>
                <w:highlight w:val="none"/>
              </w:rPr>
              <w:t>1</w:t>
            </w:r>
          </w:p>
        </w:tc>
        <w:tc>
          <w:tcPr>
            <w:tcW w:w="1854" w:type="pct"/>
            <w:vAlign w:val="center"/>
          </w:tcPr>
          <w:p w14:paraId="37D6756C">
            <w:pPr>
              <w:jc w:val="center"/>
              <w:rPr>
                <w:szCs w:val="26"/>
                <w:highlight w:val="none"/>
              </w:rPr>
            </w:pPr>
            <w:r>
              <w:rPr>
                <w:rFonts w:hint="eastAsia"/>
                <w:szCs w:val="26"/>
                <w:highlight w:val="none"/>
              </w:rPr>
              <w:t>...</w:t>
            </w:r>
          </w:p>
        </w:tc>
        <w:tc>
          <w:tcPr>
            <w:tcW w:w="674" w:type="pct"/>
            <w:vAlign w:val="center"/>
          </w:tcPr>
          <w:p w14:paraId="57BA31D2">
            <w:pPr>
              <w:jc w:val="center"/>
              <w:rPr>
                <w:szCs w:val="26"/>
                <w:highlight w:val="none"/>
              </w:rPr>
            </w:pPr>
          </w:p>
        </w:tc>
        <w:tc>
          <w:tcPr>
            <w:tcW w:w="1257" w:type="pct"/>
            <w:vAlign w:val="center"/>
          </w:tcPr>
          <w:p w14:paraId="54BC4BA9">
            <w:pPr>
              <w:jc w:val="center"/>
              <w:rPr>
                <w:szCs w:val="26"/>
                <w:highlight w:val="none"/>
              </w:rPr>
            </w:pPr>
          </w:p>
        </w:tc>
        <w:tc>
          <w:tcPr>
            <w:tcW w:w="745" w:type="pct"/>
            <w:vAlign w:val="center"/>
          </w:tcPr>
          <w:p w14:paraId="3C8B4B80">
            <w:pPr>
              <w:jc w:val="center"/>
              <w:rPr>
                <w:szCs w:val="26"/>
                <w:highlight w:val="none"/>
              </w:rPr>
            </w:pPr>
          </w:p>
        </w:tc>
      </w:tr>
      <w:tr w14:paraId="730E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24D27195">
            <w:pPr>
              <w:jc w:val="center"/>
              <w:rPr>
                <w:szCs w:val="26"/>
                <w:highlight w:val="none"/>
              </w:rPr>
            </w:pPr>
            <w:r>
              <w:rPr>
                <w:rFonts w:hint="eastAsia"/>
                <w:szCs w:val="26"/>
                <w:highlight w:val="none"/>
              </w:rPr>
              <w:t>2</w:t>
            </w:r>
          </w:p>
        </w:tc>
        <w:tc>
          <w:tcPr>
            <w:tcW w:w="1854" w:type="pct"/>
            <w:vAlign w:val="center"/>
          </w:tcPr>
          <w:p w14:paraId="576E34D3">
            <w:pPr>
              <w:jc w:val="center"/>
              <w:rPr>
                <w:szCs w:val="26"/>
                <w:highlight w:val="none"/>
              </w:rPr>
            </w:pPr>
            <w:r>
              <w:rPr>
                <w:rFonts w:hint="eastAsia"/>
                <w:szCs w:val="26"/>
                <w:highlight w:val="none"/>
              </w:rPr>
              <w:t>...</w:t>
            </w:r>
          </w:p>
        </w:tc>
        <w:tc>
          <w:tcPr>
            <w:tcW w:w="674" w:type="pct"/>
            <w:vAlign w:val="center"/>
          </w:tcPr>
          <w:p w14:paraId="0E732930">
            <w:pPr>
              <w:jc w:val="center"/>
              <w:rPr>
                <w:szCs w:val="26"/>
                <w:highlight w:val="none"/>
              </w:rPr>
            </w:pPr>
          </w:p>
        </w:tc>
        <w:tc>
          <w:tcPr>
            <w:tcW w:w="1257" w:type="pct"/>
            <w:vAlign w:val="center"/>
          </w:tcPr>
          <w:p w14:paraId="5125831C">
            <w:pPr>
              <w:jc w:val="center"/>
              <w:rPr>
                <w:szCs w:val="26"/>
                <w:highlight w:val="none"/>
              </w:rPr>
            </w:pPr>
          </w:p>
        </w:tc>
        <w:tc>
          <w:tcPr>
            <w:tcW w:w="745" w:type="pct"/>
            <w:vAlign w:val="center"/>
          </w:tcPr>
          <w:p w14:paraId="68969DBC">
            <w:pPr>
              <w:jc w:val="center"/>
              <w:rPr>
                <w:szCs w:val="26"/>
                <w:highlight w:val="none"/>
              </w:rPr>
            </w:pPr>
          </w:p>
        </w:tc>
      </w:tr>
      <w:tr w14:paraId="392E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0E290FBD">
            <w:pPr>
              <w:jc w:val="center"/>
              <w:rPr>
                <w:szCs w:val="26"/>
                <w:highlight w:val="none"/>
              </w:rPr>
            </w:pPr>
            <w:r>
              <w:rPr>
                <w:rFonts w:hint="eastAsia"/>
                <w:szCs w:val="26"/>
                <w:highlight w:val="none"/>
              </w:rPr>
              <w:t>3</w:t>
            </w:r>
          </w:p>
        </w:tc>
        <w:tc>
          <w:tcPr>
            <w:tcW w:w="1854" w:type="pct"/>
            <w:vAlign w:val="center"/>
          </w:tcPr>
          <w:p w14:paraId="0CACCF0D">
            <w:pPr>
              <w:jc w:val="center"/>
              <w:rPr>
                <w:szCs w:val="26"/>
                <w:highlight w:val="none"/>
              </w:rPr>
            </w:pPr>
            <w:r>
              <w:rPr>
                <w:rFonts w:hint="eastAsia"/>
                <w:szCs w:val="26"/>
                <w:highlight w:val="none"/>
              </w:rPr>
              <w:t>...</w:t>
            </w:r>
          </w:p>
        </w:tc>
        <w:tc>
          <w:tcPr>
            <w:tcW w:w="674" w:type="pct"/>
            <w:vAlign w:val="center"/>
          </w:tcPr>
          <w:p w14:paraId="6ABB9D94">
            <w:pPr>
              <w:jc w:val="center"/>
              <w:rPr>
                <w:szCs w:val="26"/>
                <w:highlight w:val="none"/>
              </w:rPr>
            </w:pPr>
          </w:p>
        </w:tc>
        <w:tc>
          <w:tcPr>
            <w:tcW w:w="1257" w:type="pct"/>
            <w:vAlign w:val="center"/>
          </w:tcPr>
          <w:p w14:paraId="4924070A">
            <w:pPr>
              <w:jc w:val="center"/>
              <w:rPr>
                <w:szCs w:val="26"/>
                <w:highlight w:val="none"/>
              </w:rPr>
            </w:pPr>
          </w:p>
        </w:tc>
        <w:tc>
          <w:tcPr>
            <w:tcW w:w="745" w:type="pct"/>
            <w:vAlign w:val="center"/>
          </w:tcPr>
          <w:p w14:paraId="00180E66">
            <w:pPr>
              <w:jc w:val="center"/>
              <w:rPr>
                <w:szCs w:val="26"/>
                <w:highlight w:val="none"/>
              </w:rPr>
            </w:pPr>
          </w:p>
        </w:tc>
      </w:tr>
      <w:tr w14:paraId="058C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0" w:type="pct"/>
            <w:vAlign w:val="center"/>
          </w:tcPr>
          <w:p w14:paraId="310667B7">
            <w:pPr>
              <w:jc w:val="center"/>
              <w:rPr>
                <w:szCs w:val="26"/>
                <w:highlight w:val="none"/>
              </w:rPr>
            </w:pPr>
            <w:r>
              <w:rPr>
                <w:rFonts w:hint="eastAsia"/>
                <w:szCs w:val="26"/>
                <w:highlight w:val="none"/>
              </w:rPr>
              <w:t>...</w:t>
            </w:r>
          </w:p>
        </w:tc>
        <w:tc>
          <w:tcPr>
            <w:tcW w:w="1854" w:type="pct"/>
            <w:vAlign w:val="center"/>
          </w:tcPr>
          <w:p w14:paraId="1787A08B">
            <w:pPr>
              <w:jc w:val="center"/>
              <w:rPr>
                <w:szCs w:val="26"/>
                <w:highlight w:val="none"/>
              </w:rPr>
            </w:pPr>
            <w:r>
              <w:rPr>
                <w:rFonts w:hint="eastAsia"/>
                <w:szCs w:val="26"/>
                <w:highlight w:val="none"/>
              </w:rPr>
              <w:t>...</w:t>
            </w:r>
          </w:p>
        </w:tc>
        <w:tc>
          <w:tcPr>
            <w:tcW w:w="674" w:type="pct"/>
            <w:vAlign w:val="center"/>
          </w:tcPr>
          <w:p w14:paraId="4A6C6C98">
            <w:pPr>
              <w:jc w:val="center"/>
              <w:rPr>
                <w:szCs w:val="26"/>
                <w:highlight w:val="none"/>
              </w:rPr>
            </w:pPr>
          </w:p>
        </w:tc>
        <w:tc>
          <w:tcPr>
            <w:tcW w:w="1257" w:type="pct"/>
            <w:vAlign w:val="center"/>
          </w:tcPr>
          <w:p w14:paraId="41CC5EA1">
            <w:pPr>
              <w:jc w:val="center"/>
              <w:rPr>
                <w:szCs w:val="26"/>
                <w:highlight w:val="none"/>
              </w:rPr>
            </w:pPr>
          </w:p>
        </w:tc>
        <w:tc>
          <w:tcPr>
            <w:tcW w:w="745" w:type="pct"/>
            <w:vAlign w:val="center"/>
          </w:tcPr>
          <w:p w14:paraId="2FD3ABA0">
            <w:pPr>
              <w:jc w:val="center"/>
              <w:rPr>
                <w:szCs w:val="26"/>
                <w:highlight w:val="none"/>
              </w:rPr>
            </w:pPr>
          </w:p>
        </w:tc>
      </w:tr>
    </w:tbl>
    <w:p w14:paraId="4B9A505A">
      <w:pPr>
        <w:ind w:firstLine="562"/>
        <w:rPr>
          <w:rFonts w:ascii="仿宋" w:hAnsi="仿宋" w:eastAsia="仿宋" w:cs="仿宋"/>
          <w:b/>
          <w:bCs/>
          <w:sz w:val="28"/>
          <w:szCs w:val="28"/>
          <w:highlight w:val="none"/>
        </w:rPr>
      </w:pPr>
    </w:p>
    <w:p w14:paraId="0F8E8557">
      <w:pPr>
        <w:adjustRightInd w:val="0"/>
        <w:snapToGrid w:val="0"/>
        <w:spacing w:line="520" w:lineRule="exact"/>
        <w:rPr>
          <w:rFonts w:ascii="仿宋" w:hAnsi="仿宋" w:eastAsia="仿宋" w:cs="仿宋"/>
          <w:sz w:val="24"/>
          <w:szCs w:val="24"/>
          <w:highlight w:val="none"/>
          <w:u w:val="single"/>
        </w:rPr>
      </w:pPr>
      <w:r>
        <w:rPr>
          <w:rFonts w:ascii="仿宋" w:hAnsi="仿宋" w:eastAsia="仿宋" w:cs="仿宋"/>
          <w:sz w:val="24"/>
          <w:szCs w:val="24"/>
          <w:highlight w:val="none"/>
          <w:u w:val="single"/>
        </w:rPr>
        <w:br w:type="page"/>
      </w:r>
    </w:p>
    <w:p w14:paraId="3797931C">
      <w:pPr>
        <w:adjustRightInd w:val="0"/>
        <w:snapToGrid w:val="0"/>
        <w:spacing w:line="300" w:lineRule="auto"/>
        <w:jc w:val="left"/>
        <w:rPr>
          <w:rFonts w:ascii="黑体" w:hAnsi="黑体" w:eastAsia="黑体"/>
          <w:sz w:val="32"/>
          <w:szCs w:val="32"/>
          <w:highlight w:val="none"/>
        </w:rPr>
      </w:pPr>
      <w:r>
        <w:rPr>
          <w:rFonts w:hint="eastAsia" w:ascii="仿宋" w:hAnsi="仿宋" w:eastAsia="仿宋" w:cs="仿宋"/>
          <w:sz w:val="24"/>
          <w:szCs w:val="24"/>
          <w:highlight w:val="none"/>
        </w:rPr>
        <w:t>附件</w:t>
      </w:r>
      <w:r>
        <w:rPr>
          <w:rFonts w:ascii="仿宋" w:hAnsi="仿宋" w:eastAsia="仿宋" w:cs="仿宋"/>
          <w:sz w:val="24"/>
          <w:szCs w:val="24"/>
          <w:highlight w:val="none"/>
        </w:rPr>
        <w:t>4：</w:t>
      </w:r>
      <w:r>
        <w:rPr>
          <w:rFonts w:ascii="黑体" w:hAnsi="黑体" w:eastAsia="黑体"/>
          <w:sz w:val="32"/>
          <w:szCs w:val="32"/>
          <w:highlight w:val="none"/>
        </w:rPr>
        <w:t xml:space="preserve">   </w:t>
      </w:r>
    </w:p>
    <w:p w14:paraId="5A24ED3F">
      <w:pPr>
        <w:adjustRightInd w:val="0"/>
        <w:snapToGrid w:val="0"/>
        <w:spacing w:line="300" w:lineRule="auto"/>
        <w:ind w:firstLine="640"/>
        <w:jc w:val="center"/>
        <w:rPr>
          <w:rFonts w:ascii="黑体" w:hAnsi="黑体" w:eastAsia="黑体"/>
          <w:sz w:val="32"/>
          <w:szCs w:val="32"/>
          <w:highlight w:val="none"/>
        </w:rPr>
      </w:pPr>
      <w:r>
        <w:rPr>
          <w:rFonts w:hint="eastAsia" w:ascii="黑体" w:hAnsi="黑体" w:eastAsia="黑体"/>
          <w:sz w:val="28"/>
          <w:szCs w:val="28"/>
          <w:highlight w:val="none"/>
        </w:rPr>
        <w:t>施工现场管理协议</w:t>
      </w:r>
    </w:p>
    <w:p w14:paraId="63578308">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发包人：                         </w:t>
      </w:r>
    </w:p>
    <w:p w14:paraId="213BCBE0">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承包人：                         </w:t>
      </w:r>
    </w:p>
    <w:p w14:paraId="1842CD2A">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为了切实加强施工现场管理，依照双方签订的施工承包合同，本着平等、自愿的原则，签订本协议书。甲、乙双方均须严格遵守本协议书规定的权利、责任和义务，确保现场安全文明施工。</w:t>
      </w:r>
    </w:p>
    <w:p w14:paraId="3ED0B6BA">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一、管理要求</w:t>
      </w:r>
    </w:p>
    <w:p w14:paraId="233F685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w:t>
      </w:r>
      <w:r>
        <w:rPr>
          <w:rFonts w:hint="eastAsia" w:ascii="仿宋" w:hAnsi="仿宋" w:eastAsia="仿宋" w:cs="仿宋"/>
          <w:sz w:val="24"/>
          <w:szCs w:val="24"/>
          <w:highlight w:val="none"/>
        </w:rPr>
        <w:t>、施工现场周围设置封闭式硬质围挡，并做到坚固、稳定、整洁美观，将施工区域和非施工区域封闭隔离，原则上应设置不少于两个施工出入口。</w:t>
      </w:r>
    </w:p>
    <w:p w14:paraId="542DA82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2</w:t>
      </w:r>
      <w:r>
        <w:rPr>
          <w:rFonts w:hint="eastAsia" w:ascii="仿宋" w:hAnsi="仿宋" w:eastAsia="仿宋" w:cs="仿宋"/>
          <w:sz w:val="24"/>
          <w:szCs w:val="24"/>
          <w:highlight w:val="none"/>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68285CA8">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3</w:t>
      </w:r>
      <w:r>
        <w:rPr>
          <w:rFonts w:hint="eastAsia" w:ascii="仿宋" w:hAnsi="仿宋" w:eastAsia="仿宋" w:cs="仿宋"/>
          <w:sz w:val="24"/>
          <w:szCs w:val="24"/>
          <w:highlight w:val="none"/>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28771B15">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4</w:t>
      </w:r>
      <w:r>
        <w:rPr>
          <w:rFonts w:hint="eastAsia" w:ascii="仿宋" w:hAnsi="仿宋" w:eastAsia="仿宋" w:cs="仿宋"/>
          <w:sz w:val="24"/>
          <w:szCs w:val="24"/>
          <w:highlight w:val="none"/>
        </w:rPr>
        <w:t>、在施工现场禁烟区设立禁烟标志，禁烟区内严禁吸烟，保证地面无烟头。</w:t>
      </w:r>
    </w:p>
    <w:p w14:paraId="52862207">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5</w:t>
      </w:r>
      <w:r>
        <w:rPr>
          <w:rFonts w:hint="eastAsia" w:ascii="仿宋" w:hAnsi="仿宋" w:eastAsia="仿宋" w:cs="仿宋"/>
          <w:sz w:val="24"/>
          <w:szCs w:val="24"/>
          <w:highlight w:val="none"/>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676AFFB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6</w:t>
      </w:r>
      <w:r>
        <w:rPr>
          <w:rFonts w:hint="eastAsia" w:ascii="仿宋" w:hAnsi="仿宋" w:eastAsia="仿宋" w:cs="仿宋"/>
          <w:sz w:val="24"/>
          <w:szCs w:val="24"/>
          <w:highlight w:val="none"/>
        </w:rPr>
        <w:t>、办公区、生活区、材料堆放场、加工场、仓库区地面、工地内外通道必须作混凝土硬化处理。</w:t>
      </w:r>
    </w:p>
    <w:p w14:paraId="74BF1B68">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7</w:t>
      </w:r>
      <w:r>
        <w:rPr>
          <w:rFonts w:hint="eastAsia" w:ascii="仿宋" w:hAnsi="仿宋" w:eastAsia="仿宋" w:cs="仿宋"/>
          <w:sz w:val="24"/>
          <w:szCs w:val="24"/>
          <w:highlight w:val="none"/>
        </w:rPr>
        <w:t>、施工现场应按照施工总平面布置图搭设各项临时设施，定位堆放各种材料、成品、半成品和机械设备并进行标识，并码放整齐、限宽限高、上架入箱、分类挂牌标识，不得侵占场内道路及安全防护等设施。</w:t>
      </w:r>
    </w:p>
    <w:p w14:paraId="45FAB6B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8</w:t>
      </w:r>
      <w:r>
        <w:rPr>
          <w:rFonts w:hint="eastAsia" w:ascii="仿宋" w:hAnsi="仿宋" w:eastAsia="仿宋" w:cs="仿宋"/>
          <w:sz w:val="24"/>
          <w:szCs w:val="24"/>
          <w:highlight w:val="none"/>
        </w:rPr>
        <w:t>、施工现场重要和危险部位必须设置明显的安全警示标志及围挡设施。施工现场的楼梯、电梯、预留口、通道、深基础、坑井、平台、屋面、楼面等一切容易坠落的临边临口必须设置有效的防护和警示设施。</w:t>
      </w:r>
    </w:p>
    <w:p w14:paraId="6DE513AB">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9</w:t>
      </w:r>
      <w:r>
        <w:rPr>
          <w:rFonts w:hint="eastAsia" w:ascii="仿宋" w:hAnsi="仿宋" w:eastAsia="仿宋" w:cs="仿宋"/>
          <w:sz w:val="24"/>
          <w:szCs w:val="24"/>
          <w:highlight w:val="none"/>
        </w:rPr>
        <w:t>、建筑垃圾要及时清理，并设置垃圾池指定地点集中堆放；每日下班以前，施工区域必须进行清洁整理，物料码放整齐，废料及时清运，保证现场环境卫生整洁。</w:t>
      </w:r>
    </w:p>
    <w:p w14:paraId="40617146">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10</w:t>
      </w:r>
      <w:r>
        <w:rPr>
          <w:rFonts w:hint="eastAsia" w:ascii="仿宋" w:hAnsi="仿宋" w:eastAsia="仿宋" w:cs="仿宋"/>
          <w:sz w:val="24"/>
          <w:szCs w:val="24"/>
          <w:highlight w:val="none"/>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182CD96B">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11</w:t>
      </w:r>
      <w:r>
        <w:rPr>
          <w:rFonts w:hint="eastAsia" w:ascii="仿宋" w:hAnsi="仿宋" w:eastAsia="仿宋" w:cs="仿宋"/>
          <w:sz w:val="24"/>
          <w:szCs w:val="24"/>
          <w:highlight w:val="none"/>
        </w:rPr>
        <w:t>、项目内必须实行“三级配电三级保护”，即总漏电保护、分配电箱漏电保护和开关箱漏电保护。临时用电设施的安装和使用必须符合安装规范和安全操作规程。</w:t>
      </w:r>
    </w:p>
    <w:p w14:paraId="3A48C1E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12</w:t>
      </w:r>
      <w:r>
        <w:rPr>
          <w:rFonts w:hint="eastAsia" w:ascii="仿宋" w:hAnsi="仿宋" w:eastAsia="仿宋" w:cs="仿宋"/>
          <w:sz w:val="24"/>
          <w:szCs w:val="24"/>
          <w:highlight w:val="none"/>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448550E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13</w:t>
      </w:r>
      <w:r>
        <w:rPr>
          <w:rFonts w:hint="eastAsia" w:ascii="仿宋" w:hAnsi="仿宋" w:eastAsia="仿宋" w:cs="仿宋"/>
          <w:sz w:val="24"/>
          <w:szCs w:val="24"/>
          <w:highlight w:val="none"/>
        </w:rPr>
        <w:t>、施工现场的已有设备设施、地下管线、已完工程等，须采取成品保护措施，施工前提前告知报备，施工过程安排人员旁站监督，施工结束及时与相关方交接见证，严禁野蛮施工。</w:t>
      </w:r>
    </w:p>
    <w:p w14:paraId="76EEC75B">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14</w:t>
      </w:r>
      <w:r>
        <w:rPr>
          <w:rFonts w:hint="eastAsia" w:ascii="仿宋" w:hAnsi="仿宋" w:eastAsia="仿宋" w:cs="仿宋"/>
          <w:sz w:val="24"/>
          <w:szCs w:val="24"/>
          <w:highlight w:val="none"/>
        </w:rPr>
        <w:t>、工程竣工后，施工单位应当在一周内拆除围挡及临时设施，恢复场地原状，做到“工完料净、场地清”</w:t>
      </w:r>
    </w:p>
    <w:p w14:paraId="0FE55929">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二、责任考核</w:t>
      </w:r>
    </w:p>
    <w:p w14:paraId="5B029DAA">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对于违反上述施工现场管理标准的，发包人将视情节严重情况，依据双方承包合同和《基建项目考核管理办法》，给予承包人</w:t>
      </w:r>
      <w:r>
        <w:rPr>
          <w:rFonts w:ascii="仿宋" w:hAnsi="仿宋" w:eastAsia="仿宋" w:cs="仿宋"/>
          <w:sz w:val="24"/>
          <w:szCs w:val="24"/>
          <w:highlight w:val="none"/>
        </w:rPr>
        <w:t>1000</w:t>
      </w:r>
      <w:r>
        <w:rPr>
          <w:rFonts w:hint="eastAsia" w:ascii="仿宋" w:hAnsi="仿宋" w:eastAsia="仿宋" w:cs="仿宋"/>
          <w:sz w:val="24"/>
          <w:szCs w:val="24"/>
          <w:highlight w:val="none"/>
        </w:rPr>
        <w:t>-</w:t>
      </w:r>
      <w:r>
        <w:rPr>
          <w:rFonts w:ascii="仿宋" w:hAnsi="仿宋" w:eastAsia="仿宋" w:cs="仿宋"/>
          <w:sz w:val="24"/>
          <w:szCs w:val="24"/>
          <w:highlight w:val="none"/>
        </w:rPr>
        <w:t>20000</w:t>
      </w:r>
      <w:r>
        <w:rPr>
          <w:rFonts w:hint="eastAsia" w:ascii="仿宋" w:hAnsi="仿宋" w:eastAsia="仿宋" w:cs="仿宋"/>
          <w:sz w:val="24"/>
          <w:szCs w:val="24"/>
          <w:highlight w:val="none"/>
        </w:rPr>
        <w:t>元/项考核。</w:t>
      </w:r>
    </w:p>
    <w:p w14:paraId="057EEC47">
      <w:pPr>
        <w:widowControl/>
        <w:spacing w:line="360" w:lineRule="auto"/>
        <w:ind w:firstLine="480" w:firstLineChars="200"/>
        <w:rPr>
          <w:rFonts w:ascii="仿宋" w:hAnsi="仿宋" w:eastAsia="仿宋" w:cs="仿宋"/>
          <w:sz w:val="24"/>
          <w:szCs w:val="24"/>
          <w:highlight w:val="none"/>
        </w:rPr>
      </w:pPr>
    </w:p>
    <w:p w14:paraId="75A9AC46">
      <w:pPr>
        <w:adjustRightInd w:val="0"/>
        <w:snapToGrid w:val="0"/>
        <w:spacing w:line="440" w:lineRule="exact"/>
        <w:ind w:firstLine="360" w:firstLineChars="150"/>
        <w:jc w:val="left"/>
        <w:rPr>
          <w:rFonts w:ascii="仿宋" w:hAnsi="仿宋" w:eastAsia="仿宋" w:cs="仿宋"/>
          <w:sz w:val="24"/>
          <w:szCs w:val="24"/>
          <w:highlight w:val="none"/>
        </w:rPr>
      </w:pPr>
      <w:r>
        <w:rPr>
          <w:rFonts w:ascii="仿宋" w:hAnsi="仿宋" w:eastAsia="仿宋" w:cs="仿宋"/>
          <w:sz w:val="24"/>
          <w:szCs w:val="24"/>
          <w:highlight w:val="none"/>
        </w:rPr>
        <w:br w:type="page"/>
      </w:r>
    </w:p>
    <w:p w14:paraId="71BE059A">
      <w:pPr>
        <w:adjustRightInd w:val="0"/>
        <w:snapToGrid w:val="0"/>
        <w:spacing w:line="440" w:lineRule="exact"/>
        <w:jc w:val="left"/>
        <w:rPr>
          <w:rFonts w:ascii="仿宋" w:hAnsi="仿宋" w:eastAsia="仿宋" w:cs="仿宋"/>
          <w:sz w:val="28"/>
          <w:szCs w:val="28"/>
          <w:highlight w:val="none"/>
        </w:rPr>
      </w:pPr>
      <w:r>
        <w:rPr>
          <w:rFonts w:hint="eastAsia" w:ascii="仿宋" w:hAnsi="仿宋" w:eastAsia="仿宋" w:cs="仿宋"/>
          <w:sz w:val="28"/>
          <w:szCs w:val="28"/>
          <w:highlight w:val="none"/>
        </w:rPr>
        <w:t>附件</w:t>
      </w:r>
      <w:r>
        <w:rPr>
          <w:rFonts w:ascii="仿宋" w:hAnsi="仿宋" w:eastAsia="仿宋" w:cs="仿宋"/>
          <w:sz w:val="28"/>
          <w:szCs w:val="28"/>
          <w:highlight w:val="none"/>
        </w:rPr>
        <w:t>5</w:t>
      </w:r>
    </w:p>
    <w:p w14:paraId="401AC5E0">
      <w:pPr>
        <w:adjustRightInd w:val="0"/>
        <w:snapToGrid w:val="0"/>
        <w:spacing w:line="440" w:lineRule="exact"/>
        <w:jc w:val="center"/>
        <w:rPr>
          <w:rFonts w:ascii="黑体" w:hAnsi="黑体" w:eastAsia="黑体" w:cs="仿宋"/>
          <w:sz w:val="28"/>
          <w:szCs w:val="28"/>
          <w:highlight w:val="none"/>
        </w:rPr>
      </w:pPr>
      <w:r>
        <w:rPr>
          <w:rFonts w:hint="eastAsia" w:ascii="黑体" w:hAnsi="黑体" w:eastAsia="黑体" w:cs="仿宋"/>
          <w:sz w:val="28"/>
          <w:szCs w:val="28"/>
          <w:highlight w:val="none"/>
        </w:rPr>
        <w:t>项目考核管理（细则）协议</w:t>
      </w:r>
    </w:p>
    <w:p w14:paraId="41C65D5F">
      <w:pPr>
        <w:adjustRightInd w:val="0"/>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发包人：                         </w:t>
      </w:r>
    </w:p>
    <w:p w14:paraId="6ABB72C7">
      <w:pPr>
        <w:adjustRightInd w:val="0"/>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承包人：                         </w:t>
      </w:r>
    </w:p>
    <w:p w14:paraId="263DD97E">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双方同意执行以下考核细则</w:t>
      </w:r>
      <w:r>
        <w:rPr>
          <w:rFonts w:hint="eastAsia" w:ascii="仿宋" w:hAnsi="仿宋" w:eastAsia="仿宋" w:cs="仿宋_GB2312"/>
          <w:color w:val="000000" w:themeColor="text1"/>
          <w:sz w:val="24"/>
          <w:szCs w:val="24"/>
          <w:highlight w:val="none"/>
          <w14:textFill>
            <w14:solidFill>
              <w14:schemeClr w14:val="tx1"/>
            </w14:solidFill>
          </w14:textFill>
        </w:rPr>
        <w:t>，承包人同意按照下述约定由发包人扣除相应费用作为考核</w:t>
      </w:r>
      <w:r>
        <w:rPr>
          <w:rFonts w:hint="eastAsia" w:ascii="仿宋" w:hAnsi="仿宋" w:eastAsia="仿宋"/>
          <w:color w:val="000000" w:themeColor="text1"/>
          <w:sz w:val="24"/>
          <w:highlight w:val="none"/>
          <w14:textFill>
            <w14:solidFill>
              <w14:schemeClr w14:val="tx1"/>
            </w14:solidFill>
          </w14:textFill>
        </w:rPr>
        <w:t>，具体如下：</w:t>
      </w:r>
    </w:p>
    <w:p w14:paraId="2BBFFAB3">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一、施工进度考核</w:t>
      </w:r>
    </w:p>
    <w:p w14:paraId="51F495EA">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1.1施工单位须向监理、项目指挥部按时提交总进度计划、周计划、专项计划以及各节点的控制计划，提交的计划必须经项目经理签字加盖项目章，否则视为无效提交。对未按要求时间提交的，每拖延一天</w:t>
      </w:r>
      <w:r>
        <w:rPr>
          <w:rFonts w:hint="eastAsia" w:ascii="仿宋" w:hAnsi="仿宋" w:eastAsia="仿宋" w:cs="仿宋_GB2312"/>
          <w:color w:val="000000" w:themeColor="text1"/>
          <w:sz w:val="24"/>
          <w:szCs w:val="24"/>
          <w:highlight w:val="none"/>
          <w14:textFill>
            <w14:solidFill>
              <w14:schemeClr w14:val="tx1"/>
            </w14:solidFill>
          </w14:textFill>
        </w:rPr>
        <w:t>处以</w:t>
      </w:r>
      <w:r>
        <w:rPr>
          <w:rFonts w:hint="eastAsia" w:ascii="仿宋" w:hAnsi="仿宋" w:eastAsia="仿宋"/>
          <w:color w:val="000000" w:themeColor="text1"/>
          <w:sz w:val="24"/>
          <w:highlight w:val="none"/>
          <w14:textFill>
            <w14:solidFill>
              <w14:schemeClr w14:val="tx1"/>
            </w14:solidFill>
          </w14:textFill>
        </w:rPr>
        <w:t>2000-10000元</w:t>
      </w:r>
      <w:r>
        <w:rPr>
          <w:rFonts w:hint="eastAsia" w:ascii="仿宋" w:hAnsi="仿宋" w:eastAsia="仿宋" w:cs="仿宋_GB2312"/>
          <w:color w:val="000000" w:themeColor="text1"/>
          <w:sz w:val="24"/>
          <w:szCs w:val="24"/>
          <w:highlight w:val="none"/>
          <w14:textFill>
            <w14:solidFill>
              <w14:schemeClr w14:val="tx1"/>
            </w14:solidFill>
          </w14:textFill>
        </w:rPr>
        <w:t>考核</w:t>
      </w:r>
      <w:r>
        <w:rPr>
          <w:rFonts w:hint="eastAsia" w:ascii="仿宋" w:hAnsi="仿宋" w:eastAsia="仿宋"/>
          <w:color w:val="000000" w:themeColor="text1"/>
          <w:sz w:val="24"/>
          <w:highlight w:val="none"/>
          <w14:textFill>
            <w14:solidFill>
              <w14:schemeClr w14:val="tx1"/>
            </w14:solidFill>
          </w14:textFill>
        </w:rPr>
        <w:t>。</w:t>
      </w:r>
    </w:p>
    <w:p w14:paraId="5C87DA1F">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1.2施工计划编制质量差，屡次整改达不到要求的，处以2000-5000元/次考核。</w:t>
      </w:r>
    </w:p>
    <w:p w14:paraId="19A53460">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1.3周计划进度、专项计划进度、各控制点进度的子项任务未按计划完成，且无正当理由延期的，每一项拖延一天，处以2000-10000元/天/项考核。</w:t>
      </w:r>
    </w:p>
    <w:p w14:paraId="598FE347">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1.4里程碑节点滞后的，按照合同约定的违约条款，处以不低于合同额的万分之三/天且不低于1万元/天考核。</w:t>
      </w:r>
    </w:p>
    <w:p w14:paraId="661C1961">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1.5施工单位为完成进度计划应制定有效的保证措施，包括人、料、机等资源投入，作业时间调整等，对人、料、机投入不能满足施工进度计划要求并对工程进度造成潜在影响的，处以5000-10000元考核。</w:t>
      </w:r>
    </w:p>
    <w:p w14:paraId="5EB3EF1A">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1.6工程进度滞后，现场项目部安排加班抢工，对施工单位不响应抢工要求的，不组织工人机械加班抢工的，处以20000-50000元/天考核。</w:t>
      </w:r>
    </w:p>
    <w:p w14:paraId="2A3B3847">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1.7对于临时工作任务，经现场项目部以书面工作联系单的形式向施工单位发出工作指令，要求限期完成，施工单位无正当理由未按期完成的，每拖延一天处以5000-20000元/天考核。</w:t>
      </w:r>
    </w:p>
    <w:p w14:paraId="3DA88B01">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1.8在周例会或专题会议上，现场项目部要求限期完成的工作任务，施工单位无正当理由未按时完成的，每拖延一天处以5000-20000元/天/项考核。</w:t>
      </w:r>
    </w:p>
    <w:p w14:paraId="57882B97">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1.9施工进度滞后，对组织抢工措施不力，消极应对、采取考核措施仍不见效的施工单位，将采取公司发函、约谈责任单位企业负责人，情节严重的将列入黑名单，取消今后项目招标入围资格。</w:t>
      </w:r>
    </w:p>
    <w:p w14:paraId="74C772BF">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二、施工安全文明考核</w:t>
      </w:r>
    </w:p>
    <w:p w14:paraId="47F7909A">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2.1项目部或监理单位下达的书面整改文件（包括各类通知单、联系单、会议要求等）未按要求时间整改完毕的，每拖延一天处以5000-20000元/天考核。</w:t>
      </w:r>
    </w:p>
    <w:p w14:paraId="14C7691A">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2.2对不按时参加现场组织的安全周、月及专项检查的，处以2000-5000元/次考核。</w:t>
      </w:r>
    </w:p>
    <w:p w14:paraId="799B1591">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 xml:space="preserve">2.3“三宝四口”措施不到位，对不正确使用或不使用安全帽、安全带的，予以500元/人·次考核。对“四口”存在的安全隐患，督促后仍未整改的，予以5000元/处考核，并每拖延一天处以10000元考核。        </w:t>
      </w:r>
    </w:p>
    <w:p w14:paraId="697552C6">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2.4特种作业未能持证上岗、未办理动火审批手续、消防器材未配备到位、施工人员未佩戴安全帽、安全绳、高空作业防护不到位、施工现场吸烟等违规行为，每发现一处，处以2000-5000元考核。</w:t>
      </w:r>
    </w:p>
    <w:p w14:paraId="104997EA">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2.5施工单位应每日工完料净，施工垃圾集中清运，道路遗撒污染、施工垃圾及包装物乱堆乱弃等现象，每发现一处，处以2000-10000元考核。</w:t>
      </w:r>
    </w:p>
    <w:p w14:paraId="0288AE9D">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2.6对抑尘措施不到位，发生扬尘现象的，处以2000-10000元/次考核；对被环保、渣土办部门处罚的，除相关处罚所有费用均由施工单位承担外，建设单位对施工单位予以加倍处罚。</w:t>
      </w:r>
    </w:p>
    <w:p w14:paraId="2966AD74">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54D4A0CE">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三、施工质量考核</w:t>
      </w:r>
    </w:p>
    <w:p w14:paraId="7AE575E3">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3.1未按要求执行样品样板开路的或擅自更换材料品牌的，处以5000-50000元/次</w:t>
      </w:r>
      <w:r>
        <w:rPr>
          <w:rFonts w:hint="eastAsia" w:ascii="仿宋" w:hAnsi="仿宋" w:eastAsia="仿宋" w:cs="仿宋_GB2312"/>
          <w:color w:val="000000" w:themeColor="text1"/>
          <w:sz w:val="24"/>
          <w:szCs w:val="24"/>
          <w:highlight w:val="none"/>
          <w14:textFill>
            <w14:solidFill>
              <w14:schemeClr w14:val="tx1"/>
            </w14:solidFill>
          </w14:textFill>
        </w:rPr>
        <w:t>考核</w:t>
      </w:r>
      <w:r>
        <w:rPr>
          <w:rFonts w:hint="eastAsia" w:ascii="仿宋" w:hAnsi="仿宋" w:eastAsia="仿宋"/>
          <w:color w:val="000000" w:themeColor="text1"/>
          <w:sz w:val="24"/>
          <w:highlight w:val="none"/>
          <w14:textFill>
            <w14:solidFill>
              <w14:schemeClr w14:val="tx1"/>
            </w14:solidFill>
          </w14:textFill>
        </w:rPr>
        <w:t>。</w:t>
      </w:r>
    </w:p>
    <w:p w14:paraId="7CCD4988">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3.2进场材料不合格，进行退场处理并予以警告，重新进场后经检查仍不合格的或材料进场发生两次及以上不合格的，处以5000-20000元/次考核。</w:t>
      </w:r>
    </w:p>
    <w:p w14:paraId="1BB71EED">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3.3未经验收，擅自进入下道工序施工的，处以5000～20000元/次考核。</w:t>
      </w:r>
    </w:p>
    <w:p w14:paraId="4A814CB1">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3.4对于质量问题不按监理工程师通知单要求整改，擅自进行下一步施工的处以5000～10000元/项考核。在接到监理通知后未在通知时间内完成整改的，处以2000～10000元/项考核。</w:t>
      </w:r>
    </w:p>
    <w:p w14:paraId="4028BA2F">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3.5隐蔽工程未经监理单位检查验收擅自隐蔽的，须打开或拆除后重新检查，并处以5000～20000元/次考核。</w:t>
      </w:r>
    </w:p>
    <w:p w14:paraId="3BE73A54">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3.6同一部位、同一施工质量问题，签发第二份整改通知单的，予以加倍处罚，处以20000～50000元/项考核。</w:t>
      </w:r>
    </w:p>
    <w:p w14:paraId="382BC21B">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 xml:space="preserve">3.7对于发生较大、重大质量事故的造成严重影响的，除限期整改、返工并承担损失责任外，另处以10万-20万元/项考核。     </w:t>
      </w:r>
    </w:p>
    <w:p w14:paraId="1376961D">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四、施工成本及结算考核</w:t>
      </w:r>
    </w:p>
    <w:p w14:paraId="195B8540">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4.1批价申请价格高于最终审批价格50%以上的，按最终审批价格乘以0.9系数进入结算审计，作为对施工方的考核；批价申请价格高于最终审批价格100%以上的，按最终审批价格乘以0.8系数进行结算审计，作为对施工方的考核。批价申请资料存在伪造、虚假材料的，视情节另对施工单位进行1000-10000元/项考核。</w:t>
      </w:r>
    </w:p>
    <w:p w14:paraId="1309F25A">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4.2承包人未按照发包人要求的《工程项目结算审计报审资料编制规范》报审竣工结算资料的，发包人每发现一次视影响程度处罚承包人500-3000元；承包人结算资料有重复报审的，发包人每发现一次视影响程度处罚承包人3000-10000 元；承包人报审竣工结算时提供虚假材料的，发包人每发现一次视影响程度处罚承包人10000-50000 元。</w:t>
      </w:r>
    </w:p>
    <w:p w14:paraId="2C5CC4DA">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4.3凡项目竣工验收合格后承包人超期未报审竣工结算资料的，每拖期一天发包人视影响程度处罚承包人 1000-5000 元/天。</w:t>
      </w:r>
    </w:p>
    <w:p w14:paraId="11F7871D">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4.4工程项目结算的报审金额100万元及以下，综合审减率超出10%的；结算的报审金额100万元以上且1000万元及以下，综合审减率超出8%的；结算的报审金额1000万元以上，综合审减率超出5%的工程项目，均按超出部分的2%对施工单位进行考核。</w:t>
      </w:r>
    </w:p>
    <w:p w14:paraId="6DE01092">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4.5分部及分项清单单项审定金额与结算报审金额相比，分项审减率30%及以下不予处罚；分项审减率30%以上且50%及以下的，按超出30%部分的15%对施工单位进行考核；分项审减率大于等于50%且小于100%的，按超出30%部分的30%对施工单位进行考核；分项审减率等于100%的，按审减金额的50%对施工单位进行考核。</w:t>
      </w:r>
    </w:p>
    <w:p w14:paraId="03521093">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4.6除审计部或委托审计机构要求补充的资料外，施工单位初次报审后再次以漏报为由报增的，按报增部分审定金额的10%进行考核。</w:t>
      </w:r>
    </w:p>
    <w:p w14:paraId="21A6882B">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4.7按上述考核规则，当考核金额合计不超过5000元或不超过(审减金额-报审金额*10%)*25%时，按5000元与(审减金额-报审金额*10%)*25%中较大值进行考核；当考核金额合计大于5000元且大于(审减金额-报审金额*10%)*25%时，按实际金额进行考核，由施工单位承担。</w:t>
      </w:r>
    </w:p>
    <w:p w14:paraId="19B954B6">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4.8承包人未及时配合工程审计单位开展工作的，发包人每发现一次视影响程度处罚承包人3000-10000 元。</w:t>
      </w:r>
    </w:p>
    <w:p w14:paraId="63030685">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4.9施工合同的结算报审值与结算审定值偏离≥30%的，存在弄虚作假、恶意虚报瞒报等行为或者累计发生三次及以上结算报审值与结算审定值偏离≥20%的，发包人将采取列入供方黑名单。</w:t>
      </w:r>
    </w:p>
    <w:p w14:paraId="4BC1E44E">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4.10结算报审时考核条款发生变化的，按发包人最新规定执行。</w:t>
      </w:r>
    </w:p>
    <w:p w14:paraId="52650890">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五、其他事项</w:t>
      </w:r>
    </w:p>
    <w:p w14:paraId="611745D4">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sz w:val="24"/>
          <w:highlight w:val="none"/>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.1对未按时参加会议、工作执行不力、工作质量不达要求的，视情节严重程度，对责任单位处以1000-5000元/次考核。</w:t>
      </w:r>
    </w:p>
    <w:p w14:paraId="7D9E88C7">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sz w:val="24"/>
          <w:highlight w:val="none"/>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.2现场施工的质量、进度、安全等发生的考核，由监理单位（如有）出具，经总监理工程师签字盖章后报送现场项目部负责人签字盖章后即为生效</w:t>
      </w:r>
    </w:p>
    <w:p w14:paraId="3685D0C4">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sz w:val="24"/>
          <w:highlight w:val="none"/>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.3监理单位或技改项目部应于每月20日汇总当月累计考核单，并在各单位当月形象进度款中扣除或从合同履约保函（保证金）中扣除。</w:t>
      </w:r>
    </w:p>
    <w:p w14:paraId="55619450">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sz w:val="24"/>
          <w:highlight w:val="none"/>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.4对已经发生的考核，若经积极采取措施，最终完成进度节点或整改结果满足合同及项目部要求的，可视情况予以减免、取消。</w:t>
      </w:r>
    </w:p>
    <w:p w14:paraId="0B1E1E00">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sz w:val="24"/>
          <w:highlight w:val="none"/>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.5若经采取考核措施后责任单位仍然消极应对、效果不明显，发包人项目部将采取约谈企业负责人、书面发函等措施，情节严重的将列入发包人供方黑名单。</w:t>
      </w:r>
    </w:p>
    <w:p w14:paraId="691344F4">
      <w:pPr>
        <w:snapToGrid w:val="0"/>
        <w:spacing w:line="360" w:lineRule="auto"/>
        <w:ind w:firstLine="480" w:firstLineChars="200"/>
        <w:rPr>
          <w:rFonts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sz w:val="24"/>
          <w:highlight w:val="none"/>
          <w14:textFill>
            <w14:solidFill>
              <w14:schemeClr w14:val="tx1"/>
            </w14:solidFill>
          </w14:textFill>
        </w:rPr>
        <w:t>5</w:t>
      </w:r>
      <w:r>
        <w:rPr>
          <w:rFonts w:hint="eastAsia" w:ascii="仿宋" w:hAnsi="仿宋" w:eastAsia="仿宋"/>
          <w:color w:val="000000" w:themeColor="text1"/>
          <w:sz w:val="24"/>
          <w:highlight w:val="none"/>
          <w14:textFill>
            <w14:solidFill>
              <w14:schemeClr w14:val="tx1"/>
            </w14:solidFill>
          </w14:textFill>
        </w:rPr>
        <w:t>.6各单位按本规定受处罚后并不免除按法律法规和合同应承担的有关责任。</w:t>
      </w:r>
    </w:p>
    <w:p w14:paraId="13CD43D2">
      <w:pPr>
        <w:autoSpaceDE w:val="0"/>
        <w:autoSpaceDN w:val="0"/>
        <w:adjustRightInd w:val="0"/>
        <w:spacing w:line="520" w:lineRule="exact"/>
        <w:rPr>
          <w:rFonts w:ascii="仿宋" w:hAnsi="仿宋" w:eastAsia="仿宋" w:cs="仿宋"/>
          <w:sz w:val="24"/>
          <w:szCs w:val="24"/>
          <w:highlight w:val="none"/>
        </w:rPr>
      </w:pPr>
    </w:p>
    <w:p w14:paraId="0A8ACDE6">
      <w:pPr>
        <w:rPr>
          <w:rFonts w:ascii="仿宋" w:hAnsi="仿宋" w:eastAsia="仿宋" w:cs="仿宋"/>
          <w:sz w:val="24"/>
          <w:szCs w:val="24"/>
          <w:highlight w:val="none"/>
        </w:rPr>
      </w:pPr>
    </w:p>
    <w:p w14:paraId="4D43591D">
      <w:pPr>
        <w:ind w:firstLine="420"/>
        <w:rPr>
          <w:rFonts w:ascii="仿宋" w:hAnsi="仿宋" w:eastAsia="仿宋" w:cs="仿宋"/>
          <w:sz w:val="32"/>
          <w:szCs w:val="32"/>
          <w:highlight w:val="none"/>
        </w:rPr>
      </w:pPr>
      <w:r>
        <w:rPr>
          <w:rFonts w:ascii="仿宋" w:hAnsi="仿宋" w:eastAsia="仿宋" w:cs="仿宋"/>
          <w:sz w:val="32"/>
          <w:szCs w:val="32"/>
          <w:highlight w:val="none"/>
        </w:rPr>
        <w:br w:type="page"/>
      </w:r>
    </w:p>
    <w:p w14:paraId="300D60B0">
      <w:pP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附件6</w:t>
      </w:r>
    </w:p>
    <w:p w14:paraId="46EB58F5">
      <w:pPr>
        <w:spacing w:before="158" w:beforeLines="50" w:after="158" w:afterLines="50" w:line="440" w:lineRule="exact"/>
        <w:jc w:val="center"/>
        <w:rPr>
          <w:rFonts w:ascii="黑体" w:hAnsi="黑体" w:eastAsia="黑体"/>
          <w:color w:val="000000" w:themeColor="text1"/>
          <w:sz w:val="28"/>
          <w:highlight w:val="none"/>
          <w14:textFill>
            <w14:solidFill>
              <w14:schemeClr w14:val="tx1"/>
            </w14:solidFill>
          </w14:textFill>
        </w:rPr>
      </w:pPr>
      <w:r>
        <w:rPr>
          <w:rFonts w:hint="eastAsia" w:ascii="黑体" w:hAnsi="黑体" w:eastAsia="黑体"/>
          <w:color w:val="000000" w:themeColor="text1"/>
          <w:sz w:val="28"/>
          <w:highlight w:val="none"/>
          <w14:textFill>
            <w14:solidFill>
              <w14:schemeClr w14:val="tx1"/>
            </w14:solidFill>
          </w14:textFill>
        </w:rPr>
        <w:t>廉洁诚信协议</w:t>
      </w:r>
    </w:p>
    <w:p w14:paraId="16DB4F1A">
      <w:pPr>
        <w:spacing w:line="384" w:lineRule="auto"/>
        <w:ind w:left="119" w:right="3771"/>
        <w:rPr>
          <w:rFonts w:ascii="仿宋" w:hAnsi="仿宋" w:eastAsia="仿宋"/>
          <w:b/>
          <w:sz w:val="24"/>
          <w:highlight w:val="none"/>
        </w:rPr>
      </w:pPr>
      <w:r>
        <w:rPr>
          <w:rFonts w:hint="eastAsia" w:ascii="仿宋" w:hAnsi="仿宋" w:eastAsia="仿宋"/>
          <w:b/>
          <w:sz w:val="24"/>
          <w:highlight w:val="none"/>
        </w:rPr>
        <w:t>甲方：</w:t>
      </w:r>
    </w:p>
    <w:p w14:paraId="71F4406B">
      <w:pPr>
        <w:spacing w:line="384" w:lineRule="auto"/>
        <w:ind w:left="119" w:right="3771"/>
        <w:rPr>
          <w:rFonts w:ascii="仿宋" w:hAnsi="仿宋" w:eastAsia="仿宋"/>
          <w:b/>
          <w:sz w:val="24"/>
          <w:highlight w:val="none"/>
        </w:rPr>
      </w:pPr>
      <w:r>
        <w:rPr>
          <w:rFonts w:hint="eastAsia" w:ascii="仿宋" w:hAnsi="仿宋" w:eastAsia="仿宋"/>
          <w:b/>
          <w:sz w:val="24"/>
          <w:highlight w:val="none"/>
        </w:rPr>
        <w:t>乙方：</w:t>
      </w:r>
    </w:p>
    <w:p w14:paraId="77CA1203">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仿宋" w:hAnsi="仿宋" w:eastAsia="仿宋"/>
          <w:spacing w:val="-2"/>
          <w:sz w:val="24"/>
          <w:highlight w:val="none"/>
        </w:rPr>
        <w:t>,共同加强廉洁自律建设，甲乙双方在平等、自愿、协商一致的原则下，签订本协议。</w:t>
      </w:r>
    </w:p>
    <w:p w14:paraId="315721EA">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1.甲乙双方应当共同遵守国家、地方法律法规以及本协议的约定，在合同的订立、履行过程中廉洁自律，绝不弄虚作假、以次充好，虚结虚算。</w:t>
      </w:r>
    </w:p>
    <w:p w14:paraId="3B421E94">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2.乙方声明并承诺甲方人员或其</w:t>
      </w:r>
      <w:r>
        <w:rPr>
          <w:rFonts w:hint="eastAsia" w:ascii="仿宋" w:hAnsi="仿宋" w:eastAsia="仿宋"/>
          <w:spacing w:val="-2"/>
          <w:sz w:val="24"/>
          <w:highlight w:val="none"/>
        </w:rPr>
        <w:t>配偶、子女及其配偶等</w:t>
      </w:r>
      <w:r>
        <w:rPr>
          <w:rFonts w:ascii="仿宋" w:hAnsi="仿宋" w:eastAsia="仿宋"/>
          <w:spacing w:val="-2"/>
          <w:sz w:val="24"/>
          <w:highlight w:val="none"/>
        </w:rPr>
        <w:t>亲属</w:t>
      </w:r>
      <w:r>
        <w:rPr>
          <w:rFonts w:hint="eastAsia" w:ascii="仿宋" w:hAnsi="仿宋" w:eastAsia="仿宋"/>
          <w:spacing w:val="-2"/>
          <w:sz w:val="24"/>
          <w:highlight w:val="none"/>
        </w:rPr>
        <w:t>和其他特定关系人（甲方人员为领导干部的，其他特定关系人包含身边工作人员）</w:t>
      </w:r>
      <w:r>
        <w:rPr>
          <w:rFonts w:ascii="仿宋" w:hAnsi="仿宋" w:eastAsia="仿宋"/>
          <w:spacing w:val="-2"/>
          <w:sz w:val="24"/>
          <w:highlight w:val="none"/>
        </w:rPr>
        <w:t>没有直接或间接投资乙方或持有乙方股权，没有直接或间接投资乙方关联企业或持有乙方关联企业股权。</w:t>
      </w:r>
    </w:p>
    <w:p w14:paraId="469E2A41">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3.乙方承诺乙方或乙方关联企业股东、实际出资人或持股人、高管、主要业务人员不得与甲方人员或其</w:t>
      </w:r>
      <w:r>
        <w:rPr>
          <w:rFonts w:hint="eastAsia" w:ascii="仿宋" w:hAnsi="仿宋" w:eastAsia="仿宋"/>
          <w:spacing w:val="-2"/>
          <w:sz w:val="24"/>
          <w:highlight w:val="none"/>
        </w:rPr>
        <w:t>配偶、子女及其配偶等</w:t>
      </w:r>
      <w:r>
        <w:rPr>
          <w:rFonts w:ascii="仿宋" w:hAnsi="仿宋" w:eastAsia="仿宋"/>
          <w:spacing w:val="-2"/>
          <w:sz w:val="24"/>
          <w:highlight w:val="none"/>
        </w:rPr>
        <w:t>亲属</w:t>
      </w:r>
      <w:r>
        <w:rPr>
          <w:rFonts w:hint="eastAsia" w:ascii="仿宋" w:hAnsi="仿宋" w:eastAsia="仿宋"/>
          <w:spacing w:val="-2"/>
          <w:sz w:val="24"/>
          <w:highlight w:val="none"/>
        </w:rPr>
        <w:t>和其他特定关系人</w:t>
      </w:r>
      <w:r>
        <w:rPr>
          <w:rFonts w:ascii="仿宋" w:hAnsi="仿宋" w:eastAsia="仿宋"/>
          <w:spacing w:val="-2"/>
          <w:sz w:val="24"/>
          <w:highlight w:val="none"/>
        </w:rPr>
        <w:t>共同成立公司，不得聘请甲方人员或其</w:t>
      </w:r>
      <w:r>
        <w:rPr>
          <w:rFonts w:hint="eastAsia" w:ascii="仿宋" w:hAnsi="仿宋" w:eastAsia="仿宋"/>
          <w:spacing w:val="-2"/>
          <w:sz w:val="24"/>
          <w:highlight w:val="none"/>
        </w:rPr>
        <w:t>配偶、子女及其配偶等</w:t>
      </w:r>
      <w:r>
        <w:rPr>
          <w:rFonts w:ascii="仿宋" w:hAnsi="仿宋" w:eastAsia="仿宋"/>
          <w:spacing w:val="-2"/>
          <w:sz w:val="24"/>
          <w:highlight w:val="none"/>
        </w:rPr>
        <w:t>亲属</w:t>
      </w:r>
      <w:r>
        <w:rPr>
          <w:rFonts w:hint="eastAsia" w:ascii="仿宋" w:hAnsi="仿宋" w:eastAsia="仿宋"/>
          <w:spacing w:val="-2"/>
          <w:sz w:val="24"/>
          <w:highlight w:val="none"/>
        </w:rPr>
        <w:t>和其他特定关系人</w:t>
      </w:r>
      <w:r>
        <w:rPr>
          <w:rFonts w:ascii="仿宋" w:hAnsi="仿宋" w:eastAsia="仿宋"/>
          <w:spacing w:val="-2"/>
          <w:sz w:val="24"/>
          <w:highlight w:val="none"/>
        </w:rPr>
        <w:t>在乙方或乙方关联企业股东或实际出资人或高管或主要业务人员成立的企业中担任高管或为其</w:t>
      </w:r>
      <w:r>
        <w:rPr>
          <w:rFonts w:hint="eastAsia" w:ascii="仿宋" w:hAnsi="仿宋" w:eastAsia="仿宋"/>
          <w:spacing w:val="-2"/>
          <w:sz w:val="24"/>
          <w:highlight w:val="none"/>
        </w:rPr>
        <w:t>违规</w:t>
      </w:r>
      <w:r>
        <w:rPr>
          <w:rFonts w:ascii="仿宋" w:hAnsi="仿宋" w:eastAsia="仿宋"/>
          <w:spacing w:val="-2"/>
          <w:sz w:val="24"/>
          <w:highlight w:val="none"/>
        </w:rPr>
        <w:t>发放薪酬。</w:t>
      </w:r>
      <w:r>
        <w:rPr>
          <w:rFonts w:hint="eastAsia" w:ascii="仿宋" w:hAnsi="仿宋" w:eastAsia="仿宋"/>
          <w:spacing w:val="-2"/>
          <w:sz w:val="24"/>
          <w:highlight w:val="none"/>
        </w:rPr>
        <w:t>违规发放薪酬包括不实际工作而获取薪酬或者虽实际工作但领取明显超出同职级标准薪酬。</w:t>
      </w:r>
      <w:r>
        <w:rPr>
          <w:rFonts w:ascii="仿宋" w:hAnsi="仿宋" w:eastAsia="仿宋"/>
          <w:spacing w:val="-2"/>
          <w:sz w:val="24"/>
          <w:highlight w:val="none"/>
        </w:rPr>
        <w:t>（</w:t>
      </w:r>
      <w:r>
        <w:rPr>
          <w:rFonts w:hint="eastAsia" w:ascii="仿宋" w:hAnsi="仿宋" w:eastAsia="仿宋"/>
          <w:spacing w:val="-2"/>
          <w:sz w:val="24"/>
          <w:highlight w:val="none"/>
        </w:rPr>
        <w:t>若乙方为甲方</w:t>
      </w:r>
      <w:r>
        <w:rPr>
          <w:rFonts w:ascii="仿宋" w:hAnsi="仿宋" w:eastAsia="仿宋"/>
          <w:spacing w:val="-2"/>
          <w:sz w:val="24"/>
          <w:highlight w:val="none"/>
        </w:rPr>
        <w:t>新</w:t>
      </w:r>
      <w:r>
        <w:rPr>
          <w:rFonts w:hint="eastAsia" w:ascii="仿宋" w:hAnsi="仿宋" w:eastAsia="仿宋"/>
          <w:spacing w:val="-2"/>
          <w:sz w:val="24"/>
          <w:highlight w:val="none"/>
        </w:rPr>
        <w:t>合作伙伴</w:t>
      </w:r>
      <w:r>
        <w:rPr>
          <w:rFonts w:ascii="仿宋" w:hAnsi="仿宋" w:eastAsia="仿宋"/>
          <w:spacing w:val="-2"/>
          <w:sz w:val="24"/>
          <w:highlight w:val="none"/>
        </w:rPr>
        <w:t>，如在本协议签订前乙方存在本条规定情形的，需在本协议签订后30日内，将相关情况报</w:t>
      </w:r>
      <w:r>
        <w:rPr>
          <w:rFonts w:hint="eastAsia" w:ascii="仿宋" w:hAnsi="仿宋" w:eastAsia="仿宋"/>
          <w:spacing w:val="-2"/>
          <w:sz w:val="24"/>
          <w:highlight w:val="none"/>
        </w:rPr>
        <w:t>甲方所属</w:t>
      </w:r>
      <w:r>
        <w:rPr>
          <w:rFonts w:ascii="仿宋" w:hAnsi="仿宋" w:eastAsia="仿宋"/>
          <w:spacing w:val="-2"/>
          <w:sz w:val="24"/>
          <w:highlight w:val="none"/>
        </w:rPr>
        <w:t>重汽集团</w:t>
      </w:r>
      <w:r>
        <w:rPr>
          <w:rFonts w:hint="eastAsia" w:ascii="仿宋" w:hAnsi="仿宋" w:eastAsia="仿宋"/>
          <w:spacing w:val="-2"/>
          <w:sz w:val="24"/>
          <w:highlight w:val="none"/>
        </w:rPr>
        <w:t>的</w:t>
      </w:r>
      <w:r>
        <w:rPr>
          <w:rFonts w:ascii="仿宋" w:hAnsi="仿宋" w:eastAsia="仿宋"/>
          <w:spacing w:val="-2"/>
          <w:sz w:val="24"/>
          <w:highlight w:val="none"/>
        </w:rPr>
        <w:t>纪</w:t>
      </w:r>
      <w:r>
        <w:rPr>
          <w:rFonts w:hint="eastAsia" w:ascii="仿宋" w:hAnsi="仿宋" w:eastAsia="仿宋"/>
          <w:spacing w:val="-2"/>
          <w:sz w:val="24"/>
          <w:highlight w:val="none"/>
        </w:rPr>
        <w:t>检</w:t>
      </w:r>
      <w:r>
        <w:rPr>
          <w:rFonts w:ascii="仿宋" w:hAnsi="仿宋" w:eastAsia="仿宋"/>
          <w:spacing w:val="-2"/>
          <w:sz w:val="24"/>
          <w:highlight w:val="none"/>
        </w:rPr>
        <w:t>监察部</w:t>
      </w:r>
      <w:r>
        <w:rPr>
          <w:rFonts w:hint="eastAsia" w:ascii="仿宋" w:hAnsi="仿宋" w:eastAsia="仿宋"/>
          <w:spacing w:val="-2"/>
          <w:sz w:val="24"/>
          <w:highlight w:val="none"/>
        </w:rPr>
        <w:t>门</w:t>
      </w:r>
      <w:r>
        <w:rPr>
          <w:rFonts w:ascii="仿宋" w:hAnsi="仿宋" w:eastAsia="仿宋"/>
          <w:spacing w:val="-2"/>
          <w:sz w:val="24"/>
          <w:highlight w:val="none"/>
        </w:rPr>
        <w:t>备案）。</w:t>
      </w:r>
    </w:p>
    <w:p w14:paraId="106CEB53">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4.乙方承诺依法开展经营活动，不得有任何形式的商业贿赂行为。乙方一经发现其员工或其</w:t>
      </w:r>
      <w:r>
        <w:rPr>
          <w:rFonts w:hint="eastAsia" w:ascii="仿宋" w:hAnsi="仿宋" w:eastAsia="仿宋"/>
          <w:spacing w:val="-2"/>
          <w:sz w:val="24"/>
          <w:highlight w:val="none"/>
        </w:rPr>
        <w:t>配偶、子女及其配偶等亲属和其他特定关系人</w:t>
      </w:r>
      <w:r>
        <w:rPr>
          <w:rFonts w:ascii="仿宋" w:hAnsi="仿宋" w:eastAsia="仿宋"/>
          <w:spacing w:val="-2"/>
          <w:sz w:val="24"/>
          <w:highlight w:val="none"/>
        </w:rPr>
        <w:t>存在任何商业贿赂行为，应立即通知甲方并自行进行查处和整改。若甲方认为上述行为严重影响到甲方的利益，则甲方有权单方解除双方</w:t>
      </w:r>
      <w:r>
        <w:rPr>
          <w:rFonts w:hint="eastAsia" w:ascii="仿宋" w:hAnsi="仿宋" w:eastAsia="仿宋"/>
          <w:spacing w:val="-2"/>
          <w:sz w:val="24"/>
          <w:highlight w:val="none"/>
        </w:rPr>
        <w:t>已</w:t>
      </w:r>
      <w:r>
        <w:rPr>
          <w:rFonts w:ascii="仿宋" w:hAnsi="仿宋" w:eastAsia="仿宋"/>
          <w:spacing w:val="-2"/>
          <w:sz w:val="24"/>
          <w:highlight w:val="none"/>
        </w:rPr>
        <w:t>签订的</w:t>
      </w:r>
      <w:r>
        <w:rPr>
          <w:rFonts w:hint="eastAsia" w:ascii="仿宋" w:hAnsi="仿宋" w:eastAsia="仿宋"/>
          <w:spacing w:val="-2"/>
          <w:sz w:val="24"/>
          <w:highlight w:val="none"/>
        </w:rPr>
        <w:t>所有合同</w:t>
      </w:r>
      <w:r>
        <w:rPr>
          <w:rFonts w:ascii="仿宋" w:hAnsi="仿宋" w:eastAsia="仿宋"/>
          <w:spacing w:val="-2"/>
          <w:sz w:val="24"/>
          <w:highlight w:val="none"/>
        </w:rPr>
        <w:t>协议，并要求乙方赔偿。</w:t>
      </w:r>
    </w:p>
    <w:p w14:paraId="4AC431CB">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5.乙方承诺不以任何理由为甲方人员及其</w:t>
      </w:r>
      <w:r>
        <w:rPr>
          <w:rFonts w:hint="eastAsia" w:ascii="仿宋" w:hAnsi="仿宋" w:eastAsia="仿宋"/>
          <w:spacing w:val="-2"/>
          <w:sz w:val="24"/>
          <w:highlight w:val="none"/>
        </w:rPr>
        <w:t>配偶、子女及其配偶等亲属和其他特定关系人提供如下：</w:t>
      </w:r>
    </w:p>
    <w:p w14:paraId="4C66ADE1">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a)</w:t>
      </w:r>
      <w:r>
        <w:rPr>
          <w:rFonts w:ascii="仿宋" w:hAnsi="仿宋" w:eastAsia="仿宋"/>
          <w:spacing w:val="-2"/>
          <w:sz w:val="24"/>
          <w:highlight w:val="none"/>
        </w:rPr>
        <w:t>赠送</w:t>
      </w:r>
      <w:r>
        <w:rPr>
          <w:rFonts w:hint="eastAsia" w:ascii="仿宋" w:hAnsi="仿宋" w:eastAsia="仿宋"/>
          <w:spacing w:val="-2"/>
          <w:sz w:val="24"/>
          <w:highlight w:val="none"/>
        </w:rPr>
        <w:t>礼品、</w:t>
      </w:r>
      <w:r>
        <w:rPr>
          <w:rFonts w:ascii="仿宋" w:hAnsi="仿宋" w:eastAsia="仿宋"/>
          <w:spacing w:val="-2"/>
          <w:sz w:val="24"/>
          <w:highlight w:val="none"/>
        </w:rPr>
        <w:t>礼金、</w:t>
      </w:r>
      <w:r>
        <w:rPr>
          <w:rFonts w:hint="eastAsia" w:ascii="仿宋" w:hAnsi="仿宋" w:eastAsia="仿宋"/>
          <w:spacing w:val="-2"/>
          <w:sz w:val="24"/>
          <w:highlight w:val="none"/>
        </w:rPr>
        <w:t>消费卡（券）、</w:t>
      </w:r>
      <w:r>
        <w:rPr>
          <w:rFonts w:ascii="仿宋" w:hAnsi="仿宋" w:eastAsia="仿宋"/>
          <w:spacing w:val="-2"/>
          <w:sz w:val="24"/>
          <w:highlight w:val="none"/>
        </w:rPr>
        <w:t>购物卡、充值卡、信用卡</w:t>
      </w:r>
      <w:r>
        <w:rPr>
          <w:rFonts w:hint="eastAsia" w:ascii="仿宋" w:hAnsi="仿宋" w:eastAsia="仿宋"/>
          <w:spacing w:val="-2"/>
          <w:sz w:val="24"/>
          <w:highlight w:val="none"/>
        </w:rPr>
        <w:t>和</w:t>
      </w:r>
      <w:r>
        <w:rPr>
          <w:rFonts w:ascii="仿宋" w:hAnsi="仿宋" w:eastAsia="仿宋"/>
          <w:spacing w:val="-2"/>
          <w:sz w:val="24"/>
          <w:highlight w:val="none"/>
        </w:rPr>
        <w:t>有价证券</w:t>
      </w:r>
      <w:r>
        <w:rPr>
          <w:rFonts w:hint="eastAsia" w:ascii="仿宋" w:hAnsi="仿宋" w:eastAsia="仿宋"/>
          <w:spacing w:val="-2"/>
          <w:sz w:val="24"/>
          <w:highlight w:val="none"/>
        </w:rPr>
        <w:t>、股权、其他金融产品等财物</w:t>
      </w:r>
      <w:r>
        <w:rPr>
          <w:rFonts w:ascii="仿宋" w:hAnsi="仿宋" w:eastAsia="仿宋"/>
          <w:spacing w:val="-2"/>
          <w:sz w:val="24"/>
          <w:highlight w:val="none"/>
        </w:rPr>
        <w:t>和其他贵重物品；</w:t>
      </w:r>
    </w:p>
    <w:p w14:paraId="7A75EFC2">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b)</w:t>
      </w:r>
      <w:r>
        <w:rPr>
          <w:rFonts w:ascii="仿宋" w:hAnsi="仿宋" w:eastAsia="仿宋"/>
          <w:spacing w:val="-2"/>
          <w:sz w:val="24"/>
          <w:highlight w:val="none"/>
        </w:rPr>
        <w:t>报销个人费用</w:t>
      </w:r>
      <w:r>
        <w:rPr>
          <w:rFonts w:hint="eastAsia" w:ascii="仿宋" w:hAnsi="仿宋" w:eastAsia="仿宋"/>
          <w:spacing w:val="-2"/>
          <w:sz w:val="24"/>
          <w:highlight w:val="none"/>
        </w:rPr>
        <w:t>或以讲课费、课题费、咨询费等名义支付费用</w:t>
      </w:r>
      <w:r>
        <w:rPr>
          <w:rFonts w:ascii="仿宋" w:hAnsi="仿宋" w:eastAsia="仿宋"/>
          <w:spacing w:val="-2"/>
          <w:sz w:val="24"/>
          <w:highlight w:val="none"/>
        </w:rPr>
        <w:t>；</w:t>
      </w:r>
    </w:p>
    <w:p w14:paraId="3A18DD34">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c)</w:t>
      </w:r>
      <w:r>
        <w:rPr>
          <w:rFonts w:ascii="仿宋" w:hAnsi="仿宋" w:eastAsia="仿宋"/>
          <w:spacing w:val="-2"/>
          <w:sz w:val="24"/>
          <w:highlight w:val="none"/>
        </w:rPr>
        <w:t>以洽谈业务、签订合同等为借口宴请或邀请外出旅游</w:t>
      </w:r>
      <w:r>
        <w:rPr>
          <w:rFonts w:hint="eastAsia" w:ascii="仿宋" w:hAnsi="仿宋" w:eastAsia="仿宋"/>
          <w:spacing w:val="-2"/>
          <w:sz w:val="24"/>
          <w:highlight w:val="none"/>
        </w:rPr>
        <w:t>、健身、娱乐</w:t>
      </w:r>
      <w:r>
        <w:rPr>
          <w:rFonts w:ascii="仿宋" w:hAnsi="仿宋" w:eastAsia="仿宋"/>
          <w:spacing w:val="-2"/>
          <w:sz w:val="24"/>
          <w:highlight w:val="none"/>
        </w:rPr>
        <w:t>和进入营业性娱乐场所；</w:t>
      </w:r>
    </w:p>
    <w:p w14:paraId="3E6E469B">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d)</w:t>
      </w:r>
      <w:r>
        <w:rPr>
          <w:rFonts w:ascii="仿宋" w:hAnsi="仿宋" w:eastAsia="仿宋"/>
          <w:spacing w:val="-2"/>
          <w:sz w:val="24"/>
          <w:highlight w:val="none"/>
        </w:rPr>
        <w:t>购置或提供通讯、交通工具</w:t>
      </w:r>
      <w:r>
        <w:rPr>
          <w:rFonts w:hint="eastAsia" w:ascii="仿宋" w:hAnsi="仿宋" w:eastAsia="仿宋"/>
          <w:spacing w:val="-2"/>
          <w:sz w:val="24"/>
          <w:highlight w:val="none"/>
        </w:rPr>
        <w:t>、钱款、住房、车辆等或提供通过民间借贷等金融助其获得大额回报</w:t>
      </w:r>
      <w:r>
        <w:rPr>
          <w:rFonts w:ascii="仿宋" w:hAnsi="仿宋" w:eastAsia="仿宋"/>
          <w:spacing w:val="-2"/>
          <w:sz w:val="24"/>
          <w:highlight w:val="none"/>
        </w:rPr>
        <w:t>；</w:t>
      </w:r>
    </w:p>
    <w:p w14:paraId="30412E0C">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e)</w:t>
      </w:r>
      <w:r>
        <w:rPr>
          <w:rFonts w:ascii="仿宋" w:hAnsi="仿宋" w:eastAsia="仿宋"/>
          <w:spacing w:val="-2"/>
          <w:sz w:val="24"/>
          <w:highlight w:val="none"/>
        </w:rPr>
        <w:t>住房装修、婚丧嫁娶、家属和子女的工作安排以及出国等提供任何金钱或非金钱方式的资助或帮助</w:t>
      </w:r>
      <w:r>
        <w:rPr>
          <w:rFonts w:hint="eastAsia" w:ascii="仿宋" w:hAnsi="仿宋" w:eastAsia="仿宋"/>
          <w:spacing w:val="-2"/>
          <w:sz w:val="24"/>
          <w:highlight w:val="none"/>
        </w:rPr>
        <w:t>；</w:t>
      </w:r>
    </w:p>
    <w:p w14:paraId="2654ED7D">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f)吸收存款、推销金融产品、经营名贵特产类资源等提供帮助谋取利益；</w:t>
      </w:r>
    </w:p>
    <w:p w14:paraId="51F69BB3">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g)其他可能影响甲方人员公平、公正的履行职权或者履行职责的情形</w:t>
      </w:r>
      <w:r>
        <w:rPr>
          <w:rFonts w:ascii="仿宋" w:hAnsi="仿宋" w:eastAsia="仿宋"/>
          <w:spacing w:val="-2"/>
          <w:sz w:val="24"/>
          <w:highlight w:val="none"/>
        </w:rPr>
        <w:t>。</w:t>
      </w:r>
    </w:p>
    <w:p w14:paraId="56F183AC">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6.乙方应当通过正常途径开展相关业务，决不为谋取不正当利益诱使甲方人员就</w:t>
      </w:r>
      <w:r>
        <w:rPr>
          <w:rFonts w:hint="eastAsia" w:ascii="仿宋" w:hAnsi="仿宋" w:eastAsia="仿宋"/>
          <w:spacing w:val="-2"/>
          <w:sz w:val="24"/>
          <w:highlight w:val="none"/>
        </w:rPr>
        <w:t>采购、服务或销售、经销的物项种类</w:t>
      </w:r>
      <w:r>
        <w:rPr>
          <w:rFonts w:ascii="仿宋" w:hAnsi="仿宋" w:eastAsia="仿宋"/>
          <w:spacing w:val="-2"/>
          <w:sz w:val="24"/>
          <w:highlight w:val="none"/>
        </w:rPr>
        <w:t>、</w:t>
      </w:r>
      <w:r>
        <w:rPr>
          <w:rFonts w:hint="eastAsia" w:ascii="仿宋" w:hAnsi="仿宋" w:eastAsia="仿宋"/>
          <w:spacing w:val="-2"/>
          <w:sz w:val="24"/>
          <w:highlight w:val="none"/>
        </w:rPr>
        <w:t>物项</w:t>
      </w:r>
      <w:r>
        <w:rPr>
          <w:rFonts w:ascii="仿宋" w:hAnsi="仿宋" w:eastAsia="仿宋"/>
          <w:spacing w:val="-2"/>
          <w:sz w:val="24"/>
          <w:highlight w:val="none"/>
        </w:rPr>
        <w:t>数量、价格</w:t>
      </w:r>
      <w:r>
        <w:rPr>
          <w:rFonts w:hint="eastAsia" w:ascii="仿宋" w:hAnsi="仿宋" w:eastAsia="仿宋"/>
          <w:spacing w:val="-2"/>
          <w:sz w:val="24"/>
          <w:highlight w:val="none"/>
        </w:rPr>
        <w:t>条件</w:t>
      </w:r>
      <w:r>
        <w:rPr>
          <w:rFonts w:ascii="仿宋" w:hAnsi="仿宋" w:eastAsia="仿宋"/>
          <w:spacing w:val="-2"/>
          <w:sz w:val="24"/>
          <w:highlight w:val="none"/>
        </w:rPr>
        <w:t>、</w:t>
      </w:r>
      <w:r>
        <w:rPr>
          <w:rFonts w:hint="eastAsia" w:ascii="仿宋" w:hAnsi="仿宋" w:eastAsia="仿宋"/>
          <w:spacing w:val="-2"/>
          <w:sz w:val="24"/>
          <w:highlight w:val="none"/>
        </w:rPr>
        <w:t>付款条件、</w:t>
      </w:r>
      <w:r>
        <w:rPr>
          <w:rFonts w:ascii="仿宋" w:hAnsi="仿宋" w:eastAsia="仿宋"/>
          <w:spacing w:val="-2"/>
          <w:sz w:val="24"/>
          <w:highlight w:val="none"/>
        </w:rPr>
        <w:t>质量问题处理等方面私下商谈或达成默契</w:t>
      </w:r>
      <w:r>
        <w:rPr>
          <w:rFonts w:hint="eastAsia" w:ascii="仿宋" w:hAnsi="仿宋" w:eastAsia="仿宋"/>
          <w:spacing w:val="-2"/>
          <w:sz w:val="24"/>
          <w:highlight w:val="none"/>
        </w:rPr>
        <w:t>；</w:t>
      </w:r>
      <w:r>
        <w:rPr>
          <w:rFonts w:ascii="仿宋" w:hAnsi="仿宋" w:eastAsia="仿宋"/>
          <w:spacing w:val="-2"/>
          <w:sz w:val="24"/>
          <w:highlight w:val="none"/>
        </w:rPr>
        <w:t>决不以任何方式诱使甲方人员接受或共同编造虚假议价及质量资料、影响交易价格或交易之达成、违背职务、将合同权利义务转让给第三方及其它损害甲方利益的行为。</w:t>
      </w:r>
    </w:p>
    <w:p w14:paraId="461D27C7">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7.若乙方发现甲方人员或其</w:t>
      </w:r>
      <w:r>
        <w:rPr>
          <w:rFonts w:hint="eastAsia" w:ascii="仿宋" w:hAnsi="仿宋" w:eastAsia="仿宋"/>
          <w:spacing w:val="-2"/>
          <w:sz w:val="24"/>
          <w:highlight w:val="none"/>
        </w:rPr>
        <w:t>配偶、子女及其配偶等亲属和其他特定关系人</w:t>
      </w:r>
      <w:r>
        <w:rPr>
          <w:rFonts w:ascii="仿宋" w:hAnsi="仿宋" w:eastAsia="仿宋"/>
          <w:spacing w:val="-2"/>
          <w:sz w:val="24"/>
          <w:highlight w:val="none"/>
        </w:rPr>
        <w:t>有任何形式的索贿受贿行为，乙方有责任向甲方</w:t>
      </w:r>
      <w:r>
        <w:rPr>
          <w:rFonts w:hint="eastAsia" w:ascii="仿宋" w:hAnsi="仿宋" w:eastAsia="仿宋"/>
          <w:spacing w:val="-2"/>
          <w:sz w:val="24"/>
          <w:highlight w:val="none"/>
        </w:rPr>
        <w:t>所属</w:t>
      </w:r>
      <w:r>
        <w:rPr>
          <w:rFonts w:ascii="仿宋" w:hAnsi="仿宋" w:eastAsia="仿宋"/>
          <w:spacing w:val="-2"/>
          <w:sz w:val="24"/>
          <w:highlight w:val="none"/>
        </w:rPr>
        <w:t>重汽集团</w:t>
      </w:r>
      <w:r>
        <w:rPr>
          <w:rFonts w:hint="eastAsia" w:ascii="仿宋" w:hAnsi="仿宋" w:eastAsia="仿宋"/>
          <w:spacing w:val="-2"/>
          <w:sz w:val="24"/>
          <w:highlight w:val="none"/>
        </w:rPr>
        <w:t>的</w:t>
      </w:r>
      <w:r>
        <w:rPr>
          <w:rFonts w:ascii="仿宋" w:hAnsi="仿宋" w:eastAsia="仿宋"/>
          <w:spacing w:val="-2"/>
          <w:sz w:val="24"/>
          <w:highlight w:val="none"/>
        </w:rPr>
        <w:t>纪</w:t>
      </w:r>
      <w:r>
        <w:rPr>
          <w:rFonts w:hint="eastAsia" w:ascii="仿宋" w:hAnsi="仿宋" w:eastAsia="仿宋"/>
          <w:spacing w:val="-2"/>
          <w:sz w:val="24"/>
          <w:highlight w:val="none"/>
        </w:rPr>
        <w:t>检</w:t>
      </w:r>
      <w:r>
        <w:rPr>
          <w:rFonts w:ascii="仿宋" w:hAnsi="仿宋" w:eastAsia="仿宋"/>
          <w:spacing w:val="-2"/>
          <w:sz w:val="24"/>
          <w:highlight w:val="none"/>
        </w:rPr>
        <w:t>监察部门举报（举报电话：0531-58062233，举报邮箱：zgzqjw@sinotruk.com）。甲方不得</w:t>
      </w:r>
      <w:r>
        <w:rPr>
          <w:rFonts w:hint="eastAsia" w:ascii="仿宋" w:hAnsi="仿宋" w:eastAsia="仿宋"/>
          <w:spacing w:val="-2"/>
          <w:sz w:val="24"/>
          <w:highlight w:val="none"/>
        </w:rPr>
        <w:t>以</w:t>
      </w:r>
      <w:r>
        <w:rPr>
          <w:rFonts w:ascii="仿宋" w:hAnsi="仿宋" w:eastAsia="仿宋"/>
          <w:spacing w:val="-2"/>
          <w:sz w:val="24"/>
          <w:highlight w:val="none"/>
        </w:rPr>
        <w:t>任何借口对乙方进行报复。对举报属实和严格遵守廉洁协议的乙方，在同等条件下甲方优先考虑与乙方继续合作并给予更优惠的商务合作条件。</w:t>
      </w:r>
    </w:p>
    <w:p w14:paraId="442C305E">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8.若乙方知悉其它与甲方合作的供应商</w:t>
      </w:r>
      <w:r>
        <w:rPr>
          <w:rFonts w:hint="eastAsia" w:ascii="仿宋" w:hAnsi="仿宋" w:eastAsia="仿宋"/>
          <w:spacing w:val="-2"/>
          <w:sz w:val="24"/>
          <w:highlight w:val="none"/>
        </w:rPr>
        <w:t>、服务商或采购商、经销商等合作伙伴</w:t>
      </w:r>
      <w:r>
        <w:rPr>
          <w:rFonts w:ascii="仿宋" w:hAnsi="仿宋" w:eastAsia="仿宋"/>
          <w:spacing w:val="-2"/>
          <w:sz w:val="24"/>
          <w:highlight w:val="none"/>
        </w:rPr>
        <w:t>存在违反本协议规定之行为，乙方应向甲方</w:t>
      </w:r>
      <w:r>
        <w:rPr>
          <w:rFonts w:hint="eastAsia" w:ascii="仿宋" w:hAnsi="仿宋" w:eastAsia="仿宋"/>
          <w:spacing w:val="-2"/>
          <w:sz w:val="24"/>
          <w:highlight w:val="none"/>
        </w:rPr>
        <w:t>或</w:t>
      </w:r>
      <w:r>
        <w:rPr>
          <w:rFonts w:ascii="仿宋" w:hAnsi="仿宋" w:eastAsia="仿宋"/>
          <w:spacing w:val="-2"/>
          <w:sz w:val="24"/>
          <w:highlight w:val="none"/>
        </w:rPr>
        <w:t>甲方</w:t>
      </w:r>
      <w:r>
        <w:rPr>
          <w:rFonts w:hint="eastAsia" w:ascii="仿宋" w:hAnsi="仿宋" w:eastAsia="仿宋"/>
          <w:spacing w:val="-2"/>
          <w:sz w:val="24"/>
          <w:highlight w:val="none"/>
        </w:rPr>
        <w:t>所属</w:t>
      </w:r>
      <w:r>
        <w:rPr>
          <w:rFonts w:ascii="仿宋" w:hAnsi="仿宋" w:eastAsia="仿宋"/>
          <w:spacing w:val="-2"/>
          <w:sz w:val="24"/>
          <w:highlight w:val="none"/>
        </w:rPr>
        <w:t>重汽集团</w:t>
      </w:r>
      <w:r>
        <w:rPr>
          <w:rFonts w:hint="eastAsia" w:ascii="仿宋" w:hAnsi="仿宋" w:eastAsia="仿宋"/>
          <w:spacing w:val="-2"/>
          <w:sz w:val="24"/>
          <w:highlight w:val="none"/>
        </w:rPr>
        <w:t>的</w:t>
      </w:r>
      <w:r>
        <w:rPr>
          <w:rFonts w:ascii="仿宋" w:hAnsi="仿宋" w:eastAsia="仿宋"/>
          <w:spacing w:val="-2"/>
          <w:sz w:val="24"/>
          <w:highlight w:val="none"/>
        </w:rPr>
        <w:t>纪</w:t>
      </w:r>
      <w:r>
        <w:rPr>
          <w:rFonts w:hint="eastAsia" w:ascii="仿宋" w:hAnsi="仿宋" w:eastAsia="仿宋"/>
          <w:spacing w:val="-2"/>
          <w:sz w:val="24"/>
          <w:highlight w:val="none"/>
        </w:rPr>
        <w:t>检</w:t>
      </w:r>
      <w:r>
        <w:rPr>
          <w:rFonts w:ascii="仿宋" w:hAnsi="仿宋" w:eastAsia="仿宋"/>
          <w:spacing w:val="-2"/>
          <w:sz w:val="24"/>
          <w:highlight w:val="none"/>
        </w:rPr>
        <w:t>监察部门检举并提供证据。</w:t>
      </w:r>
    </w:p>
    <w:p w14:paraId="45165997">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9.乙方承诺在双方业务往来期间，不得对甲方人员采取任何手段使其离开甲方到乙方或乙方关联企业任职，若出现上述情况，则属于乙方违约，应承担给甲方造成的一切损失。</w:t>
      </w:r>
    </w:p>
    <w:p w14:paraId="26D43D1F">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10.乙方承诺不聘任甲方内退领导干部或其他人员在乙方或乙方关联企业工作；乙方承诺不聘任甲方离职或退休三年内的领导干部或其他人员在乙方或乙方关联企业工作。</w:t>
      </w:r>
    </w:p>
    <w:p w14:paraId="71777B5B">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46ACD959">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仿宋" w:hAnsi="仿宋" w:eastAsia="仿宋"/>
          <w:spacing w:val="-2"/>
          <w:sz w:val="24"/>
          <w:highlight w:val="none"/>
        </w:rPr>
        <w:t>等</w:t>
      </w:r>
      <w:r>
        <w:rPr>
          <w:rFonts w:ascii="仿宋" w:hAnsi="仿宋" w:eastAsia="仿宋"/>
          <w:spacing w:val="-2"/>
          <w:sz w:val="24"/>
          <w:highlight w:val="none"/>
        </w:rPr>
        <w:t>能够对其实际支配的企业或单位。</w:t>
      </w:r>
    </w:p>
    <w:p w14:paraId="3FB30620">
      <w:pPr>
        <w:pStyle w:val="76"/>
        <w:tabs>
          <w:tab w:val="left" w:pos="1244"/>
        </w:tabs>
        <w:adjustRightInd w:val="0"/>
        <w:spacing w:line="384" w:lineRule="auto"/>
        <w:ind w:firstLine="472"/>
        <w:rPr>
          <w:rFonts w:ascii="仿宋" w:hAnsi="仿宋" w:eastAsia="仿宋"/>
          <w:spacing w:val="-2"/>
          <w:sz w:val="24"/>
          <w:highlight w:val="none"/>
        </w:rPr>
      </w:pPr>
      <w:r>
        <w:rPr>
          <w:rFonts w:hint="eastAsia" w:ascii="仿宋" w:hAnsi="仿宋" w:eastAsia="仿宋"/>
          <w:spacing w:val="-2"/>
          <w:sz w:val="24"/>
          <w:highlight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58757633">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w:t>
      </w:r>
      <w:r>
        <w:rPr>
          <w:rFonts w:hint="eastAsia" w:ascii="仿宋" w:hAnsi="仿宋" w:eastAsia="仿宋" w:cs="楷体"/>
          <w:spacing w:val="-2"/>
          <w:sz w:val="24"/>
          <w:szCs w:val="24"/>
          <w:highlight w:val="none"/>
        </w:rPr>
        <w:t>、一方擅自增加、删改、篡改</w:t>
      </w:r>
      <w:r>
        <w:rPr>
          <w:rFonts w:ascii="仿宋" w:hAnsi="仿宋" w:eastAsia="仿宋"/>
          <w:spacing w:val="-2"/>
          <w:sz w:val="24"/>
          <w:highlight w:val="none"/>
        </w:rPr>
        <w:t>部分无效（个人手写签名除外）。</w:t>
      </w:r>
    </w:p>
    <w:p w14:paraId="3170855F">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仿宋" w:hAnsi="仿宋" w:eastAsia="仿宋" w:cs="楷体"/>
          <w:spacing w:val="-2"/>
          <w:sz w:val="24"/>
          <w:szCs w:val="24"/>
          <w:highlight w:val="none"/>
        </w:rPr>
        <w:t>各方</w:t>
      </w:r>
      <w:r>
        <w:rPr>
          <w:rFonts w:ascii="仿宋" w:hAnsi="仿宋" w:eastAsia="仿宋"/>
          <w:spacing w:val="-2"/>
          <w:sz w:val="24"/>
          <w:highlight w:val="none"/>
        </w:rPr>
        <w:t>已签署完毕。</w:t>
      </w:r>
    </w:p>
    <w:p w14:paraId="0B975D8E">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14.本协议作为执行</w:t>
      </w:r>
      <w:r>
        <w:rPr>
          <w:rFonts w:hint="eastAsia" w:ascii="仿宋" w:hAnsi="仿宋" w:eastAsia="仿宋"/>
          <w:spacing w:val="-2"/>
          <w:sz w:val="24"/>
          <w:highlight w:val="none"/>
        </w:rPr>
        <w:t>甲乙双方</w:t>
      </w:r>
      <w:r>
        <w:rPr>
          <w:rFonts w:ascii="仿宋" w:hAnsi="仿宋" w:eastAsia="仿宋"/>
          <w:spacing w:val="-2"/>
          <w:sz w:val="24"/>
          <w:highlight w:val="none"/>
        </w:rPr>
        <w:t>采购协议</w:t>
      </w:r>
      <w:r>
        <w:rPr>
          <w:rFonts w:hint="eastAsia" w:ascii="仿宋" w:hAnsi="仿宋" w:eastAsia="仿宋"/>
          <w:spacing w:val="-2"/>
          <w:sz w:val="24"/>
          <w:highlight w:val="none"/>
        </w:rPr>
        <w:t>或其他合作合同、协议</w:t>
      </w:r>
      <w:r>
        <w:rPr>
          <w:rFonts w:ascii="仿宋" w:hAnsi="仿宋" w:eastAsia="仿宋"/>
          <w:spacing w:val="-2"/>
          <w:sz w:val="24"/>
          <w:highlight w:val="none"/>
        </w:rPr>
        <w:t>的附件，自双方签署之日起生效，此协议在</w:t>
      </w:r>
      <w:r>
        <w:rPr>
          <w:rFonts w:hint="eastAsia" w:ascii="仿宋" w:hAnsi="仿宋" w:eastAsia="仿宋"/>
          <w:spacing w:val="-2"/>
          <w:sz w:val="24"/>
          <w:highlight w:val="none"/>
        </w:rPr>
        <w:t>甲乙</w:t>
      </w:r>
      <w:r>
        <w:rPr>
          <w:rFonts w:ascii="仿宋" w:hAnsi="仿宋" w:eastAsia="仿宋"/>
          <w:spacing w:val="-2"/>
          <w:sz w:val="24"/>
          <w:highlight w:val="none"/>
        </w:rPr>
        <w:t>双方</w:t>
      </w:r>
      <w:r>
        <w:rPr>
          <w:rFonts w:hint="eastAsia" w:ascii="仿宋" w:hAnsi="仿宋" w:eastAsia="仿宋"/>
          <w:spacing w:val="-2"/>
          <w:sz w:val="24"/>
          <w:highlight w:val="none"/>
        </w:rPr>
        <w:t>业务</w:t>
      </w:r>
      <w:r>
        <w:rPr>
          <w:rFonts w:ascii="仿宋" w:hAnsi="仿宋" w:eastAsia="仿宋"/>
          <w:spacing w:val="-2"/>
          <w:sz w:val="24"/>
          <w:highlight w:val="none"/>
        </w:rPr>
        <w:t>合作期间有效</w:t>
      </w:r>
      <w:r>
        <w:rPr>
          <w:rFonts w:hint="eastAsia" w:ascii="仿宋" w:hAnsi="仿宋" w:eastAsia="仿宋"/>
          <w:spacing w:val="-2"/>
          <w:sz w:val="24"/>
          <w:highlight w:val="none"/>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0FADBF53">
      <w:pPr>
        <w:pStyle w:val="76"/>
        <w:tabs>
          <w:tab w:val="left" w:pos="1244"/>
        </w:tabs>
        <w:adjustRightInd w:val="0"/>
        <w:spacing w:line="384" w:lineRule="auto"/>
        <w:ind w:firstLine="472"/>
        <w:rPr>
          <w:rFonts w:ascii="仿宋" w:hAnsi="仿宋" w:eastAsia="仿宋"/>
          <w:spacing w:val="-2"/>
          <w:sz w:val="24"/>
          <w:highlight w:val="none"/>
        </w:rPr>
      </w:pPr>
      <w:r>
        <w:rPr>
          <w:rFonts w:ascii="仿宋" w:hAnsi="仿宋" w:eastAsia="仿宋"/>
          <w:spacing w:val="-2"/>
          <w:sz w:val="24"/>
          <w:highlight w:val="none"/>
        </w:rPr>
        <w:t>1</w:t>
      </w:r>
      <w:r>
        <w:rPr>
          <w:rFonts w:hint="eastAsia" w:ascii="仿宋" w:hAnsi="仿宋" w:eastAsia="仿宋"/>
          <w:spacing w:val="-2"/>
          <w:sz w:val="24"/>
          <w:highlight w:val="none"/>
        </w:rPr>
        <w:t>5</w:t>
      </w:r>
      <w:r>
        <w:rPr>
          <w:rFonts w:ascii="仿宋" w:hAnsi="仿宋" w:eastAsia="仿宋"/>
          <w:spacing w:val="-2"/>
          <w:sz w:val="24"/>
          <w:highlight w:val="none"/>
        </w:rPr>
        <w:t>.本协议一式二份，双方各执一份，具有同等法律效力。若产生争议，双方协商解决，协商不成的在甲方所在地有管辖权的法院诉讼解决。</w:t>
      </w:r>
    </w:p>
    <w:p w14:paraId="5E803E47">
      <w:pPr>
        <w:pStyle w:val="76"/>
        <w:tabs>
          <w:tab w:val="left" w:pos="1244"/>
        </w:tabs>
        <w:adjustRightInd w:val="0"/>
        <w:spacing w:line="305" w:lineRule="auto"/>
        <w:ind w:firstLine="480"/>
        <w:rPr>
          <w:rFonts w:ascii="仿宋_GB2312" w:hAnsi="楷体"/>
          <w:sz w:val="24"/>
          <w:highlight w:val="none"/>
        </w:rPr>
      </w:pPr>
    </w:p>
    <w:p w14:paraId="35AE6E68">
      <w:pPr>
        <w:tabs>
          <w:tab w:val="left" w:pos="5457"/>
        </w:tabs>
        <w:spacing w:before="1"/>
        <w:ind w:left="117"/>
        <w:rPr>
          <w:rFonts w:ascii="仿宋_GB2312" w:hAnsi="楷体" w:eastAsia="仿宋_GB2312" w:cs="楷体"/>
          <w:b/>
          <w:sz w:val="24"/>
          <w:szCs w:val="24"/>
          <w:highlight w:val="none"/>
        </w:rPr>
      </w:pPr>
      <w:r>
        <w:rPr>
          <w:rFonts w:hint="eastAsia" w:ascii="仿宋_GB2312" w:hAnsi="楷体" w:eastAsia="仿宋_GB2312" w:cs="楷体"/>
          <w:b/>
          <w:spacing w:val="-1"/>
          <w:w w:val="99"/>
          <w:sz w:val="24"/>
          <w:szCs w:val="24"/>
          <w:highlight w:val="none"/>
        </w:rPr>
        <w:t>甲方（盖章</w:t>
      </w:r>
      <w:r>
        <w:rPr>
          <w:rFonts w:hint="eastAsia" w:ascii="仿宋_GB2312" w:hAnsi="楷体" w:eastAsia="仿宋_GB2312" w:cs="楷体"/>
          <w:b/>
          <w:spacing w:val="-140"/>
          <w:w w:val="99"/>
          <w:sz w:val="24"/>
          <w:szCs w:val="24"/>
          <w:highlight w:val="none"/>
        </w:rPr>
        <w:t>）</w:t>
      </w:r>
      <w:r>
        <w:rPr>
          <w:rFonts w:hint="eastAsia" w:ascii="仿宋_GB2312" w:hAnsi="楷体" w:eastAsia="仿宋_GB2312" w:cs="楷体"/>
          <w:b/>
          <w:w w:val="99"/>
          <w:sz w:val="24"/>
          <w:szCs w:val="24"/>
          <w:highlight w:val="none"/>
        </w:rPr>
        <w:t>：</w:t>
      </w:r>
      <w:r>
        <w:rPr>
          <w:rFonts w:hint="eastAsia" w:ascii="仿宋_GB2312" w:hAnsi="楷体" w:eastAsia="仿宋_GB2312" w:cs="楷体"/>
          <w:b/>
          <w:sz w:val="24"/>
          <w:szCs w:val="24"/>
          <w:highlight w:val="none"/>
        </w:rPr>
        <w:tab/>
      </w:r>
      <w:r>
        <w:rPr>
          <w:rFonts w:hint="eastAsia" w:ascii="仿宋_GB2312" w:hAnsi="楷体" w:eastAsia="仿宋_GB2312" w:cs="楷体"/>
          <w:b/>
          <w:spacing w:val="-1"/>
          <w:w w:val="99"/>
          <w:sz w:val="24"/>
          <w:szCs w:val="24"/>
          <w:highlight w:val="none"/>
        </w:rPr>
        <w:t>乙方（盖</w:t>
      </w:r>
      <w:r>
        <w:rPr>
          <w:rFonts w:hint="eastAsia" w:ascii="仿宋_GB2312" w:hAnsi="楷体" w:eastAsia="仿宋_GB2312" w:cs="楷体"/>
          <w:b/>
          <w:spacing w:val="2"/>
          <w:w w:val="99"/>
          <w:sz w:val="24"/>
          <w:szCs w:val="24"/>
          <w:highlight w:val="none"/>
        </w:rPr>
        <w:t>章</w:t>
      </w:r>
      <w:r>
        <w:rPr>
          <w:rFonts w:hint="eastAsia" w:ascii="仿宋_GB2312" w:hAnsi="楷体" w:eastAsia="仿宋_GB2312" w:cs="楷体"/>
          <w:b/>
          <w:spacing w:val="-142"/>
          <w:w w:val="99"/>
          <w:sz w:val="24"/>
          <w:szCs w:val="24"/>
          <w:highlight w:val="none"/>
        </w:rPr>
        <w:t>）</w:t>
      </w:r>
      <w:r>
        <w:rPr>
          <w:rFonts w:hint="eastAsia" w:ascii="仿宋_GB2312" w:hAnsi="楷体" w:eastAsia="仿宋_GB2312" w:cs="楷体"/>
          <w:b/>
          <w:w w:val="99"/>
          <w:sz w:val="24"/>
          <w:szCs w:val="24"/>
          <w:highlight w:val="none"/>
        </w:rPr>
        <w:t>：</w:t>
      </w:r>
    </w:p>
    <w:p w14:paraId="2356ADB9">
      <w:pPr>
        <w:pStyle w:val="10"/>
        <w:ind w:left="420" w:firstLine="482"/>
        <w:rPr>
          <w:rFonts w:ascii="仿宋_GB2312" w:hAnsi="楷体" w:eastAsia="仿宋_GB2312" w:cs="楷体"/>
          <w:b/>
          <w:sz w:val="24"/>
          <w:szCs w:val="24"/>
          <w:highlight w:val="none"/>
        </w:rPr>
      </w:pPr>
    </w:p>
    <w:p w14:paraId="40B66962">
      <w:pPr>
        <w:pStyle w:val="10"/>
        <w:spacing w:before="1"/>
        <w:ind w:left="420" w:firstLine="482"/>
        <w:rPr>
          <w:rFonts w:ascii="仿宋_GB2312" w:hAnsi="楷体" w:eastAsia="仿宋_GB2312" w:cs="楷体"/>
          <w:b/>
          <w:sz w:val="24"/>
          <w:szCs w:val="24"/>
          <w:highlight w:val="none"/>
        </w:rPr>
      </w:pPr>
    </w:p>
    <w:p w14:paraId="54F31134">
      <w:pPr>
        <w:tabs>
          <w:tab w:val="left" w:pos="5457"/>
        </w:tabs>
        <w:ind w:left="117"/>
        <w:rPr>
          <w:rFonts w:ascii="仿宋_GB2312" w:hAnsi="楷体" w:eastAsia="仿宋_GB2312" w:cs="楷体"/>
          <w:b/>
          <w:sz w:val="24"/>
          <w:szCs w:val="24"/>
          <w:highlight w:val="none"/>
        </w:rPr>
      </w:pPr>
      <w:r>
        <w:rPr>
          <w:rFonts w:hint="eastAsia" w:ascii="仿宋_GB2312" w:hAnsi="楷体" w:eastAsia="仿宋_GB2312" w:cs="楷体"/>
          <w:b/>
          <w:sz w:val="24"/>
          <w:szCs w:val="24"/>
          <w:highlight w:val="none"/>
        </w:rPr>
        <w:t>法定代表/授权代表</w:t>
      </w:r>
      <w:r>
        <w:rPr>
          <w:rFonts w:hint="eastAsia" w:ascii="仿宋_GB2312" w:hAnsi="楷体" w:eastAsia="仿宋_GB2312" w:cs="楷体"/>
          <w:b/>
          <w:sz w:val="24"/>
          <w:szCs w:val="24"/>
          <w:highlight w:val="none"/>
        </w:rPr>
        <w:tab/>
      </w:r>
      <w:r>
        <w:rPr>
          <w:rFonts w:hint="eastAsia" w:ascii="仿宋_GB2312" w:hAnsi="楷体" w:eastAsia="仿宋_GB2312" w:cs="楷体"/>
          <w:b/>
          <w:sz w:val="24"/>
          <w:szCs w:val="24"/>
          <w:highlight w:val="none"/>
        </w:rPr>
        <w:t>法定代表/授权代表</w:t>
      </w:r>
    </w:p>
    <w:p w14:paraId="33BA130B">
      <w:pPr>
        <w:tabs>
          <w:tab w:val="left" w:pos="5457"/>
        </w:tabs>
        <w:ind w:left="117"/>
        <w:rPr>
          <w:rFonts w:ascii="仿宋_GB2312" w:hAnsi="楷体" w:eastAsia="仿宋_GB2312" w:cs="楷体"/>
          <w:b/>
          <w:sz w:val="24"/>
          <w:szCs w:val="24"/>
          <w:highlight w:val="none"/>
        </w:rPr>
      </w:pPr>
    </w:p>
    <w:p w14:paraId="5C610733">
      <w:pPr>
        <w:pStyle w:val="30"/>
        <w:ind w:firstLine="480"/>
        <w:rPr>
          <w:rFonts w:ascii="仿宋_GB2312" w:eastAsia="仿宋_GB2312"/>
          <w:sz w:val="24"/>
          <w:szCs w:val="24"/>
          <w:highlight w:val="none"/>
        </w:rPr>
      </w:pPr>
    </w:p>
    <w:p w14:paraId="1CC9DB85">
      <w:pPr>
        <w:tabs>
          <w:tab w:val="left" w:pos="5457"/>
        </w:tabs>
        <w:ind w:left="117"/>
        <w:rPr>
          <w:rFonts w:ascii="仿宋_GB2312" w:hAnsi="楷体" w:eastAsia="仿宋_GB2312" w:cs="楷体"/>
          <w:b/>
          <w:sz w:val="24"/>
          <w:szCs w:val="24"/>
          <w:highlight w:val="none"/>
        </w:rPr>
      </w:pPr>
      <w:r>
        <w:rPr>
          <w:rFonts w:hint="eastAsia" w:ascii="仿宋_GB2312" w:hAnsi="楷体" w:eastAsia="仿宋_GB2312" w:cs="楷体"/>
          <w:b/>
          <w:sz w:val="24"/>
          <w:szCs w:val="24"/>
          <w:highlight w:val="none"/>
        </w:rPr>
        <w:t>日</w:t>
      </w:r>
      <w:r>
        <w:rPr>
          <w:rFonts w:hint="eastAsia" w:ascii="仿宋_GB2312" w:hAnsi="楷体" w:eastAsia="仿宋_GB2312" w:cs="楷体"/>
          <w:b/>
          <w:spacing w:val="-4"/>
          <w:sz w:val="24"/>
          <w:szCs w:val="24"/>
          <w:highlight w:val="none"/>
        </w:rPr>
        <w:t xml:space="preserve"> </w:t>
      </w:r>
      <w:r>
        <w:rPr>
          <w:rFonts w:hint="eastAsia" w:ascii="仿宋_GB2312" w:hAnsi="楷体" w:eastAsia="仿宋_GB2312" w:cs="楷体"/>
          <w:b/>
          <w:sz w:val="24"/>
          <w:szCs w:val="24"/>
          <w:highlight w:val="none"/>
        </w:rPr>
        <w:t>期:</w:t>
      </w:r>
      <w:r>
        <w:rPr>
          <w:rFonts w:hint="eastAsia" w:ascii="仿宋_GB2312" w:hAnsi="楷体" w:eastAsia="仿宋_GB2312" w:cs="楷体"/>
          <w:b/>
          <w:sz w:val="24"/>
          <w:szCs w:val="24"/>
          <w:highlight w:val="none"/>
        </w:rPr>
        <w:tab/>
      </w:r>
      <w:r>
        <w:rPr>
          <w:rFonts w:hint="eastAsia" w:ascii="仿宋_GB2312" w:hAnsi="楷体" w:eastAsia="仿宋_GB2312" w:cs="楷体"/>
          <w:b/>
          <w:sz w:val="24"/>
          <w:szCs w:val="24"/>
          <w:highlight w:val="none"/>
        </w:rPr>
        <w:t>日 期:</w:t>
      </w:r>
    </w:p>
    <w:p w14:paraId="3AB254C1">
      <w:pPr>
        <w:pStyle w:val="76"/>
        <w:tabs>
          <w:tab w:val="left" w:pos="1244"/>
        </w:tabs>
        <w:adjustRightInd w:val="0"/>
        <w:spacing w:line="305" w:lineRule="auto"/>
        <w:ind w:firstLine="592"/>
        <w:rPr>
          <w:rFonts w:ascii="仿宋_GB2312" w:hAnsi="楷体" w:eastAsia="仿宋_GB2312" w:cs="楷体"/>
          <w:spacing w:val="-2"/>
          <w:sz w:val="30"/>
          <w:szCs w:val="30"/>
          <w:highlight w:val="none"/>
        </w:rPr>
      </w:pPr>
    </w:p>
    <w:p w14:paraId="3BA53D8F">
      <w:pPr>
        <w:spacing w:before="158" w:beforeLines="50" w:after="158" w:afterLines="50" w:line="440" w:lineRule="exact"/>
        <w:jc w:val="left"/>
        <w:outlineLvl w:val="3"/>
        <w:rPr>
          <w:rFonts w:ascii="仿宋" w:hAnsi="仿宋" w:eastAsia="仿宋" w:cs="仿宋"/>
          <w:sz w:val="24"/>
          <w:szCs w:val="24"/>
          <w:highlight w:val="none"/>
        </w:rPr>
      </w:pPr>
      <w:r>
        <w:rPr>
          <w:rFonts w:ascii="仿宋" w:hAnsi="仿宋" w:eastAsia="仿宋" w:cs="仿宋"/>
          <w:sz w:val="24"/>
          <w:szCs w:val="24"/>
          <w:highlight w:val="none"/>
        </w:rPr>
        <w:br w:type="page"/>
      </w:r>
    </w:p>
    <w:p w14:paraId="3DF27575">
      <w:pPr>
        <w:rPr>
          <w:rFonts w:ascii="仿宋" w:hAnsi="仿宋"/>
          <w:color w:val="000000" w:themeColor="text1"/>
          <w:sz w:val="24"/>
          <w:highlight w:val="none"/>
          <w14:textFill>
            <w14:solidFill>
              <w14:schemeClr w14:val="tx1"/>
            </w14:solidFill>
          </w14:textFill>
        </w:rPr>
      </w:pPr>
      <w:r>
        <w:rPr>
          <w:rFonts w:hint="eastAsia" w:ascii="仿宋" w:hAnsi="仿宋"/>
          <w:color w:val="000000" w:themeColor="text1"/>
          <w:sz w:val="24"/>
          <w:highlight w:val="none"/>
          <w14:textFill>
            <w14:solidFill>
              <w14:schemeClr w14:val="tx1"/>
            </w14:solidFill>
          </w14:textFill>
        </w:rPr>
        <w:t>附件</w:t>
      </w:r>
      <w:r>
        <w:rPr>
          <w:rFonts w:ascii="仿宋" w:hAnsi="仿宋"/>
          <w:color w:val="000000" w:themeColor="text1"/>
          <w:sz w:val="24"/>
          <w:highlight w:val="none"/>
          <w14:textFill>
            <w14:solidFill>
              <w14:schemeClr w14:val="tx1"/>
            </w14:solidFill>
          </w14:textFill>
        </w:rPr>
        <w:t>7</w:t>
      </w:r>
      <w:r>
        <w:rPr>
          <w:rFonts w:hint="eastAsia" w:ascii="仿宋" w:hAnsi="仿宋"/>
          <w:color w:val="000000" w:themeColor="text1"/>
          <w:sz w:val="24"/>
          <w:highlight w:val="none"/>
          <w14:textFill>
            <w14:solidFill>
              <w14:schemeClr w14:val="tx1"/>
            </w14:solidFill>
          </w14:textFill>
        </w:rPr>
        <w:t>：</w:t>
      </w:r>
    </w:p>
    <w:p w14:paraId="15F456F0">
      <w:pPr>
        <w:spacing w:before="158" w:beforeLines="50" w:after="158" w:afterLines="50" w:line="440" w:lineRule="exact"/>
        <w:jc w:val="center"/>
        <w:rPr>
          <w:color w:val="000000" w:themeColor="text1"/>
          <w:sz w:val="28"/>
          <w:highlight w:val="none"/>
          <w14:textFill>
            <w14:solidFill>
              <w14:schemeClr w14:val="tx1"/>
            </w14:solidFill>
          </w14:textFill>
        </w:rPr>
      </w:pPr>
      <w:r>
        <w:rPr>
          <w:rFonts w:hint="eastAsia"/>
          <w:color w:val="000000" w:themeColor="text1"/>
          <w:sz w:val="28"/>
          <w:highlight w:val="none"/>
          <w14:textFill>
            <w14:solidFill>
              <w14:schemeClr w14:val="tx1"/>
            </w14:solidFill>
          </w14:textFill>
        </w:rPr>
        <w:t>保密协议</w:t>
      </w:r>
    </w:p>
    <w:p w14:paraId="025E4D4B">
      <w:pPr>
        <w:spacing w:line="360" w:lineRule="auto"/>
        <w:rPr>
          <w:rFonts w:ascii="仿宋_GB2312" w:hAnsiTheme="minorEastAsia"/>
          <w:sz w:val="24"/>
          <w:highlight w:val="none"/>
        </w:rPr>
      </w:pPr>
      <w:r>
        <w:rPr>
          <w:rFonts w:hint="eastAsia" w:ascii="仿宋_GB2312" w:hAnsiTheme="minorEastAsia"/>
          <w:sz w:val="24"/>
          <w:highlight w:val="none"/>
        </w:rPr>
        <w:t>本协议由以下双方于</w:t>
      </w:r>
      <w:r>
        <w:rPr>
          <w:rFonts w:hint="eastAsia" w:ascii="仿宋_GB2312" w:eastAsia="仿宋_GB2312" w:hAnsiTheme="minorEastAsia" w:cstheme="minorEastAsia"/>
          <w:sz w:val="24"/>
          <w:szCs w:val="24"/>
          <w:highlight w:val="none"/>
          <w:u w:val="single"/>
        </w:rPr>
        <w:t xml:space="preserve"> </w:t>
      </w:r>
      <w:r>
        <w:rPr>
          <w:rFonts w:ascii="仿宋_GB2312" w:eastAsia="仿宋_GB2312" w:hAnsiTheme="minorEastAsia" w:cstheme="minorEastAsia"/>
          <w:sz w:val="24"/>
          <w:szCs w:val="24"/>
          <w:highlight w:val="none"/>
          <w:u w:val="single"/>
        </w:rPr>
        <w:t xml:space="preserve">      </w:t>
      </w:r>
      <w:r>
        <w:rPr>
          <w:rFonts w:hint="eastAsia" w:ascii="仿宋_GB2312" w:hAnsiTheme="minorEastAsia"/>
          <w:sz w:val="24"/>
          <w:highlight w:val="none"/>
        </w:rPr>
        <w:t>共同签署：</w:t>
      </w:r>
    </w:p>
    <w:p w14:paraId="25CB7F45">
      <w:pPr>
        <w:spacing w:line="360" w:lineRule="auto"/>
        <w:rPr>
          <w:rFonts w:ascii="仿宋_GB2312" w:hAnsi="宋体"/>
          <w:sz w:val="24"/>
          <w:highlight w:val="none"/>
        </w:rPr>
      </w:pPr>
      <w:r>
        <w:rPr>
          <w:rFonts w:hint="eastAsia" w:ascii="仿宋_GB2312" w:hAnsi="宋体"/>
          <w:sz w:val="24"/>
          <w:highlight w:val="none"/>
        </w:rPr>
        <w:t>甲方：</w:t>
      </w:r>
      <w:r>
        <w:rPr>
          <w:rFonts w:hint="eastAsia" w:ascii="仿宋_GB2312" w:hAnsi="宋体" w:eastAsia="仿宋_GB2312" w:cs="宋体"/>
          <w:sz w:val="24"/>
          <w:szCs w:val="24"/>
          <w:highlight w:val="none"/>
        </w:rPr>
        <w:t>中国重汽集团</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有限公司</w:t>
      </w:r>
    </w:p>
    <w:p w14:paraId="69D4707C">
      <w:pPr>
        <w:spacing w:line="360" w:lineRule="auto"/>
        <w:rPr>
          <w:rFonts w:ascii="仿宋_GB2312" w:hAnsi="宋体"/>
          <w:sz w:val="24"/>
          <w:highlight w:val="none"/>
        </w:rPr>
      </w:pPr>
      <w:r>
        <w:rPr>
          <w:rFonts w:hint="eastAsia" w:ascii="仿宋_GB2312" w:hAnsi="宋体"/>
          <w:sz w:val="24"/>
          <w:highlight w:val="none"/>
        </w:rPr>
        <w:t>公司住所：</w:t>
      </w:r>
    </w:p>
    <w:p w14:paraId="3EE5012C">
      <w:pPr>
        <w:spacing w:line="360" w:lineRule="auto"/>
        <w:rPr>
          <w:rFonts w:ascii="仿宋_GB2312" w:hAnsi="宋体"/>
          <w:sz w:val="24"/>
          <w:highlight w:val="none"/>
        </w:rPr>
      </w:pPr>
      <w:r>
        <w:rPr>
          <w:rFonts w:hint="eastAsia" w:ascii="仿宋_GB2312" w:hAnsi="宋体"/>
          <w:sz w:val="24"/>
          <w:highlight w:val="none"/>
        </w:rPr>
        <w:t xml:space="preserve">法定代表人： </w:t>
      </w:r>
    </w:p>
    <w:p w14:paraId="260BC606">
      <w:pPr>
        <w:spacing w:line="360" w:lineRule="auto"/>
        <w:rPr>
          <w:rFonts w:ascii="仿宋_GB2312" w:hAnsi="宋体"/>
          <w:sz w:val="24"/>
          <w:highlight w:val="none"/>
        </w:rPr>
      </w:pPr>
    </w:p>
    <w:p w14:paraId="713010C7">
      <w:pPr>
        <w:spacing w:line="360" w:lineRule="auto"/>
        <w:rPr>
          <w:rFonts w:ascii="仿宋_GB2312" w:hAnsi="宋体"/>
          <w:sz w:val="24"/>
          <w:highlight w:val="none"/>
        </w:rPr>
      </w:pPr>
      <w:r>
        <w:rPr>
          <w:rFonts w:hint="eastAsia" w:ascii="仿宋_GB2312" w:hAnsi="宋体"/>
          <w:sz w:val="24"/>
          <w:highlight w:val="none"/>
        </w:rPr>
        <w:t xml:space="preserve">乙方： </w:t>
      </w:r>
    </w:p>
    <w:p w14:paraId="70B5C6A3">
      <w:pPr>
        <w:spacing w:line="360" w:lineRule="auto"/>
        <w:rPr>
          <w:rFonts w:ascii="仿宋_GB2312" w:hAnsi="宋体"/>
          <w:sz w:val="24"/>
          <w:highlight w:val="none"/>
        </w:rPr>
      </w:pPr>
      <w:r>
        <w:rPr>
          <w:rFonts w:hint="eastAsia" w:ascii="仿宋_GB2312" w:hAnsi="宋体"/>
          <w:sz w:val="24"/>
          <w:highlight w:val="none"/>
        </w:rPr>
        <w:t>公司住所：</w:t>
      </w:r>
    </w:p>
    <w:p w14:paraId="03C5ADB9">
      <w:pPr>
        <w:spacing w:line="360" w:lineRule="auto"/>
        <w:rPr>
          <w:rFonts w:ascii="仿宋_GB2312" w:hAnsi="宋体"/>
          <w:sz w:val="24"/>
          <w:highlight w:val="none"/>
        </w:rPr>
      </w:pPr>
      <w:r>
        <w:rPr>
          <w:rFonts w:hint="eastAsia" w:ascii="仿宋_GB2312" w:hAnsi="宋体"/>
          <w:sz w:val="24"/>
          <w:highlight w:val="none"/>
        </w:rPr>
        <w:t>法定代表人：</w:t>
      </w:r>
    </w:p>
    <w:p w14:paraId="5E4E3E1A">
      <w:pPr>
        <w:spacing w:line="360" w:lineRule="auto"/>
        <w:rPr>
          <w:rFonts w:ascii="仿宋_GB2312" w:hAnsi="宋体"/>
          <w:sz w:val="24"/>
          <w:highlight w:val="none"/>
          <w:lang w:val="en-GB"/>
        </w:rPr>
      </w:pPr>
    </w:p>
    <w:p w14:paraId="196DEC7D">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甲乙双方需开展</w:t>
      </w:r>
      <w:r>
        <w:rPr>
          <w:rFonts w:hint="eastAsia" w:ascii="仿宋_GB2312" w:eastAsia="仿宋_GB2312" w:hAnsiTheme="minorEastAsia" w:cstheme="minorEastAsia"/>
          <w:sz w:val="24"/>
          <w:szCs w:val="24"/>
          <w:highlight w:val="none"/>
          <w:u w:val="single"/>
        </w:rPr>
        <w:t xml:space="preserve"> </w:t>
      </w:r>
      <w:r>
        <w:rPr>
          <w:rFonts w:ascii="仿宋_GB2312" w:eastAsia="仿宋_GB2312" w:hAnsiTheme="minorEastAsia" w:cstheme="minorEastAsia"/>
          <w:sz w:val="24"/>
          <w:szCs w:val="24"/>
          <w:highlight w:val="none"/>
          <w:u w:val="single"/>
        </w:rPr>
        <w:t xml:space="preserve">       </w:t>
      </w:r>
      <w:r>
        <w:rPr>
          <w:rFonts w:hint="eastAsia" w:ascii="仿宋_GB2312" w:hAnsiTheme="minorEastAsia"/>
          <w:sz w:val="24"/>
          <w:highlight w:val="none"/>
        </w:rPr>
        <w:t>项目合作。出于该合作目的，甲方已经或将要向乙方提供有关项目的保密信息。经平等协商，双方自愿签订协议如下：</w:t>
      </w:r>
    </w:p>
    <w:p w14:paraId="5C0A91B4">
      <w:pPr>
        <w:spacing w:line="360" w:lineRule="auto"/>
        <w:ind w:firstLine="480" w:firstLineChars="200"/>
        <w:rPr>
          <w:rFonts w:ascii="黑体" w:hAnsi="黑体"/>
          <w:sz w:val="24"/>
          <w:highlight w:val="none"/>
        </w:rPr>
      </w:pPr>
      <w:r>
        <w:rPr>
          <w:rFonts w:hint="eastAsia" w:ascii="黑体" w:hAnsi="黑体"/>
          <w:sz w:val="24"/>
          <w:highlight w:val="none"/>
        </w:rPr>
        <w:t>第一条 定义</w:t>
      </w:r>
    </w:p>
    <w:p w14:paraId="104213EA">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1、“保密信息”指甲方现在或将来向乙方提供的</w:t>
      </w:r>
      <w:r>
        <w:rPr>
          <w:rFonts w:hint="eastAsia" w:ascii="仿宋_GB2312" w:hAnsiTheme="minorEastAsia"/>
          <w:sz w:val="24"/>
          <w:highlight w:val="none"/>
          <w:lang w:val="en-GB"/>
        </w:rPr>
        <w:t>与本协议有关的任何信息和数据，包括但不限于任何类型的</w:t>
      </w:r>
      <w:r>
        <w:rPr>
          <w:rFonts w:hint="eastAsia" w:ascii="仿宋_GB2312" w:hAnsiTheme="minorEastAsia"/>
          <w:sz w:val="24"/>
          <w:highlight w:val="none"/>
        </w:rPr>
        <w:t>经营信息、技术信息</w:t>
      </w:r>
      <w:r>
        <w:rPr>
          <w:rFonts w:hint="eastAsia" w:ascii="仿宋_GB2312" w:hAnsiTheme="minorEastAsia"/>
          <w:sz w:val="24"/>
          <w:highlight w:val="none"/>
          <w:lang w:val="en-GB"/>
        </w:rPr>
        <w:t>、</w:t>
      </w:r>
      <w:r>
        <w:rPr>
          <w:rFonts w:hint="eastAsia" w:ascii="仿宋_GB2312" w:hAnsiTheme="minorEastAsia"/>
          <w:sz w:val="24"/>
          <w:highlight w:val="none"/>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23A82B52">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2、信息提供方：甲方</w:t>
      </w:r>
    </w:p>
    <w:p w14:paraId="758515AA">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3、信息接受方：乙方</w:t>
      </w:r>
    </w:p>
    <w:p w14:paraId="33CD18FD">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4、第三方：指本协议双方之外的任何第三方。</w:t>
      </w:r>
    </w:p>
    <w:p w14:paraId="0FBEC5DF">
      <w:pPr>
        <w:spacing w:line="360" w:lineRule="auto"/>
        <w:ind w:firstLine="480" w:firstLineChars="200"/>
        <w:rPr>
          <w:rFonts w:ascii="仿宋_GB2312" w:hAnsiTheme="minorEastAsia"/>
          <w:sz w:val="24"/>
          <w:highlight w:val="none"/>
        </w:rPr>
      </w:pPr>
      <w:r>
        <w:rPr>
          <w:rFonts w:hint="eastAsia" w:ascii="仿宋_GB2312" w:hAnsi="宋体"/>
          <w:sz w:val="24"/>
          <w:highlight w:val="none"/>
        </w:rPr>
        <w:t>5、</w:t>
      </w:r>
      <w:r>
        <w:rPr>
          <w:rFonts w:hint="eastAsia" w:ascii="仿宋_GB2312" w:hAnsi="宋体"/>
          <w:sz w:val="24"/>
          <w:highlight w:val="none"/>
          <w:lang w:val="en-GB"/>
        </w:rPr>
        <w:t>关联</w:t>
      </w:r>
      <w:r>
        <w:rPr>
          <w:rFonts w:hint="eastAsia" w:ascii="仿宋_GB2312" w:hAnsi="宋体"/>
          <w:sz w:val="24"/>
          <w:highlight w:val="none"/>
        </w:rPr>
        <w:t>公司</w:t>
      </w:r>
      <w:r>
        <w:rPr>
          <w:rFonts w:hint="eastAsia" w:ascii="仿宋_GB2312" w:hAnsi="宋体"/>
          <w:sz w:val="24"/>
          <w:highlight w:val="none"/>
          <w:lang w:val="en-GB"/>
        </w:rPr>
        <w:t>：直接或间接控制</w:t>
      </w:r>
      <w:r>
        <w:rPr>
          <w:rFonts w:hint="eastAsia" w:ascii="仿宋_GB2312" w:hAnsi="宋体"/>
          <w:sz w:val="24"/>
          <w:highlight w:val="none"/>
        </w:rPr>
        <w:t>一</w:t>
      </w:r>
      <w:r>
        <w:rPr>
          <w:rFonts w:hint="eastAsia" w:ascii="仿宋_GB2312" w:hAnsi="宋体"/>
          <w:sz w:val="24"/>
          <w:highlight w:val="none"/>
          <w:lang w:val="en-GB"/>
        </w:rPr>
        <w:t>方，或者受控于</w:t>
      </w:r>
      <w:r>
        <w:rPr>
          <w:rFonts w:hint="eastAsia" w:ascii="仿宋_GB2312" w:hAnsi="宋体"/>
          <w:sz w:val="24"/>
          <w:highlight w:val="none"/>
        </w:rPr>
        <w:t>该</w:t>
      </w:r>
      <w:r>
        <w:rPr>
          <w:rFonts w:hint="eastAsia" w:ascii="仿宋_GB2312" w:hAnsi="宋体"/>
          <w:sz w:val="24"/>
          <w:highlight w:val="none"/>
          <w:lang w:val="en-GB"/>
        </w:rPr>
        <w:t>方，或者与</w:t>
      </w:r>
      <w:r>
        <w:rPr>
          <w:rFonts w:hint="eastAsia" w:ascii="仿宋_GB2312" w:hAnsi="宋体"/>
          <w:sz w:val="24"/>
          <w:highlight w:val="none"/>
        </w:rPr>
        <w:t>该</w:t>
      </w:r>
      <w:r>
        <w:rPr>
          <w:rFonts w:hint="eastAsia" w:ascii="仿宋_GB2312" w:hAnsi="宋体"/>
          <w:sz w:val="24"/>
          <w:highlight w:val="none"/>
          <w:lang w:val="en-GB"/>
        </w:rPr>
        <w:t>方共同处于控制之下的任何</w:t>
      </w:r>
      <w:r>
        <w:rPr>
          <w:rFonts w:hint="eastAsia" w:ascii="仿宋_GB2312" w:hAnsiTheme="minorEastAsia"/>
          <w:sz w:val="24"/>
          <w:highlight w:val="none"/>
        </w:rPr>
        <w:t>第三方。</w:t>
      </w:r>
    </w:p>
    <w:p w14:paraId="2EBC013A">
      <w:pPr>
        <w:spacing w:line="360" w:lineRule="auto"/>
        <w:ind w:firstLine="480" w:firstLineChars="200"/>
        <w:rPr>
          <w:rFonts w:ascii="黑体" w:hAnsi="黑体"/>
          <w:sz w:val="24"/>
          <w:highlight w:val="none"/>
        </w:rPr>
      </w:pPr>
      <w:r>
        <w:rPr>
          <w:rFonts w:hint="eastAsia" w:ascii="黑体" w:hAnsi="黑体"/>
          <w:sz w:val="24"/>
          <w:highlight w:val="none"/>
        </w:rPr>
        <w:t>第二条 保密信息的提供</w:t>
      </w:r>
    </w:p>
    <w:p w14:paraId="2A8FFF89">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1、本协议所述之保密信息均由协议双方为洽谈合作事项之目的而提供。</w:t>
      </w:r>
    </w:p>
    <w:p w14:paraId="095E9150">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2、保密信息的所有权及知识产权归属于甲方或甲方具有合法来源。</w:t>
      </w:r>
    </w:p>
    <w:p w14:paraId="7FB093C6">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3、本协议任何条款均不视为将保密信息的所有权和其他权利转让给乙方。</w:t>
      </w:r>
    </w:p>
    <w:p w14:paraId="57E73B9C">
      <w:pPr>
        <w:spacing w:line="360" w:lineRule="auto"/>
        <w:ind w:firstLine="480" w:firstLineChars="200"/>
        <w:rPr>
          <w:rFonts w:ascii="黑体" w:hAnsi="黑体"/>
          <w:sz w:val="24"/>
          <w:highlight w:val="none"/>
        </w:rPr>
      </w:pPr>
      <w:r>
        <w:rPr>
          <w:rFonts w:hint="eastAsia" w:ascii="黑体" w:hAnsi="黑体"/>
          <w:sz w:val="24"/>
          <w:highlight w:val="none"/>
        </w:rPr>
        <w:t>第三条 保密义务</w:t>
      </w:r>
    </w:p>
    <w:p w14:paraId="0C98908B">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1、乙方仅能将甲方提供的保密信息用于本协议所约定的项目并承担保密义务。</w:t>
      </w:r>
    </w:p>
    <w:p w14:paraId="43A5D3E9">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5E7524CE">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2BB0801C">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3D71BDA8">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0BC85B55">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 xml:space="preserve">6、乙方应遵从甲方不时发出的有关使用、处理和保管保密信息的任何指令或政策，并按照甲方的要求将本协议项下保密信息的使用情况向甲方汇报。 </w:t>
      </w:r>
    </w:p>
    <w:p w14:paraId="7D999E8E">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7、乙方不得为第三方利益使用保密信息，不得非为实现双方合作目的使用保密信息，不得对保密信息采取任何反向工程、反向编译或反向分解等行为。</w:t>
      </w:r>
    </w:p>
    <w:p w14:paraId="519B114D">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8、双方合作期间形成的与本协议有关的任何信息和数据受本协议约束。</w:t>
      </w:r>
    </w:p>
    <w:p w14:paraId="23157343">
      <w:pPr>
        <w:tabs>
          <w:tab w:val="left" w:pos="567"/>
        </w:tabs>
        <w:spacing w:line="360" w:lineRule="auto"/>
        <w:ind w:firstLine="480" w:firstLineChars="200"/>
        <w:rPr>
          <w:rFonts w:ascii="仿宋_GB2312" w:hAnsi="宋体"/>
          <w:sz w:val="24"/>
          <w:highlight w:val="none"/>
          <w:lang w:val="en-GB"/>
        </w:rPr>
      </w:pPr>
      <w:r>
        <w:rPr>
          <w:rFonts w:hint="eastAsia" w:ascii="仿宋_GB2312" w:hAnsi="宋体"/>
          <w:sz w:val="24"/>
          <w:highlight w:val="none"/>
          <w:lang w:val="en-GB"/>
        </w:rPr>
        <w:t>在本协议签订后，</w:t>
      </w:r>
      <w:r>
        <w:rPr>
          <w:rFonts w:hint="eastAsia" w:ascii="仿宋_GB2312" w:hAnsi="宋体"/>
          <w:sz w:val="24"/>
          <w:highlight w:val="none"/>
        </w:rPr>
        <w:t>甲方仅将保密信息向乙</w:t>
      </w:r>
      <w:r>
        <w:rPr>
          <w:rFonts w:hint="eastAsia" w:ascii="仿宋_GB2312" w:hAnsi="宋体"/>
          <w:sz w:val="24"/>
          <w:highlight w:val="none"/>
          <w:lang w:val="en-GB"/>
        </w:rPr>
        <w:t>方</w:t>
      </w:r>
      <w:r>
        <w:rPr>
          <w:rFonts w:hint="eastAsia" w:ascii="仿宋_GB2312" w:hAnsi="宋体"/>
          <w:sz w:val="24"/>
          <w:highlight w:val="none"/>
        </w:rPr>
        <w:t>指定联系人</w:t>
      </w:r>
      <w:bookmarkStart w:id="58" w:name="OLE_LINK3"/>
      <w:bookmarkStart w:id="59" w:name="OLE_LINK2"/>
      <w:r>
        <w:rPr>
          <w:rFonts w:hint="eastAsia" w:ascii="仿宋_GB2312" w:hAnsi="宋体"/>
          <w:sz w:val="24"/>
          <w:highlight w:val="none"/>
        </w:rPr>
        <w:t>：</w:t>
      </w:r>
      <w:bookmarkEnd w:id="58"/>
      <w:bookmarkEnd w:id="59"/>
      <w:r>
        <w:rPr>
          <w:rFonts w:hint="eastAsia" w:ascii="仿宋_GB2312" w:hAnsi="宋体" w:eastAsia="仿宋_GB2312" w:cs="宋体"/>
          <w:sz w:val="24"/>
          <w:szCs w:val="24"/>
          <w:highlight w:val="none"/>
          <w:u w:val="single"/>
        </w:rPr>
        <w:t xml:space="preserve">    </w:t>
      </w:r>
      <w:r>
        <w:rPr>
          <w:rFonts w:hint="eastAsia" w:ascii="仿宋_GB2312" w:hAnsi="宋体"/>
          <w:sz w:val="24"/>
          <w:highlight w:val="none"/>
          <w:u w:val="single"/>
        </w:rPr>
        <w:t xml:space="preserve"> </w:t>
      </w:r>
      <w:r>
        <w:rPr>
          <w:rFonts w:hint="eastAsia" w:ascii="仿宋_GB2312" w:hAnsi="宋体"/>
          <w:sz w:val="24"/>
          <w:highlight w:val="none"/>
        </w:rPr>
        <w:t>进行披露，如乙方联系人发生变更，应立即书面通知甲方并做出新的授权。</w:t>
      </w:r>
    </w:p>
    <w:p w14:paraId="7929E0D8">
      <w:pPr>
        <w:spacing w:line="360" w:lineRule="auto"/>
        <w:ind w:firstLine="480" w:firstLineChars="200"/>
        <w:rPr>
          <w:rFonts w:ascii="黑体" w:hAnsi="黑体"/>
          <w:sz w:val="24"/>
          <w:highlight w:val="none"/>
        </w:rPr>
      </w:pPr>
      <w:r>
        <w:rPr>
          <w:rFonts w:hint="eastAsia" w:ascii="黑体" w:hAnsi="黑体"/>
          <w:sz w:val="24"/>
          <w:highlight w:val="none"/>
        </w:rPr>
        <w:t>第四条 保密义务的例外</w:t>
      </w:r>
    </w:p>
    <w:p w14:paraId="278EDC96">
      <w:pPr>
        <w:spacing w:line="360" w:lineRule="auto"/>
        <w:ind w:firstLine="480" w:firstLineChars="200"/>
        <w:rPr>
          <w:rFonts w:ascii="仿宋_GB2312" w:hAnsiTheme="minorEastAsia"/>
          <w:sz w:val="24"/>
          <w:highlight w:val="none"/>
          <w:lang w:val="en-GB"/>
        </w:rPr>
      </w:pPr>
      <w:r>
        <w:rPr>
          <w:rFonts w:hint="eastAsia" w:ascii="仿宋_GB2312" w:hAnsiTheme="minorEastAsia"/>
          <w:sz w:val="24"/>
          <w:highlight w:val="none"/>
        </w:rPr>
        <w:t>1、</w:t>
      </w:r>
      <w:r>
        <w:rPr>
          <w:rFonts w:hint="eastAsia" w:ascii="仿宋_GB2312" w:hAnsiTheme="minorEastAsia"/>
          <w:sz w:val="24"/>
          <w:highlight w:val="none"/>
          <w:lang w:val="en-GB"/>
        </w:rPr>
        <w:t>根据有关法律或有管辖权的法院、仲裁机构、交易所或政府机构</w:t>
      </w:r>
      <w:r>
        <w:rPr>
          <w:rFonts w:hint="eastAsia" w:ascii="仿宋_GB2312" w:hAnsiTheme="minorEastAsia"/>
          <w:sz w:val="24"/>
          <w:highlight w:val="none"/>
        </w:rPr>
        <w:t>的</w:t>
      </w:r>
      <w:r>
        <w:rPr>
          <w:rFonts w:hint="eastAsia" w:ascii="仿宋_GB2312" w:hAnsiTheme="minorEastAsia"/>
          <w:sz w:val="24"/>
          <w:highlight w:val="none"/>
          <w:lang w:val="en-GB"/>
        </w:rPr>
        <w:t>要求而披露保密信息。</w:t>
      </w:r>
    </w:p>
    <w:p w14:paraId="71C15AC3">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2、事先取得甲方书面同意而公开的信息。</w:t>
      </w:r>
    </w:p>
    <w:p w14:paraId="0968AC69">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披露该等保密信息之前，乙方应当立即通知甲方，并提供有关该等命令的通知，协同甲方采取有效措施防范风险。</w:t>
      </w:r>
    </w:p>
    <w:p w14:paraId="0B4A8582">
      <w:pPr>
        <w:spacing w:line="360" w:lineRule="auto"/>
        <w:ind w:firstLine="480" w:firstLineChars="200"/>
        <w:rPr>
          <w:rFonts w:ascii="黑体" w:hAnsi="黑体"/>
          <w:sz w:val="24"/>
          <w:highlight w:val="none"/>
        </w:rPr>
      </w:pPr>
      <w:r>
        <w:rPr>
          <w:rFonts w:hint="eastAsia" w:ascii="黑体" w:hAnsi="黑体"/>
          <w:sz w:val="24"/>
          <w:highlight w:val="none"/>
        </w:rPr>
        <w:t>第五条 保密信息的返还</w:t>
      </w:r>
    </w:p>
    <w:p w14:paraId="35F28B34">
      <w:pPr>
        <w:tabs>
          <w:tab w:val="left" w:pos="990"/>
        </w:tabs>
        <w:spacing w:line="360" w:lineRule="auto"/>
        <w:ind w:firstLine="480" w:firstLineChars="200"/>
        <w:rPr>
          <w:rFonts w:ascii="仿宋_GB2312" w:hAnsi="宋体"/>
          <w:sz w:val="24"/>
          <w:highlight w:val="none"/>
        </w:rPr>
      </w:pPr>
      <w:r>
        <w:rPr>
          <w:rFonts w:hint="eastAsia" w:ascii="仿宋_GB2312" w:hAnsiTheme="minorEastAsia"/>
          <w:sz w:val="24"/>
          <w:highlight w:val="none"/>
        </w:rPr>
        <w:t>根据</w:t>
      </w:r>
      <w:r>
        <w:rPr>
          <w:rFonts w:hint="eastAsia" w:ascii="仿宋_GB2312" w:hAnsi="宋体"/>
          <w:sz w:val="24"/>
          <w:highlight w:val="none"/>
        </w:rPr>
        <w:t>甲方要求或乙方违约时</w:t>
      </w:r>
      <w:r>
        <w:rPr>
          <w:rFonts w:hint="eastAsia" w:ascii="仿宋_GB2312" w:hAnsi="宋体"/>
          <w:sz w:val="24"/>
          <w:highlight w:val="none"/>
          <w:lang w:val="en-GB"/>
        </w:rPr>
        <w:t>，</w:t>
      </w:r>
      <w:r>
        <w:rPr>
          <w:rFonts w:hint="eastAsia" w:ascii="仿宋_GB2312" w:hAnsi="宋体"/>
          <w:sz w:val="24"/>
          <w:highlight w:val="none"/>
        </w:rPr>
        <w:t>乙方应</w:t>
      </w:r>
      <w:r>
        <w:rPr>
          <w:rFonts w:hint="eastAsia" w:ascii="仿宋_GB2312" w:hAnsi="宋体"/>
          <w:sz w:val="24"/>
          <w:highlight w:val="none"/>
          <w:lang w:val="en-GB"/>
        </w:rPr>
        <w:t>立即</w:t>
      </w:r>
      <w:r>
        <w:rPr>
          <w:rFonts w:hint="eastAsia" w:ascii="仿宋_GB2312" w:hAnsi="宋体"/>
          <w:sz w:val="24"/>
          <w:highlight w:val="none"/>
        </w:rPr>
        <w:t>在甲方要求的时间内</w:t>
      </w:r>
      <w:r>
        <w:rPr>
          <w:rFonts w:hint="eastAsia" w:ascii="仿宋_GB2312" w:hAnsi="宋体"/>
          <w:sz w:val="24"/>
          <w:highlight w:val="none"/>
          <w:lang w:val="en-GB"/>
        </w:rPr>
        <w:t>向甲方返还所有保密信息并不得保存副本，</w:t>
      </w:r>
      <w:r>
        <w:rPr>
          <w:rFonts w:hint="eastAsia" w:ascii="仿宋_GB2312" w:hAnsi="宋体"/>
          <w:sz w:val="24"/>
          <w:highlight w:val="none"/>
        </w:rPr>
        <w:t>包括但不限于储存于</w:t>
      </w:r>
      <w:r>
        <w:rPr>
          <w:rFonts w:hint="eastAsia" w:ascii="仿宋_GB2312" w:hAnsi="宋体"/>
          <w:sz w:val="24"/>
          <w:highlight w:val="none"/>
          <w:lang w:val="en-GB"/>
        </w:rPr>
        <w:t>计算机磁盘、CD-ROM驱动、CD-ROM、硬盘、软件或任何纸质媒介的材料</w:t>
      </w:r>
      <w:r>
        <w:rPr>
          <w:rFonts w:hint="eastAsia" w:ascii="仿宋_GB2312" w:hAnsi="宋体"/>
          <w:sz w:val="24"/>
          <w:highlight w:val="none"/>
        </w:rPr>
        <w:t>及其</w:t>
      </w:r>
      <w:r>
        <w:rPr>
          <w:rFonts w:hint="eastAsia" w:ascii="仿宋_GB2312" w:hAnsi="宋体"/>
          <w:sz w:val="24"/>
          <w:highlight w:val="none"/>
          <w:lang w:val="en-GB"/>
        </w:rPr>
        <w:t>备份。</w:t>
      </w:r>
      <w:r>
        <w:rPr>
          <w:rFonts w:hint="eastAsia" w:ascii="仿宋_GB2312" w:hAnsi="宋体"/>
          <w:sz w:val="24"/>
          <w:highlight w:val="none"/>
        </w:rPr>
        <w:t>因</w:t>
      </w:r>
      <w:r>
        <w:rPr>
          <w:rFonts w:hint="eastAsia" w:ascii="仿宋_GB2312" w:hAnsi="宋体"/>
          <w:sz w:val="24"/>
          <w:highlight w:val="none"/>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仿宋_GB2312" w:hAnsi="宋体"/>
          <w:sz w:val="24"/>
          <w:highlight w:val="none"/>
        </w:rPr>
        <w:t>同时乙方应</w:t>
      </w:r>
      <w:r>
        <w:rPr>
          <w:rFonts w:hint="eastAsia" w:ascii="仿宋_GB2312" w:hAnsi="宋体"/>
          <w:sz w:val="24"/>
          <w:highlight w:val="none"/>
          <w:lang w:val="en-GB"/>
        </w:rPr>
        <w:t>向</w:t>
      </w:r>
      <w:r>
        <w:rPr>
          <w:rFonts w:hint="eastAsia" w:ascii="仿宋_GB2312" w:hAnsi="宋体"/>
          <w:sz w:val="24"/>
          <w:highlight w:val="none"/>
        </w:rPr>
        <w:t>甲</w:t>
      </w:r>
      <w:r>
        <w:rPr>
          <w:rFonts w:hint="eastAsia" w:ascii="仿宋_GB2312" w:hAnsi="宋体"/>
          <w:sz w:val="24"/>
          <w:highlight w:val="none"/>
          <w:lang w:val="en-GB"/>
        </w:rPr>
        <w:t>方出具已经归还或销毁</w:t>
      </w:r>
      <w:r>
        <w:rPr>
          <w:rFonts w:hint="eastAsia" w:ascii="仿宋_GB2312" w:hAnsi="宋体"/>
          <w:sz w:val="24"/>
          <w:highlight w:val="none"/>
        </w:rPr>
        <w:t>全部</w:t>
      </w:r>
      <w:r>
        <w:rPr>
          <w:rFonts w:hint="eastAsia" w:ascii="仿宋_GB2312" w:hAnsi="宋体"/>
          <w:sz w:val="24"/>
          <w:highlight w:val="none"/>
          <w:lang w:val="en-GB"/>
        </w:rPr>
        <w:t>材料的书面</w:t>
      </w:r>
      <w:r>
        <w:rPr>
          <w:rFonts w:hint="eastAsia" w:ascii="仿宋_GB2312" w:hAnsi="宋体"/>
          <w:sz w:val="24"/>
          <w:highlight w:val="none"/>
        </w:rPr>
        <w:t>承诺。</w:t>
      </w:r>
    </w:p>
    <w:p w14:paraId="27A37BFA">
      <w:pPr>
        <w:spacing w:line="360" w:lineRule="auto"/>
        <w:ind w:firstLine="480" w:firstLineChars="200"/>
        <w:rPr>
          <w:rFonts w:ascii="黑体" w:hAnsi="黑体"/>
          <w:sz w:val="24"/>
          <w:highlight w:val="none"/>
        </w:rPr>
      </w:pPr>
      <w:r>
        <w:rPr>
          <w:rFonts w:hint="eastAsia" w:ascii="黑体" w:hAnsi="黑体"/>
          <w:sz w:val="24"/>
          <w:highlight w:val="none"/>
        </w:rPr>
        <w:t>第六条 保密期限</w:t>
      </w:r>
    </w:p>
    <w:p w14:paraId="45AC4CEC">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除本协议双方另有约定外，本协议的保密期限自甲方提供保密信息之日起至本协议所述保密信息向公众披露或为公众所知悉之日止。</w:t>
      </w:r>
    </w:p>
    <w:p w14:paraId="51E6CCF0">
      <w:pPr>
        <w:spacing w:line="360" w:lineRule="auto"/>
        <w:ind w:firstLine="480" w:firstLineChars="200"/>
        <w:rPr>
          <w:rFonts w:ascii="黑体" w:hAnsi="黑体"/>
          <w:sz w:val="24"/>
          <w:highlight w:val="none"/>
        </w:rPr>
      </w:pPr>
      <w:r>
        <w:rPr>
          <w:rFonts w:hint="eastAsia" w:ascii="黑体" w:hAnsi="黑体"/>
          <w:sz w:val="24"/>
          <w:highlight w:val="none"/>
        </w:rPr>
        <w:t>第七条 违约责任</w:t>
      </w:r>
    </w:p>
    <w:p w14:paraId="24DC7386">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6418A94F">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2EE368DE">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3、在各种情况下，双方一致认为甲方的损失均应被视为最少不低于</w:t>
      </w:r>
      <w:r>
        <w:rPr>
          <w:rFonts w:hint="eastAsia" w:ascii="仿宋_GB2312" w:eastAsia="仿宋_GB2312" w:hAnsiTheme="minorEastAsia" w:cstheme="minorEastAsia"/>
          <w:sz w:val="24"/>
          <w:szCs w:val="24"/>
          <w:highlight w:val="none"/>
          <w:u w:val="single"/>
        </w:rPr>
        <w:t xml:space="preserve"> </w:t>
      </w:r>
      <w:r>
        <w:rPr>
          <w:rFonts w:ascii="仿宋_GB2312" w:eastAsia="仿宋_GB2312" w:hAnsiTheme="minorEastAsia" w:cstheme="minorEastAsia"/>
          <w:sz w:val="24"/>
          <w:szCs w:val="24"/>
          <w:highlight w:val="none"/>
          <w:u w:val="single"/>
        </w:rPr>
        <w:t xml:space="preserve">1 </w:t>
      </w:r>
      <w:r>
        <w:rPr>
          <w:rFonts w:hint="eastAsia" w:ascii="仿宋_GB2312" w:hAnsiTheme="minorEastAsia"/>
          <w:sz w:val="24"/>
          <w:highlight w:val="none"/>
        </w:rPr>
        <w:t xml:space="preserve">万元。 </w:t>
      </w:r>
    </w:p>
    <w:p w14:paraId="0E63A160">
      <w:pPr>
        <w:spacing w:line="360" w:lineRule="auto"/>
        <w:ind w:firstLine="480" w:firstLineChars="200"/>
        <w:rPr>
          <w:rFonts w:ascii="仿宋_GB2312"/>
          <w:sz w:val="24"/>
          <w:highlight w:val="none"/>
        </w:rPr>
      </w:pPr>
      <w:r>
        <w:rPr>
          <w:rFonts w:hint="eastAsia" w:ascii="仿宋_GB2312" w:hAnsiTheme="minorEastAsia"/>
          <w:sz w:val="24"/>
          <w:highlight w:val="none"/>
        </w:rPr>
        <w:t>4、</w:t>
      </w:r>
      <w:r>
        <w:rPr>
          <w:rFonts w:hint="eastAsia" w:ascii="仿宋_GB2312"/>
          <w:sz w:val="24"/>
          <w:highlight w:val="none"/>
        </w:rPr>
        <w:t xml:space="preserve">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 </w:t>
      </w:r>
    </w:p>
    <w:p w14:paraId="5369382D">
      <w:pPr>
        <w:spacing w:line="360" w:lineRule="auto"/>
        <w:ind w:firstLine="480" w:firstLineChars="200"/>
        <w:rPr>
          <w:rFonts w:ascii="黑体" w:hAnsi="黑体"/>
          <w:sz w:val="24"/>
          <w:highlight w:val="none"/>
        </w:rPr>
      </w:pPr>
      <w:r>
        <w:rPr>
          <w:rFonts w:hint="eastAsia" w:ascii="黑体" w:hAnsi="黑体"/>
          <w:sz w:val="24"/>
          <w:highlight w:val="none"/>
        </w:rPr>
        <w:t>第八条 适用法律及争议的解决</w:t>
      </w:r>
    </w:p>
    <w:p w14:paraId="18558226">
      <w:pPr>
        <w:tabs>
          <w:tab w:val="left" w:pos="567"/>
        </w:tabs>
        <w:spacing w:line="360" w:lineRule="auto"/>
        <w:ind w:firstLine="480" w:firstLineChars="200"/>
        <w:rPr>
          <w:rFonts w:ascii="仿宋_GB2312" w:hAnsi="宋体"/>
          <w:sz w:val="24"/>
          <w:highlight w:val="none"/>
          <w:lang w:val="en-GB"/>
        </w:rPr>
      </w:pPr>
      <w:r>
        <w:rPr>
          <w:rFonts w:hint="eastAsia" w:ascii="仿宋_GB2312" w:hAnsi="宋体"/>
          <w:sz w:val="24"/>
          <w:highlight w:val="none"/>
          <w:lang w:val="en-GB"/>
        </w:rPr>
        <w:t>本协议受中国现行</w:t>
      </w:r>
      <w:r>
        <w:rPr>
          <w:rFonts w:hint="eastAsia" w:ascii="仿宋_GB2312" w:hAnsi="宋体"/>
          <w:sz w:val="24"/>
          <w:highlight w:val="none"/>
        </w:rPr>
        <w:t>有效的法律</w:t>
      </w:r>
      <w:r>
        <w:rPr>
          <w:rFonts w:hint="eastAsia" w:ascii="仿宋_GB2312" w:hAnsi="宋体"/>
          <w:sz w:val="24"/>
          <w:highlight w:val="none"/>
          <w:lang w:val="en-GB"/>
        </w:rPr>
        <w:t>管辖，因本协议引起的或与本协议有关的任何争议，应由双方先行协商解决，协商不成的，由甲方所在地法院诉讼解决。</w:t>
      </w:r>
    </w:p>
    <w:p w14:paraId="367770E1">
      <w:pPr>
        <w:spacing w:line="360" w:lineRule="auto"/>
        <w:ind w:firstLine="480" w:firstLineChars="200"/>
        <w:rPr>
          <w:rFonts w:ascii="黑体" w:hAnsi="黑体"/>
          <w:sz w:val="24"/>
          <w:highlight w:val="none"/>
        </w:rPr>
      </w:pPr>
      <w:r>
        <w:rPr>
          <w:rFonts w:hint="eastAsia" w:ascii="黑体" w:hAnsi="黑体"/>
          <w:sz w:val="24"/>
          <w:highlight w:val="none"/>
        </w:rPr>
        <w:t xml:space="preserve">第九条 继续有效 </w:t>
      </w:r>
    </w:p>
    <w:p w14:paraId="74D7C97A">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如果本协议有任何条款或部分因任何原因被判定为无效或不可执行，本协议其他条款不应受到影响，在法律允许的范围内继续具有完全效力。</w:t>
      </w:r>
    </w:p>
    <w:p w14:paraId="0DD7A748">
      <w:pPr>
        <w:spacing w:line="360" w:lineRule="auto"/>
        <w:ind w:firstLine="480" w:firstLineChars="200"/>
        <w:rPr>
          <w:rFonts w:ascii="仿宋_GB2312" w:hAnsiTheme="minorEastAsia"/>
          <w:sz w:val="24"/>
          <w:highlight w:val="none"/>
        </w:rPr>
      </w:pPr>
      <w:r>
        <w:rPr>
          <w:rFonts w:hint="eastAsia" w:ascii="黑体" w:hAnsi="黑体"/>
          <w:sz w:val="24"/>
          <w:highlight w:val="none"/>
        </w:rPr>
        <w:t>第十条 协议生效</w:t>
      </w:r>
    </w:p>
    <w:p w14:paraId="7EFA5B53">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1、协议双方同意，本协议于双方签署之日起生效。但是如果本协议签订前存在甲方向乙方提供保密信息的，也适用本协议。</w:t>
      </w:r>
      <w:r>
        <w:rPr>
          <w:rFonts w:ascii="仿宋_GB2312" w:hAnsiTheme="minorEastAsia"/>
          <w:sz w:val="24"/>
          <w:highlight w:val="none"/>
        </w:rPr>
        <w:t xml:space="preserve"> </w:t>
      </w:r>
    </w:p>
    <w:p w14:paraId="65772256">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2、协议双方对本协议内容的修改或补充，应采用书面形式订立补充协议，补充协议经双方签署生效，成为本协议的有效组成部份、与本协议具有同等法律效力。</w:t>
      </w:r>
    </w:p>
    <w:p w14:paraId="0D21DECF">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3、本协议正本一式三份，甲方执两份，乙方执一份，具有同等法律效力。</w:t>
      </w:r>
    </w:p>
    <w:p w14:paraId="42932DAD">
      <w:pPr>
        <w:spacing w:line="360" w:lineRule="auto"/>
        <w:ind w:firstLine="480" w:firstLineChars="200"/>
        <w:rPr>
          <w:rFonts w:ascii="仿宋_GB2312" w:hAnsiTheme="minorEastAsia"/>
          <w:sz w:val="24"/>
          <w:highlight w:val="none"/>
        </w:rPr>
      </w:pPr>
      <w:r>
        <w:rPr>
          <w:rFonts w:hint="eastAsia" w:ascii="仿宋_GB2312" w:hAnsiTheme="minorEastAsia"/>
          <w:sz w:val="24"/>
          <w:highlight w:val="none"/>
        </w:rPr>
        <w:t>兹此，双方已促使本协议由各自正式授权代表签署或加盖双方公章或合同专用章。</w:t>
      </w:r>
    </w:p>
    <w:p w14:paraId="2AE06CEE">
      <w:pPr>
        <w:spacing w:line="360" w:lineRule="auto"/>
        <w:ind w:firstLine="480" w:firstLineChars="200"/>
        <w:rPr>
          <w:rFonts w:ascii="仿宋_GB2312" w:eastAsia="仿宋_GB2312" w:hAnsiTheme="minorEastAsia" w:cstheme="minorEastAsia"/>
          <w:sz w:val="24"/>
          <w:szCs w:val="24"/>
          <w:highlight w:val="none"/>
        </w:rPr>
      </w:pPr>
    </w:p>
    <w:p w14:paraId="3B33CDA1">
      <w:pPr>
        <w:ind w:firstLine="482" w:firstLineChars="200"/>
        <w:rPr>
          <w:rFonts w:ascii="宋体" w:hAnsi="宋体"/>
          <w:b/>
          <w:sz w:val="24"/>
          <w:highlight w:val="none"/>
        </w:rPr>
      </w:pPr>
      <w:r>
        <w:rPr>
          <w:rFonts w:ascii="宋体" w:hAnsi="宋体"/>
          <w:b/>
          <w:sz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hint="eastAsia" w:ascii="宋体" w:hAnsi="宋体"/>
          <w:b/>
          <w:sz w:val="24"/>
          <w:highlight w:val="none"/>
        </w:rPr>
        <w:t>个人手写</w:t>
      </w:r>
      <w:r>
        <w:rPr>
          <w:rFonts w:ascii="宋体" w:hAnsi="宋体"/>
          <w:b/>
          <w:sz w:val="24"/>
          <w:highlight w:val="none"/>
        </w:rPr>
        <w:t>签名除外）</w:t>
      </w:r>
      <w:r>
        <w:rPr>
          <w:rFonts w:hint="eastAsia" w:ascii="宋体" w:hAnsi="宋体"/>
          <w:b/>
          <w:sz w:val="24"/>
          <w:highlight w:val="none"/>
        </w:rPr>
        <w:t>。</w:t>
      </w:r>
    </w:p>
    <w:p w14:paraId="2B860CA3">
      <w:pPr>
        <w:ind w:firstLine="482" w:firstLineChars="200"/>
        <w:rPr>
          <w:rFonts w:ascii="宋体" w:hAnsi="宋体"/>
          <w:b/>
          <w:sz w:val="24"/>
          <w:highlight w:val="none"/>
        </w:rPr>
      </w:pPr>
      <w:r>
        <w:rPr>
          <w:rFonts w:ascii="宋体" w:hAnsi="宋体"/>
          <w:b/>
          <w:sz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hint="eastAsia" w:ascii="宋体" w:hAnsi="宋体"/>
          <w:b/>
          <w:sz w:val="24"/>
          <w:highlight w:val="none"/>
        </w:rPr>
        <w:t>各</w:t>
      </w:r>
      <w:r>
        <w:rPr>
          <w:rFonts w:ascii="宋体" w:hAnsi="宋体"/>
          <w:b/>
          <w:sz w:val="24"/>
          <w:highlight w:val="none"/>
        </w:rPr>
        <w:t>方已签署完毕。</w:t>
      </w:r>
    </w:p>
    <w:p w14:paraId="1A38D5B9">
      <w:pPr>
        <w:spacing w:line="360" w:lineRule="auto"/>
        <w:ind w:firstLine="480" w:firstLineChars="200"/>
        <w:rPr>
          <w:rFonts w:ascii="仿宋_GB2312" w:hAnsiTheme="minorEastAsia"/>
          <w:sz w:val="24"/>
          <w:highlight w:val="none"/>
        </w:rPr>
      </w:pPr>
    </w:p>
    <w:p w14:paraId="12C690B3">
      <w:pPr>
        <w:spacing w:line="360" w:lineRule="auto"/>
        <w:ind w:firstLine="480" w:firstLineChars="200"/>
        <w:rPr>
          <w:rFonts w:ascii="仿宋_GB2312" w:hAnsiTheme="minorEastAsia"/>
          <w:sz w:val="24"/>
          <w:highlight w:val="none"/>
        </w:rPr>
      </w:pPr>
    </w:p>
    <w:p w14:paraId="2C641D50">
      <w:pPr>
        <w:spacing w:line="360" w:lineRule="auto"/>
        <w:rPr>
          <w:rFonts w:ascii="仿宋_GB2312" w:eastAsia="仿宋_GB2312" w:hAnsiTheme="minorEastAsia" w:cstheme="minorEastAsia"/>
          <w:sz w:val="24"/>
          <w:szCs w:val="24"/>
          <w:highlight w:val="none"/>
        </w:rPr>
      </w:pPr>
      <w:r>
        <w:rPr>
          <w:rFonts w:hint="eastAsia" w:ascii="仿宋_GB2312" w:eastAsia="仿宋_GB2312" w:hAnsiTheme="minorEastAsia" w:cstheme="minorEastAsia"/>
          <w:sz w:val="24"/>
          <w:szCs w:val="24"/>
          <w:highlight w:val="none"/>
        </w:rPr>
        <w:t>甲方：中国重汽集团</w:t>
      </w:r>
      <w:r>
        <w:rPr>
          <w:rFonts w:hint="eastAsia" w:ascii="仿宋_GB2312" w:eastAsia="仿宋_GB2312" w:hAnsiTheme="minorEastAsia" w:cstheme="minorEastAsia"/>
          <w:sz w:val="24"/>
          <w:szCs w:val="24"/>
          <w:highlight w:val="none"/>
          <w:u w:val="single"/>
        </w:rPr>
        <w:t xml:space="preserve">                </w:t>
      </w:r>
      <w:r>
        <w:rPr>
          <w:rFonts w:hint="eastAsia" w:ascii="仿宋_GB2312" w:eastAsia="仿宋_GB2312" w:hAnsiTheme="minorEastAsia" w:cstheme="minorEastAsia"/>
          <w:sz w:val="24"/>
          <w:szCs w:val="24"/>
          <w:highlight w:val="none"/>
        </w:rPr>
        <w:t>有限公司（盖章）</w:t>
      </w:r>
    </w:p>
    <w:p w14:paraId="390AEA85">
      <w:pPr>
        <w:spacing w:line="360" w:lineRule="auto"/>
        <w:rPr>
          <w:rFonts w:ascii="仿宋_GB2312" w:eastAsia="仿宋_GB2312" w:hAnsiTheme="minorEastAsia" w:cstheme="minorEastAsia"/>
          <w:sz w:val="24"/>
          <w:szCs w:val="24"/>
          <w:highlight w:val="none"/>
        </w:rPr>
      </w:pPr>
      <w:r>
        <w:rPr>
          <w:rFonts w:hint="eastAsia" w:ascii="仿宋_GB2312" w:eastAsia="仿宋_GB2312" w:hAnsiTheme="minorEastAsia" w:cstheme="minorEastAsia"/>
          <w:sz w:val="24"/>
          <w:szCs w:val="24"/>
          <w:highlight w:val="none"/>
        </w:rPr>
        <w:t>法定代表人或授权代表：</w:t>
      </w:r>
      <w:r>
        <w:rPr>
          <w:rFonts w:hint="eastAsia" w:ascii="仿宋_GB2312" w:eastAsia="仿宋_GB2312" w:hAnsiTheme="minorEastAsia" w:cstheme="minorEastAsia"/>
          <w:sz w:val="24"/>
          <w:szCs w:val="24"/>
          <w:highlight w:val="none"/>
          <w:u w:val="single"/>
        </w:rPr>
        <w:t xml:space="preserve">                </w:t>
      </w:r>
      <w:r>
        <w:rPr>
          <w:rFonts w:hint="eastAsia" w:ascii="仿宋_GB2312" w:eastAsia="仿宋_GB2312" w:hAnsiTheme="minorEastAsia" w:cstheme="minorEastAsia"/>
          <w:sz w:val="24"/>
          <w:szCs w:val="24"/>
          <w:highlight w:val="none"/>
        </w:rPr>
        <w:t>（签字）</w:t>
      </w:r>
    </w:p>
    <w:p w14:paraId="3239EEF8">
      <w:pPr>
        <w:spacing w:line="360" w:lineRule="auto"/>
        <w:rPr>
          <w:rFonts w:ascii="仿宋_GB2312" w:eastAsia="仿宋_GB2312" w:hAnsiTheme="minorEastAsia" w:cstheme="minorEastAsia"/>
          <w:sz w:val="24"/>
          <w:szCs w:val="24"/>
          <w:highlight w:val="none"/>
        </w:rPr>
      </w:pPr>
    </w:p>
    <w:p w14:paraId="1B63A8A3">
      <w:pPr>
        <w:spacing w:line="360" w:lineRule="auto"/>
        <w:rPr>
          <w:rFonts w:ascii="仿宋_GB2312" w:eastAsia="仿宋_GB2312" w:hAnsiTheme="minorEastAsia" w:cstheme="minorEastAsia"/>
          <w:sz w:val="24"/>
          <w:szCs w:val="24"/>
          <w:highlight w:val="none"/>
        </w:rPr>
      </w:pPr>
    </w:p>
    <w:p w14:paraId="6485F78D">
      <w:pPr>
        <w:spacing w:line="360" w:lineRule="auto"/>
        <w:rPr>
          <w:rFonts w:ascii="仿宋_GB2312" w:eastAsia="仿宋_GB2312" w:hAnsiTheme="minorEastAsia" w:cstheme="minorEastAsia"/>
          <w:sz w:val="24"/>
          <w:szCs w:val="24"/>
          <w:highlight w:val="none"/>
        </w:rPr>
      </w:pPr>
    </w:p>
    <w:p w14:paraId="611C2715">
      <w:pPr>
        <w:spacing w:line="360" w:lineRule="auto"/>
        <w:rPr>
          <w:rFonts w:ascii="仿宋_GB2312" w:eastAsia="仿宋_GB2312" w:hAnsiTheme="minorEastAsia" w:cstheme="minorEastAsia"/>
          <w:sz w:val="24"/>
          <w:szCs w:val="24"/>
          <w:highlight w:val="none"/>
        </w:rPr>
      </w:pPr>
      <w:r>
        <w:rPr>
          <w:rFonts w:hint="eastAsia" w:ascii="仿宋_GB2312" w:eastAsia="仿宋_GB2312" w:hAnsiTheme="minorEastAsia" w:cstheme="minorEastAsia"/>
          <w:sz w:val="24"/>
          <w:szCs w:val="24"/>
          <w:highlight w:val="none"/>
        </w:rPr>
        <w:t xml:space="preserve">乙方： </w:t>
      </w:r>
    </w:p>
    <w:p w14:paraId="556B03C6">
      <w:pPr>
        <w:spacing w:line="360" w:lineRule="auto"/>
        <w:rPr>
          <w:rFonts w:ascii="仿宋_GB2312" w:eastAsia="仿宋_GB2312" w:hAnsiTheme="minorEastAsia" w:cstheme="minorEastAsia"/>
          <w:sz w:val="24"/>
          <w:szCs w:val="24"/>
          <w:highlight w:val="none"/>
        </w:rPr>
      </w:pPr>
      <w:r>
        <w:rPr>
          <w:rFonts w:hint="eastAsia" w:ascii="仿宋_GB2312" w:eastAsia="仿宋_GB2312" w:hAnsiTheme="minorEastAsia" w:cstheme="minorEastAsia"/>
          <w:sz w:val="24"/>
          <w:szCs w:val="24"/>
          <w:highlight w:val="none"/>
        </w:rPr>
        <w:t>法定代表人或授权代表：</w:t>
      </w:r>
      <w:r>
        <w:rPr>
          <w:rFonts w:hint="eastAsia" w:ascii="仿宋_GB2312" w:eastAsia="仿宋_GB2312" w:hAnsiTheme="minorEastAsia" w:cstheme="minorEastAsia"/>
          <w:sz w:val="24"/>
          <w:szCs w:val="24"/>
          <w:highlight w:val="none"/>
          <w:u w:val="single"/>
        </w:rPr>
        <w:t xml:space="preserve">                </w:t>
      </w:r>
      <w:r>
        <w:rPr>
          <w:rFonts w:hint="eastAsia" w:ascii="仿宋_GB2312" w:eastAsia="仿宋_GB2312" w:hAnsiTheme="minorEastAsia" w:cstheme="minorEastAsia"/>
          <w:sz w:val="24"/>
          <w:szCs w:val="24"/>
          <w:highlight w:val="none"/>
        </w:rPr>
        <w:t>（签字）</w:t>
      </w:r>
    </w:p>
    <w:p w14:paraId="47AA3905">
      <w:pPr>
        <w:spacing w:line="360" w:lineRule="auto"/>
        <w:ind w:firstLine="5520" w:firstLineChars="2300"/>
        <w:rPr>
          <w:rFonts w:ascii="仿宋_GB2312" w:hAnsiTheme="minorEastAsia"/>
          <w:sz w:val="24"/>
          <w:highlight w:val="none"/>
        </w:rPr>
      </w:pPr>
    </w:p>
    <w:p w14:paraId="27A01FF4">
      <w:pPr>
        <w:spacing w:line="440" w:lineRule="exact"/>
        <w:rPr>
          <w:rFonts w:asciiTheme="minorEastAsia" w:hAnsiTheme="minorEastAsia" w:eastAsiaTheme="minorEastAsia"/>
          <w:b/>
          <w:sz w:val="24"/>
          <w:szCs w:val="24"/>
          <w:highlight w:val="none"/>
        </w:rPr>
      </w:pPr>
    </w:p>
    <w:sectPr>
      <w:headerReference r:id="rId9" w:type="first"/>
      <w:footerReference r:id="rId11" w:type="first"/>
      <w:headerReference r:id="rId8" w:type="default"/>
      <w:footerReference r:id="rId10" w:type="default"/>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auto"/>
    <w:pitch w:val="default"/>
    <w:sig w:usb0="E00006FF" w:usb1="0000FCFF" w:usb2="00000001" w:usb3="00000000" w:csb0="6000019F" w:csb1="DFD7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C170">
    <w:pPr>
      <w:pStyle w:val="1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19668">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E519668">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1938E">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4EAED">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76370">
    <w:pPr>
      <w:pStyle w:val="1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C9AFF">
                          <w:pPr>
                            <w:pStyle w:val="1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73C9AFF">
                    <w:pPr>
                      <w:pStyle w:val="1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F4C51">
    <w:pPr>
      <w:pStyle w:val="1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F1C69">
                          <w:pPr>
                            <w:pStyle w:val="1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B1F1C69">
                    <w:pPr>
                      <w:pStyle w:val="1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A5B0E">
    <w:pPr>
      <w:pStyle w:val="20"/>
      <w:pBdr>
        <w:bottom w:val="none" w:color="auto" w:sz="0" w:space="1"/>
      </w:pBdr>
      <w:tabs>
        <w:tab w:val="left" w:pos="1020"/>
        <w:tab w:val="clear" w:pos="4153"/>
      </w:tabs>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0250C">
    <w:pPr>
      <w:pStyle w:val="20"/>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908BE">
    <w:pPr>
      <w:pStyle w:val="20"/>
      <w:pBdr>
        <w:bottom w:val="none" w:color="auto" w:sz="0" w:space="0"/>
      </w:pBdr>
      <w:ind w:firstLine="120" w:firstLineChars="50"/>
      <w:jc w:val="left"/>
      <w:rPr>
        <w:sz w:val="24"/>
        <w:szCs w:val="24"/>
      </w:rPr>
    </w:pPr>
  </w:p>
  <w:p w14:paraId="503D8173">
    <w:pPr>
      <w:pStyle w:val="20"/>
      <w:pBdr>
        <w:bottom w:val="none" w:color="auto" w:sz="0" w:space="0"/>
      </w:pBdr>
    </w:pPr>
  </w:p>
  <w:p w14:paraId="641054E3">
    <w:pPr>
      <w:pStyle w:val="20"/>
      <w:pBdr>
        <w:bottom w:val="none" w:color="auto" w:sz="0" w:space="0"/>
      </w:pBdr>
      <w:ind w:right="-483" w:rightChars="-23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D1CE">
    <w:pPr>
      <w:pStyle w:val="20"/>
      <w:pBdr>
        <w:bottom w:val="none" w:color="auto" w:sz="0" w:space="0"/>
      </w:pBdr>
      <w:jc w:val="both"/>
      <w:rPr>
        <w:sz w:val="24"/>
        <w:szCs w:val="24"/>
      </w:rPr>
    </w:pPr>
  </w:p>
  <w:p w14:paraId="1387290A">
    <w:pPr>
      <w:pStyle w:val="20"/>
      <w:pBdr>
        <w:bottom w:val="none" w:color="auto" w:sz="0" w:space="0"/>
      </w:pBdr>
      <w:jc w:val="both"/>
      <w:rPr>
        <w:sz w:val="24"/>
        <w:szCs w:val="24"/>
      </w:rPr>
    </w:pPr>
  </w:p>
  <w:p w14:paraId="6D2E4844">
    <w:pPr>
      <w:pStyle w:val="20"/>
      <w:pBdr>
        <w:bottom w:val="none" w:color="auto" w:sz="0" w:space="0"/>
      </w:pBdr>
      <w:jc w:val="right"/>
      <w:rPr>
        <w:sz w:val="24"/>
        <w:szCs w:val="24"/>
      </w:rPr>
    </w:pPr>
    <w:r>
      <w:rPr>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28CB9"/>
    <w:multiLevelType w:val="singleLevel"/>
    <w:tmpl w:val="A1928CB9"/>
    <w:lvl w:ilvl="0" w:tentative="0">
      <w:start w:val="1"/>
      <w:numFmt w:val="decimal"/>
      <w:lvlText w:val="%1."/>
      <w:lvlJc w:val="left"/>
      <w:pPr>
        <w:tabs>
          <w:tab w:val="left" w:pos="312"/>
        </w:tabs>
      </w:pPr>
    </w:lvl>
  </w:abstractNum>
  <w:abstractNum w:abstractNumId="1">
    <w:nsid w:val="C35A1F70"/>
    <w:multiLevelType w:val="singleLevel"/>
    <w:tmpl w:val="C35A1F70"/>
    <w:lvl w:ilvl="0" w:tentative="0">
      <w:start w:val="1"/>
      <w:numFmt w:val="decimal"/>
      <w:lvlText w:val="%1."/>
      <w:lvlJc w:val="left"/>
      <w:pPr>
        <w:tabs>
          <w:tab w:val="left" w:pos="312"/>
        </w:tabs>
      </w:pPr>
    </w:lvl>
  </w:abstractNum>
  <w:abstractNum w:abstractNumId="2">
    <w:nsid w:val="04A435A4"/>
    <w:multiLevelType w:val="multilevel"/>
    <w:tmpl w:val="04A435A4"/>
    <w:lvl w:ilvl="0" w:tentative="0">
      <w:start w:val="5"/>
      <w:numFmt w:val="chineseCountingThousand"/>
      <w:suff w:val="space"/>
      <w:lvlText w:val="%1 、"/>
      <w:lvlJc w:val="left"/>
      <w:pPr>
        <w:ind w:left="0" w:firstLine="510"/>
      </w:pPr>
      <w:rPr>
        <w:rFonts w:hint="eastAsia" w:eastAsia="宋体"/>
        <w:b/>
        <w:i w:val="0"/>
        <w:sz w:val="24"/>
        <w:szCs w:val="24"/>
      </w:rPr>
    </w:lvl>
    <w:lvl w:ilvl="1" w:tentative="0">
      <w:start w:val="1"/>
      <w:numFmt w:val="decimal"/>
      <w:lvlRestart w:val="0"/>
      <w:isLgl/>
      <w:suff w:val="space"/>
      <w:lvlText w:val="%2、"/>
      <w:lvlJc w:val="left"/>
      <w:pPr>
        <w:ind w:left="57" w:firstLine="510"/>
      </w:pPr>
      <w:rPr>
        <w:rFonts w:hint="eastAsia" w:eastAsia="宋体"/>
        <w:sz w:val="24"/>
        <w:szCs w:val="24"/>
      </w:rPr>
    </w:lvl>
    <w:lvl w:ilvl="2" w:tentative="0">
      <w:start w:val="1"/>
      <w:numFmt w:val="decimal"/>
      <w:suff w:val="space"/>
      <w:lvlText w:val="%2.%3"/>
      <w:lvlJc w:val="left"/>
      <w:pPr>
        <w:ind w:left="0" w:firstLine="510"/>
      </w:pPr>
      <w:rPr>
        <w:rFonts w:hint="eastAsia" w:eastAsia="宋体"/>
        <w:b w:val="0"/>
        <w:color w:val="auto"/>
        <w:sz w:val="24"/>
        <w:szCs w:val="24"/>
      </w:rPr>
    </w:lvl>
    <w:lvl w:ilvl="3" w:tentative="0">
      <w:start w:val="1"/>
      <w:numFmt w:val="decimal"/>
      <w:suff w:val="space"/>
      <w:lvlText w:val="(%4)"/>
      <w:lvlJc w:val="left"/>
      <w:pPr>
        <w:ind w:left="0" w:firstLine="510"/>
      </w:pPr>
      <w:rPr>
        <w:rFonts w:hint="eastAsia"/>
        <w:b w:val="0"/>
        <w:sz w:val="24"/>
        <w:szCs w:val="24"/>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70F817EA"/>
    <w:multiLevelType w:val="singleLevel"/>
    <w:tmpl w:val="70F817EA"/>
    <w:lvl w:ilvl="0" w:tentative="0">
      <w:start w:val="1"/>
      <w:numFmt w:val="decimal"/>
      <w:suff w:val="nothing"/>
      <w:lvlText w:val="(%1)"/>
      <w:lvlJc w:val="left"/>
      <w:pPr>
        <w:ind w:left="0" w:firstLine="0"/>
      </w:pPr>
      <w:rPr>
        <w:rFonts w:hint="default"/>
        <w:b w:val="0"/>
        <w:bCs w:val="0"/>
        <w:sz w:val="24"/>
        <w:szCs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7BF"/>
    <w:rsid w:val="0000048D"/>
    <w:rsid w:val="000014D3"/>
    <w:rsid w:val="00001DCB"/>
    <w:rsid w:val="000056AD"/>
    <w:rsid w:val="00005AF4"/>
    <w:rsid w:val="00006391"/>
    <w:rsid w:val="000073A8"/>
    <w:rsid w:val="00007986"/>
    <w:rsid w:val="00010983"/>
    <w:rsid w:val="00010BB4"/>
    <w:rsid w:val="00010FB5"/>
    <w:rsid w:val="000126A7"/>
    <w:rsid w:val="00013B94"/>
    <w:rsid w:val="000140D2"/>
    <w:rsid w:val="000142C2"/>
    <w:rsid w:val="000153FB"/>
    <w:rsid w:val="00016CB2"/>
    <w:rsid w:val="000201F5"/>
    <w:rsid w:val="0002055A"/>
    <w:rsid w:val="00022BFC"/>
    <w:rsid w:val="00023513"/>
    <w:rsid w:val="000246CB"/>
    <w:rsid w:val="00025E3D"/>
    <w:rsid w:val="00025E68"/>
    <w:rsid w:val="000304EA"/>
    <w:rsid w:val="00030E91"/>
    <w:rsid w:val="00032F3A"/>
    <w:rsid w:val="00033243"/>
    <w:rsid w:val="0003453C"/>
    <w:rsid w:val="00035188"/>
    <w:rsid w:val="00035800"/>
    <w:rsid w:val="000370BC"/>
    <w:rsid w:val="00040F59"/>
    <w:rsid w:val="000426B5"/>
    <w:rsid w:val="00043761"/>
    <w:rsid w:val="000437B4"/>
    <w:rsid w:val="00043B31"/>
    <w:rsid w:val="00043E7D"/>
    <w:rsid w:val="0005298D"/>
    <w:rsid w:val="000547D0"/>
    <w:rsid w:val="00056906"/>
    <w:rsid w:val="00056F0F"/>
    <w:rsid w:val="00060239"/>
    <w:rsid w:val="0006053F"/>
    <w:rsid w:val="00060FC1"/>
    <w:rsid w:val="000626B3"/>
    <w:rsid w:val="0006501F"/>
    <w:rsid w:val="00066685"/>
    <w:rsid w:val="00067867"/>
    <w:rsid w:val="0007042D"/>
    <w:rsid w:val="00071741"/>
    <w:rsid w:val="00071B86"/>
    <w:rsid w:val="00074924"/>
    <w:rsid w:val="00074AC3"/>
    <w:rsid w:val="0007601C"/>
    <w:rsid w:val="00077AF5"/>
    <w:rsid w:val="0008080E"/>
    <w:rsid w:val="00080A11"/>
    <w:rsid w:val="00081F41"/>
    <w:rsid w:val="00082151"/>
    <w:rsid w:val="000825CD"/>
    <w:rsid w:val="00083710"/>
    <w:rsid w:val="00083C90"/>
    <w:rsid w:val="0008454C"/>
    <w:rsid w:val="0008616A"/>
    <w:rsid w:val="00086313"/>
    <w:rsid w:val="00087C81"/>
    <w:rsid w:val="000940E3"/>
    <w:rsid w:val="00094EC9"/>
    <w:rsid w:val="00097138"/>
    <w:rsid w:val="000A0EDD"/>
    <w:rsid w:val="000A10C4"/>
    <w:rsid w:val="000A202D"/>
    <w:rsid w:val="000A2BA0"/>
    <w:rsid w:val="000A5015"/>
    <w:rsid w:val="000A5072"/>
    <w:rsid w:val="000A7372"/>
    <w:rsid w:val="000A7EDB"/>
    <w:rsid w:val="000B1727"/>
    <w:rsid w:val="000B1E28"/>
    <w:rsid w:val="000B5234"/>
    <w:rsid w:val="000B527D"/>
    <w:rsid w:val="000B6DD8"/>
    <w:rsid w:val="000B705B"/>
    <w:rsid w:val="000C1BB6"/>
    <w:rsid w:val="000C3151"/>
    <w:rsid w:val="000C65C2"/>
    <w:rsid w:val="000D14A9"/>
    <w:rsid w:val="000D3325"/>
    <w:rsid w:val="000D486E"/>
    <w:rsid w:val="000D4D7C"/>
    <w:rsid w:val="000D4EA2"/>
    <w:rsid w:val="000D5ACE"/>
    <w:rsid w:val="000D63EF"/>
    <w:rsid w:val="000D6C0C"/>
    <w:rsid w:val="000D7A5B"/>
    <w:rsid w:val="000E141B"/>
    <w:rsid w:val="000E18E1"/>
    <w:rsid w:val="000E329A"/>
    <w:rsid w:val="000E356E"/>
    <w:rsid w:val="000E70CB"/>
    <w:rsid w:val="000E720A"/>
    <w:rsid w:val="000F02A3"/>
    <w:rsid w:val="000F25E7"/>
    <w:rsid w:val="000F3869"/>
    <w:rsid w:val="000F3A83"/>
    <w:rsid w:val="000F4027"/>
    <w:rsid w:val="000F456F"/>
    <w:rsid w:val="000F5488"/>
    <w:rsid w:val="000F5B0A"/>
    <w:rsid w:val="00100754"/>
    <w:rsid w:val="00101DA8"/>
    <w:rsid w:val="00102A52"/>
    <w:rsid w:val="00105E10"/>
    <w:rsid w:val="00106078"/>
    <w:rsid w:val="001069A6"/>
    <w:rsid w:val="00107ADD"/>
    <w:rsid w:val="00110520"/>
    <w:rsid w:val="00112A18"/>
    <w:rsid w:val="0011312D"/>
    <w:rsid w:val="0011354F"/>
    <w:rsid w:val="00114375"/>
    <w:rsid w:val="00114A6A"/>
    <w:rsid w:val="001158C7"/>
    <w:rsid w:val="001160D8"/>
    <w:rsid w:val="0012053A"/>
    <w:rsid w:val="00120F1C"/>
    <w:rsid w:val="001228DF"/>
    <w:rsid w:val="00124193"/>
    <w:rsid w:val="00124801"/>
    <w:rsid w:val="00124DC8"/>
    <w:rsid w:val="0012571D"/>
    <w:rsid w:val="001258FA"/>
    <w:rsid w:val="001267A2"/>
    <w:rsid w:val="00126ED2"/>
    <w:rsid w:val="001302DE"/>
    <w:rsid w:val="00131694"/>
    <w:rsid w:val="00131E0F"/>
    <w:rsid w:val="00134429"/>
    <w:rsid w:val="001353DD"/>
    <w:rsid w:val="0013630E"/>
    <w:rsid w:val="00136356"/>
    <w:rsid w:val="001369FF"/>
    <w:rsid w:val="00140381"/>
    <w:rsid w:val="0014056C"/>
    <w:rsid w:val="00140711"/>
    <w:rsid w:val="00140736"/>
    <w:rsid w:val="001434B4"/>
    <w:rsid w:val="001458B6"/>
    <w:rsid w:val="00147091"/>
    <w:rsid w:val="001471D4"/>
    <w:rsid w:val="0015024C"/>
    <w:rsid w:val="00150C31"/>
    <w:rsid w:val="00152193"/>
    <w:rsid w:val="00152259"/>
    <w:rsid w:val="001531DD"/>
    <w:rsid w:val="001533AA"/>
    <w:rsid w:val="00153684"/>
    <w:rsid w:val="00156266"/>
    <w:rsid w:val="00156A1E"/>
    <w:rsid w:val="0015720C"/>
    <w:rsid w:val="00157B9E"/>
    <w:rsid w:val="001609DF"/>
    <w:rsid w:val="00161531"/>
    <w:rsid w:val="00162435"/>
    <w:rsid w:val="00162592"/>
    <w:rsid w:val="00162999"/>
    <w:rsid w:val="0016501A"/>
    <w:rsid w:val="001652C8"/>
    <w:rsid w:val="001656BB"/>
    <w:rsid w:val="001663D2"/>
    <w:rsid w:val="001708B6"/>
    <w:rsid w:val="0017281F"/>
    <w:rsid w:val="00172ADC"/>
    <w:rsid w:val="00173F23"/>
    <w:rsid w:val="001749E7"/>
    <w:rsid w:val="00174A06"/>
    <w:rsid w:val="0017622A"/>
    <w:rsid w:val="00176B3A"/>
    <w:rsid w:val="00180DE7"/>
    <w:rsid w:val="0018208D"/>
    <w:rsid w:val="001850E7"/>
    <w:rsid w:val="00186A61"/>
    <w:rsid w:val="00187848"/>
    <w:rsid w:val="0019057F"/>
    <w:rsid w:val="00191E43"/>
    <w:rsid w:val="001953D9"/>
    <w:rsid w:val="001A0476"/>
    <w:rsid w:val="001A0538"/>
    <w:rsid w:val="001A479C"/>
    <w:rsid w:val="001A7750"/>
    <w:rsid w:val="001B00E7"/>
    <w:rsid w:val="001B13F5"/>
    <w:rsid w:val="001B1B87"/>
    <w:rsid w:val="001B1F29"/>
    <w:rsid w:val="001B2B12"/>
    <w:rsid w:val="001B644A"/>
    <w:rsid w:val="001B6547"/>
    <w:rsid w:val="001B6A93"/>
    <w:rsid w:val="001C04E2"/>
    <w:rsid w:val="001C109C"/>
    <w:rsid w:val="001C1D5C"/>
    <w:rsid w:val="001C3215"/>
    <w:rsid w:val="001C3682"/>
    <w:rsid w:val="001C3E67"/>
    <w:rsid w:val="001C5908"/>
    <w:rsid w:val="001C70F9"/>
    <w:rsid w:val="001D12D4"/>
    <w:rsid w:val="001D1DF0"/>
    <w:rsid w:val="001D6A5D"/>
    <w:rsid w:val="001E0B6D"/>
    <w:rsid w:val="001E1AA5"/>
    <w:rsid w:val="001E1FE5"/>
    <w:rsid w:val="001E2AFF"/>
    <w:rsid w:val="001E397B"/>
    <w:rsid w:val="001E39F6"/>
    <w:rsid w:val="001E3ABF"/>
    <w:rsid w:val="001E4691"/>
    <w:rsid w:val="001E63F0"/>
    <w:rsid w:val="001F25F8"/>
    <w:rsid w:val="001F337F"/>
    <w:rsid w:val="001F3706"/>
    <w:rsid w:val="001F3871"/>
    <w:rsid w:val="001F46E7"/>
    <w:rsid w:val="001F5748"/>
    <w:rsid w:val="001F73CB"/>
    <w:rsid w:val="00201687"/>
    <w:rsid w:val="00201D34"/>
    <w:rsid w:val="0020244E"/>
    <w:rsid w:val="002033F6"/>
    <w:rsid w:val="00203CED"/>
    <w:rsid w:val="00203CF7"/>
    <w:rsid w:val="00204261"/>
    <w:rsid w:val="002047D2"/>
    <w:rsid w:val="00204DAB"/>
    <w:rsid w:val="00205586"/>
    <w:rsid w:val="00206B5F"/>
    <w:rsid w:val="00206D6F"/>
    <w:rsid w:val="002075B3"/>
    <w:rsid w:val="00211C25"/>
    <w:rsid w:val="00215247"/>
    <w:rsid w:val="00215597"/>
    <w:rsid w:val="002157D9"/>
    <w:rsid w:val="0021644E"/>
    <w:rsid w:val="00216AA3"/>
    <w:rsid w:val="002178FD"/>
    <w:rsid w:val="00223BB6"/>
    <w:rsid w:val="00223FED"/>
    <w:rsid w:val="002272FC"/>
    <w:rsid w:val="0023111B"/>
    <w:rsid w:val="0023452A"/>
    <w:rsid w:val="00234B42"/>
    <w:rsid w:val="00235762"/>
    <w:rsid w:val="0023641F"/>
    <w:rsid w:val="0023657F"/>
    <w:rsid w:val="00236F49"/>
    <w:rsid w:val="002401A4"/>
    <w:rsid w:val="00240742"/>
    <w:rsid w:val="00240890"/>
    <w:rsid w:val="00240DB5"/>
    <w:rsid w:val="00243948"/>
    <w:rsid w:val="002444B8"/>
    <w:rsid w:val="00245CCD"/>
    <w:rsid w:val="002476B1"/>
    <w:rsid w:val="002510B3"/>
    <w:rsid w:val="002516D9"/>
    <w:rsid w:val="0025278D"/>
    <w:rsid w:val="00253E44"/>
    <w:rsid w:val="00254642"/>
    <w:rsid w:val="0025474D"/>
    <w:rsid w:val="00255AC4"/>
    <w:rsid w:val="00256680"/>
    <w:rsid w:val="002575B7"/>
    <w:rsid w:val="00261779"/>
    <w:rsid w:val="00264203"/>
    <w:rsid w:val="0026442A"/>
    <w:rsid w:val="002650E7"/>
    <w:rsid w:val="00266C0D"/>
    <w:rsid w:val="00267148"/>
    <w:rsid w:val="002714D2"/>
    <w:rsid w:val="00271A2C"/>
    <w:rsid w:val="00272D15"/>
    <w:rsid w:val="0027316E"/>
    <w:rsid w:val="002731AC"/>
    <w:rsid w:val="00274153"/>
    <w:rsid w:val="00274683"/>
    <w:rsid w:val="0027584C"/>
    <w:rsid w:val="0028000E"/>
    <w:rsid w:val="002806B7"/>
    <w:rsid w:val="00284CC0"/>
    <w:rsid w:val="00285D9D"/>
    <w:rsid w:val="002908CC"/>
    <w:rsid w:val="00290AF9"/>
    <w:rsid w:val="002918DB"/>
    <w:rsid w:val="00297CE2"/>
    <w:rsid w:val="002A00F9"/>
    <w:rsid w:val="002A0242"/>
    <w:rsid w:val="002A133F"/>
    <w:rsid w:val="002A2AAF"/>
    <w:rsid w:val="002B032B"/>
    <w:rsid w:val="002B12F1"/>
    <w:rsid w:val="002B1789"/>
    <w:rsid w:val="002B2899"/>
    <w:rsid w:val="002B5016"/>
    <w:rsid w:val="002B510D"/>
    <w:rsid w:val="002B5135"/>
    <w:rsid w:val="002B5881"/>
    <w:rsid w:val="002B5BE4"/>
    <w:rsid w:val="002B6209"/>
    <w:rsid w:val="002B6E49"/>
    <w:rsid w:val="002C129C"/>
    <w:rsid w:val="002C44D2"/>
    <w:rsid w:val="002C4A24"/>
    <w:rsid w:val="002C4A5B"/>
    <w:rsid w:val="002C662D"/>
    <w:rsid w:val="002C6BB4"/>
    <w:rsid w:val="002D037B"/>
    <w:rsid w:val="002D046C"/>
    <w:rsid w:val="002D1F57"/>
    <w:rsid w:val="002D3628"/>
    <w:rsid w:val="002D38FC"/>
    <w:rsid w:val="002D3B8C"/>
    <w:rsid w:val="002D478F"/>
    <w:rsid w:val="002D50D1"/>
    <w:rsid w:val="002D5BA2"/>
    <w:rsid w:val="002D67B7"/>
    <w:rsid w:val="002D700F"/>
    <w:rsid w:val="002D742C"/>
    <w:rsid w:val="002D79E9"/>
    <w:rsid w:val="002D7B89"/>
    <w:rsid w:val="002E0BDC"/>
    <w:rsid w:val="002E2C82"/>
    <w:rsid w:val="002E3F33"/>
    <w:rsid w:val="002E556A"/>
    <w:rsid w:val="002F0674"/>
    <w:rsid w:val="002F08AD"/>
    <w:rsid w:val="002F2D1C"/>
    <w:rsid w:val="002F4F8D"/>
    <w:rsid w:val="002F4F93"/>
    <w:rsid w:val="002F73C1"/>
    <w:rsid w:val="002F7E55"/>
    <w:rsid w:val="0030183C"/>
    <w:rsid w:val="00302A83"/>
    <w:rsid w:val="00303AD0"/>
    <w:rsid w:val="003046ED"/>
    <w:rsid w:val="00304E5C"/>
    <w:rsid w:val="003058C6"/>
    <w:rsid w:val="003058F1"/>
    <w:rsid w:val="0031082A"/>
    <w:rsid w:val="00312AD3"/>
    <w:rsid w:val="00314492"/>
    <w:rsid w:val="0031577A"/>
    <w:rsid w:val="00316501"/>
    <w:rsid w:val="0031690F"/>
    <w:rsid w:val="003206D2"/>
    <w:rsid w:val="003222CF"/>
    <w:rsid w:val="0032300C"/>
    <w:rsid w:val="00323B1A"/>
    <w:rsid w:val="00323D93"/>
    <w:rsid w:val="00326B4B"/>
    <w:rsid w:val="00330BD9"/>
    <w:rsid w:val="00331BD6"/>
    <w:rsid w:val="00334FCD"/>
    <w:rsid w:val="00335566"/>
    <w:rsid w:val="00336641"/>
    <w:rsid w:val="00337328"/>
    <w:rsid w:val="00337877"/>
    <w:rsid w:val="00340A81"/>
    <w:rsid w:val="003421B5"/>
    <w:rsid w:val="00342CD3"/>
    <w:rsid w:val="003447BF"/>
    <w:rsid w:val="00344B0C"/>
    <w:rsid w:val="003450FE"/>
    <w:rsid w:val="003453B7"/>
    <w:rsid w:val="00345A9C"/>
    <w:rsid w:val="00345ECF"/>
    <w:rsid w:val="00347301"/>
    <w:rsid w:val="0034785B"/>
    <w:rsid w:val="00347B4A"/>
    <w:rsid w:val="00347CC2"/>
    <w:rsid w:val="0035039C"/>
    <w:rsid w:val="0035253E"/>
    <w:rsid w:val="00352633"/>
    <w:rsid w:val="00355F34"/>
    <w:rsid w:val="00360B4A"/>
    <w:rsid w:val="003635F7"/>
    <w:rsid w:val="00363D42"/>
    <w:rsid w:val="0036526F"/>
    <w:rsid w:val="00367B96"/>
    <w:rsid w:val="003711AC"/>
    <w:rsid w:val="00372F98"/>
    <w:rsid w:val="003733C4"/>
    <w:rsid w:val="00373854"/>
    <w:rsid w:val="00373F41"/>
    <w:rsid w:val="00376454"/>
    <w:rsid w:val="003767B9"/>
    <w:rsid w:val="00376E2C"/>
    <w:rsid w:val="003807C0"/>
    <w:rsid w:val="0038329C"/>
    <w:rsid w:val="003841E8"/>
    <w:rsid w:val="0038469B"/>
    <w:rsid w:val="003854C5"/>
    <w:rsid w:val="00386E3B"/>
    <w:rsid w:val="00390585"/>
    <w:rsid w:val="0039243F"/>
    <w:rsid w:val="00394CD6"/>
    <w:rsid w:val="00394ED9"/>
    <w:rsid w:val="00395B97"/>
    <w:rsid w:val="00396005"/>
    <w:rsid w:val="003962B6"/>
    <w:rsid w:val="003970DC"/>
    <w:rsid w:val="003A142B"/>
    <w:rsid w:val="003A1BFD"/>
    <w:rsid w:val="003A22A0"/>
    <w:rsid w:val="003A3633"/>
    <w:rsid w:val="003A5AB3"/>
    <w:rsid w:val="003B2025"/>
    <w:rsid w:val="003B224A"/>
    <w:rsid w:val="003B4A6D"/>
    <w:rsid w:val="003B6F25"/>
    <w:rsid w:val="003B77E9"/>
    <w:rsid w:val="003B7A95"/>
    <w:rsid w:val="003C0D3E"/>
    <w:rsid w:val="003C1D15"/>
    <w:rsid w:val="003C4BB9"/>
    <w:rsid w:val="003C51CE"/>
    <w:rsid w:val="003C7963"/>
    <w:rsid w:val="003C7AC5"/>
    <w:rsid w:val="003D192F"/>
    <w:rsid w:val="003D2165"/>
    <w:rsid w:val="003D24E4"/>
    <w:rsid w:val="003D6390"/>
    <w:rsid w:val="003D77DF"/>
    <w:rsid w:val="003D7BF1"/>
    <w:rsid w:val="003E09EB"/>
    <w:rsid w:val="003E1132"/>
    <w:rsid w:val="003E2B07"/>
    <w:rsid w:val="003E2E9F"/>
    <w:rsid w:val="003E2F40"/>
    <w:rsid w:val="003E523A"/>
    <w:rsid w:val="003E7138"/>
    <w:rsid w:val="003E7A55"/>
    <w:rsid w:val="003F1410"/>
    <w:rsid w:val="003F18EF"/>
    <w:rsid w:val="003F23A6"/>
    <w:rsid w:val="003F2A8C"/>
    <w:rsid w:val="003F3692"/>
    <w:rsid w:val="003F5F7A"/>
    <w:rsid w:val="0040022A"/>
    <w:rsid w:val="004007F3"/>
    <w:rsid w:val="00403331"/>
    <w:rsid w:val="00404A3D"/>
    <w:rsid w:val="00404B70"/>
    <w:rsid w:val="00405189"/>
    <w:rsid w:val="004068B2"/>
    <w:rsid w:val="004068FB"/>
    <w:rsid w:val="00406C8E"/>
    <w:rsid w:val="00407DF6"/>
    <w:rsid w:val="00412A67"/>
    <w:rsid w:val="00413080"/>
    <w:rsid w:val="00413830"/>
    <w:rsid w:val="00415E31"/>
    <w:rsid w:val="004171AC"/>
    <w:rsid w:val="00417894"/>
    <w:rsid w:val="00417AE1"/>
    <w:rsid w:val="00420A69"/>
    <w:rsid w:val="00420CDB"/>
    <w:rsid w:val="004242C0"/>
    <w:rsid w:val="00424959"/>
    <w:rsid w:val="004249D6"/>
    <w:rsid w:val="00424CEC"/>
    <w:rsid w:val="00424FF3"/>
    <w:rsid w:val="00425890"/>
    <w:rsid w:val="00426825"/>
    <w:rsid w:val="00427430"/>
    <w:rsid w:val="00430437"/>
    <w:rsid w:val="00431929"/>
    <w:rsid w:val="00432CA1"/>
    <w:rsid w:val="00432D9A"/>
    <w:rsid w:val="00432F85"/>
    <w:rsid w:val="004331B4"/>
    <w:rsid w:val="004338F3"/>
    <w:rsid w:val="00433B7C"/>
    <w:rsid w:val="0043557D"/>
    <w:rsid w:val="00435C8F"/>
    <w:rsid w:val="004369CE"/>
    <w:rsid w:val="004408FF"/>
    <w:rsid w:val="00440B29"/>
    <w:rsid w:val="004419A1"/>
    <w:rsid w:val="00441EA6"/>
    <w:rsid w:val="00442587"/>
    <w:rsid w:val="004439A5"/>
    <w:rsid w:val="00444400"/>
    <w:rsid w:val="00445613"/>
    <w:rsid w:val="00446B20"/>
    <w:rsid w:val="004470A7"/>
    <w:rsid w:val="0044784B"/>
    <w:rsid w:val="004525CF"/>
    <w:rsid w:val="00454AB3"/>
    <w:rsid w:val="00455615"/>
    <w:rsid w:val="004558A9"/>
    <w:rsid w:val="00455952"/>
    <w:rsid w:val="00456007"/>
    <w:rsid w:val="00456A3C"/>
    <w:rsid w:val="00461D9C"/>
    <w:rsid w:val="00461E1E"/>
    <w:rsid w:val="00463340"/>
    <w:rsid w:val="004639DA"/>
    <w:rsid w:val="004640C9"/>
    <w:rsid w:val="004642D4"/>
    <w:rsid w:val="00464855"/>
    <w:rsid w:val="004751DE"/>
    <w:rsid w:val="00475F4C"/>
    <w:rsid w:val="004777FD"/>
    <w:rsid w:val="00477BDC"/>
    <w:rsid w:val="00483ACC"/>
    <w:rsid w:val="004843CF"/>
    <w:rsid w:val="00484890"/>
    <w:rsid w:val="00484DAB"/>
    <w:rsid w:val="00484DBA"/>
    <w:rsid w:val="00490786"/>
    <w:rsid w:val="00490A80"/>
    <w:rsid w:val="00490A89"/>
    <w:rsid w:val="00492A36"/>
    <w:rsid w:val="00492E73"/>
    <w:rsid w:val="0049342B"/>
    <w:rsid w:val="0049408B"/>
    <w:rsid w:val="0049581C"/>
    <w:rsid w:val="004A0138"/>
    <w:rsid w:val="004A2295"/>
    <w:rsid w:val="004A28D1"/>
    <w:rsid w:val="004A6294"/>
    <w:rsid w:val="004A650B"/>
    <w:rsid w:val="004A73B5"/>
    <w:rsid w:val="004A78E9"/>
    <w:rsid w:val="004B0197"/>
    <w:rsid w:val="004B08A6"/>
    <w:rsid w:val="004B135E"/>
    <w:rsid w:val="004B2681"/>
    <w:rsid w:val="004B2F5D"/>
    <w:rsid w:val="004B4371"/>
    <w:rsid w:val="004B486A"/>
    <w:rsid w:val="004B58F5"/>
    <w:rsid w:val="004B7614"/>
    <w:rsid w:val="004C11FF"/>
    <w:rsid w:val="004C15BD"/>
    <w:rsid w:val="004C2141"/>
    <w:rsid w:val="004C3010"/>
    <w:rsid w:val="004C485E"/>
    <w:rsid w:val="004C5E79"/>
    <w:rsid w:val="004C60F2"/>
    <w:rsid w:val="004D177C"/>
    <w:rsid w:val="004D1C6B"/>
    <w:rsid w:val="004D1DEE"/>
    <w:rsid w:val="004D26A6"/>
    <w:rsid w:val="004D3345"/>
    <w:rsid w:val="004D392B"/>
    <w:rsid w:val="004D5A62"/>
    <w:rsid w:val="004D70FC"/>
    <w:rsid w:val="004E0EED"/>
    <w:rsid w:val="004E315E"/>
    <w:rsid w:val="004F2DD3"/>
    <w:rsid w:val="004F47A8"/>
    <w:rsid w:val="004F50BC"/>
    <w:rsid w:val="004F5278"/>
    <w:rsid w:val="004F5827"/>
    <w:rsid w:val="004F5994"/>
    <w:rsid w:val="004F5E7F"/>
    <w:rsid w:val="004F6792"/>
    <w:rsid w:val="004F726A"/>
    <w:rsid w:val="004F78CE"/>
    <w:rsid w:val="00500CD9"/>
    <w:rsid w:val="00501A26"/>
    <w:rsid w:val="005023A3"/>
    <w:rsid w:val="0050287F"/>
    <w:rsid w:val="00505662"/>
    <w:rsid w:val="00506771"/>
    <w:rsid w:val="00506F0F"/>
    <w:rsid w:val="00507DB0"/>
    <w:rsid w:val="005108CD"/>
    <w:rsid w:val="00513345"/>
    <w:rsid w:val="00513892"/>
    <w:rsid w:val="00515BAC"/>
    <w:rsid w:val="005207CB"/>
    <w:rsid w:val="005225BE"/>
    <w:rsid w:val="005258B1"/>
    <w:rsid w:val="005259EE"/>
    <w:rsid w:val="0052690E"/>
    <w:rsid w:val="0052786D"/>
    <w:rsid w:val="00527CA1"/>
    <w:rsid w:val="00530470"/>
    <w:rsid w:val="0053060F"/>
    <w:rsid w:val="00530F5A"/>
    <w:rsid w:val="00531AA4"/>
    <w:rsid w:val="005327D0"/>
    <w:rsid w:val="00534424"/>
    <w:rsid w:val="00534EF3"/>
    <w:rsid w:val="00535477"/>
    <w:rsid w:val="00537577"/>
    <w:rsid w:val="00537F86"/>
    <w:rsid w:val="005404C5"/>
    <w:rsid w:val="00541DDC"/>
    <w:rsid w:val="005435FD"/>
    <w:rsid w:val="00543AA0"/>
    <w:rsid w:val="0054493C"/>
    <w:rsid w:val="005450F5"/>
    <w:rsid w:val="0054764C"/>
    <w:rsid w:val="0055043D"/>
    <w:rsid w:val="00551123"/>
    <w:rsid w:val="00551492"/>
    <w:rsid w:val="005515D7"/>
    <w:rsid w:val="0056051C"/>
    <w:rsid w:val="00562D9E"/>
    <w:rsid w:val="00562F3F"/>
    <w:rsid w:val="00563AA4"/>
    <w:rsid w:val="00563DBA"/>
    <w:rsid w:val="00565140"/>
    <w:rsid w:val="005666BC"/>
    <w:rsid w:val="00567EE7"/>
    <w:rsid w:val="00570BBF"/>
    <w:rsid w:val="00572A33"/>
    <w:rsid w:val="00573BA8"/>
    <w:rsid w:val="005746D2"/>
    <w:rsid w:val="0057534A"/>
    <w:rsid w:val="005754CE"/>
    <w:rsid w:val="00575602"/>
    <w:rsid w:val="00576694"/>
    <w:rsid w:val="00576B92"/>
    <w:rsid w:val="00580029"/>
    <w:rsid w:val="00580ACA"/>
    <w:rsid w:val="00580BF4"/>
    <w:rsid w:val="00581E43"/>
    <w:rsid w:val="00582FC4"/>
    <w:rsid w:val="0058351A"/>
    <w:rsid w:val="0058593C"/>
    <w:rsid w:val="0058737F"/>
    <w:rsid w:val="005877F8"/>
    <w:rsid w:val="00590E34"/>
    <w:rsid w:val="00591228"/>
    <w:rsid w:val="00591B98"/>
    <w:rsid w:val="00591FD1"/>
    <w:rsid w:val="00593602"/>
    <w:rsid w:val="00594757"/>
    <w:rsid w:val="005A0210"/>
    <w:rsid w:val="005A11E5"/>
    <w:rsid w:val="005A58E1"/>
    <w:rsid w:val="005B1BF3"/>
    <w:rsid w:val="005B67D4"/>
    <w:rsid w:val="005B7D81"/>
    <w:rsid w:val="005C12DC"/>
    <w:rsid w:val="005C1667"/>
    <w:rsid w:val="005C1F5E"/>
    <w:rsid w:val="005C223C"/>
    <w:rsid w:val="005C2443"/>
    <w:rsid w:val="005C35EA"/>
    <w:rsid w:val="005C36E5"/>
    <w:rsid w:val="005C3EBF"/>
    <w:rsid w:val="005C43D6"/>
    <w:rsid w:val="005C520D"/>
    <w:rsid w:val="005C57D4"/>
    <w:rsid w:val="005C61FD"/>
    <w:rsid w:val="005C65E5"/>
    <w:rsid w:val="005C662C"/>
    <w:rsid w:val="005C6811"/>
    <w:rsid w:val="005C7618"/>
    <w:rsid w:val="005C782D"/>
    <w:rsid w:val="005D0063"/>
    <w:rsid w:val="005D1AFA"/>
    <w:rsid w:val="005D216C"/>
    <w:rsid w:val="005D2F1F"/>
    <w:rsid w:val="005D31AB"/>
    <w:rsid w:val="005D569B"/>
    <w:rsid w:val="005D59EF"/>
    <w:rsid w:val="005D63A5"/>
    <w:rsid w:val="005D6C31"/>
    <w:rsid w:val="005D7CEF"/>
    <w:rsid w:val="005D7E2E"/>
    <w:rsid w:val="005E1353"/>
    <w:rsid w:val="005E276D"/>
    <w:rsid w:val="005E446B"/>
    <w:rsid w:val="005E4709"/>
    <w:rsid w:val="005E5082"/>
    <w:rsid w:val="005E50FA"/>
    <w:rsid w:val="005E5FEF"/>
    <w:rsid w:val="005E637D"/>
    <w:rsid w:val="005E7143"/>
    <w:rsid w:val="005F380F"/>
    <w:rsid w:val="005F3D67"/>
    <w:rsid w:val="005F6885"/>
    <w:rsid w:val="005F6EEB"/>
    <w:rsid w:val="005F76A1"/>
    <w:rsid w:val="005F79B1"/>
    <w:rsid w:val="00600C96"/>
    <w:rsid w:val="00601DB5"/>
    <w:rsid w:val="0060404B"/>
    <w:rsid w:val="0060496B"/>
    <w:rsid w:val="006053FA"/>
    <w:rsid w:val="00605A5D"/>
    <w:rsid w:val="00607354"/>
    <w:rsid w:val="006073AC"/>
    <w:rsid w:val="006079E8"/>
    <w:rsid w:val="00610EC5"/>
    <w:rsid w:val="006129C4"/>
    <w:rsid w:val="0061445A"/>
    <w:rsid w:val="00614E7B"/>
    <w:rsid w:val="006155BE"/>
    <w:rsid w:val="00615DF9"/>
    <w:rsid w:val="006160AC"/>
    <w:rsid w:val="006178D9"/>
    <w:rsid w:val="006204FB"/>
    <w:rsid w:val="00621AEE"/>
    <w:rsid w:val="00622EBF"/>
    <w:rsid w:val="00624CCB"/>
    <w:rsid w:val="00627715"/>
    <w:rsid w:val="006309DA"/>
    <w:rsid w:val="00630E44"/>
    <w:rsid w:val="00630EF0"/>
    <w:rsid w:val="00632470"/>
    <w:rsid w:val="006329B9"/>
    <w:rsid w:val="00632AFC"/>
    <w:rsid w:val="00632CE5"/>
    <w:rsid w:val="0063460A"/>
    <w:rsid w:val="006348DA"/>
    <w:rsid w:val="00635B90"/>
    <w:rsid w:val="006362CD"/>
    <w:rsid w:val="00637C80"/>
    <w:rsid w:val="00640312"/>
    <w:rsid w:val="00640E88"/>
    <w:rsid w:val="006411A5"/>
    <w:rsid w:val="00641866"/>
    <w:rsid w:val="006422D1"/>
    <w:rsid w:val="006424EF"/>
    <w:rsid w:val="0064270E"/>
    <w:rsid w:val="00645F80"/>
    <w:rsid w:val="00645FB2"/>
    <w:rsid w:val="00646647"/>
    <w:rsid w:val="00647218"/>
    <w:rsid w:val="00647775"/>
    <w:rsid w:val="00647B2A"/>
    <w:rsid w:val="00654FCF"/>
    <w:rsid w:val="00655E63"/>
    <w:rsid w:val="006570AD"/>
    <w:rsid w:val="00657394"/>
    <w:rsid w:val="006606B7"/>
    <w:rsid w:val="00662BC7"/>
    <w:rsid w:val="006639D2"/>
    <w:rsid w:val="006643CD"/>
    <w:rsid w:val="0066484F"/>
    <w:rsid w:val="0066495C"/>
    <w:rsid w:val="006668A3"/>
    <w:rsid w:val="0067145D"/>
    <w:rsid w:val="00672E17"/>
    <w:rsid w:val="00672E52"/>
    <w:rsid w:val="00672FCF"/>
    <w:rsid w:val="0067399D"/>
    <w:rsid w:val="0067471C"/>
    <w:rsid w:val="00675DCA"/>
    <w:rsid w:val="006760EA"/>
    <w:rsid w:val="006777B0"/>
    <w:rsid w:val="006778F7"/>
    <w:rsid w:val="00677917"/>
    <w:rsid w:val="006802D8"/>
    <w:rsid w:val="0068232F"/>
    <w:rsid w:val="00682721"/>
    <w:rsid w:val="00682BCD"/>
    <w:rsid w:val="00684592"/>
    <w:rsid w:val="00687831"/>
    <w:rsid w:val="00687ED7"/>
    <w:rsid w:val="0069033F"/>
    <w:rsid w:val="006913DE"/>
    <w:rsid w:val="00691473"/>
    <w:rsid w:val="0069148D"/>
    <w:rsid w:val="00692FF4"/>
    <w:rsid w:val="00694336"/>
    <w:rsid w:val="00695499"/>
    <w:rsid w:val="00696044"/>
    <w:rsid w:val="00697B53"/>
    <w:rsid w:val="006A2099"/>
    <w:rsid w:val="006A2FCB"/>
    <w:rsid w:val="006A449C"/>
    <w:rsid w:val="006A4EC8"/>
    <w:rsid w:val="006A5CB6"/>
    <w:rsid w:val="006A756D"/>
    <w:rsid w:val="006A75D9"/>
    <w:rsid w:val="006B1E24"/>
    <w:rsid w:val="006B44BF"/>
    <w:rsid w:val="006B5F1F"/>
    <w:rsid w:val="006B631E"/>
    <w:rsid w:val="006B6FA0"/>
    <w:rsid w:val="006B7456"/>
    <w:rsid w:val="006B7D4F"/>
    <w:rsid w:val="006C0AEC"/>
    <w:rsid w:val="006C31FA"/>
    <w:rsid w:val="006C3235"/>
    <w:rsid w:val="006C38D4"/>
    <w:rsid w:val="006C460A"/>
    <w:rsid w:val="006C5C0F"/>
    <w:rsid w:val="006C772B"/>
    <w:rsid w:val="006C78F6"/>
    <w:rsid w:val="006C798A"/>
    <w:rsid w:val="006D4F11"/>
    <w:rsid w:val="006D515F"/>
    <w:rsid w:val="006D57CF"/>
    <w:rsid w:val="006D6545"/>
    <w:rsid w:val="006D6805"/>
    <w:rsid w:val="006D6F56"/>
    <w:rsid w:val="006D71DD"/>
    <w:rsid w:val="006D7E84"/>
    <w:rsid w:val="006E042C"/>
    <w:rsid w:val="006E1A49"/>
    <w:rsid w:val="006E5AF1"/>
    <w:rsid w:val="006E672C"/>
    <w:rsid w:val="006E7F33"/>
    <w:rsid w:val="006F055D"/>
    <w:rsid w:val="006F188C"/>
    <w:rsid w:val="006F1AD4"/>
    <w:rsid w:val="006F1DCB"/>
    <w:rsid w:val="006F2640"/>
    <w:rsid w:val="006F2AC1"/>
    <w:rsid w:val="006F2EA5"/>
    <w:rsid w:val="006F3577"/>
    <w:rsid w:val="006F35C0"/>
    <w:rsid w:val="006F3F76"/>
    <w:rsid w:val="006F440D"/>
    <w:rsid w:val="006F6435"/>
    <w:rsid w:val="006F64F7"/>
    <w:rsid w:val="00700FBD"/>
    <w:rsid w:val="007015F7"/>
    <w:rsid w:val="00702257"/>
    <w:rsid w:val="007033C6"/>
    <w:rsid w:val="0070398B"/>
    <w:rsid w:val="007049FC"/>
    <w:rsid w:val="00705463"/>
    <w:rsid w:val="00705E0B"/>
    <w:rsid w:val="007062F4"/>
    <w:rsid w:val="00706DD8"/>
    <w:rsid w:val="00707F0C"/>
    <w:rsid w:val="00710D1D"/>
    <w:rsid w:val="00710EF6"/>
    <w:rsid w:val="00711B2C"/>
    <w:rsid w:val="00712EB1"/>
    <w:rsid w:val="007139F3"/>
    <w:rsid w:val="007143A8"/>
    <w:rsid w:val="00715110"/>
    <w:rsid w:val="007159A1"/>
    <w:rsid w:val="00717311"/>
    <w:rsid w:val="00720472"/>
    <w:rsid w:val="00720BA7"/>
    <w:rsid w:val="00721369"/>
    <w:rsid w:val="0072186C"/>
    <w:rsid w:val="00721DAF"/>
    <w:rsid w:val="00722583"/>
    <w:rsid w:val="00722724"/>
    <w:rsid w:val="00723CE4"/>
    <w:rsid w:val="00723CE5"/>
    <w:rsid w:val="00725C8B"/>
    <w:rsid w:val="00725FFD"/>
    <w:rsid w:val="007271EC"/>
    <w:rsid w:val="00730B7D"/>
    <w:rsid w:val="0073305A"/>
    <w:rsid w:val="007342E0"/>
    <w:rsid w:val="00734438"/>
    <w:rsid w:val="007344E4"/>
    <w:rsid w:val="00736D8E"/>
    <w:rsid w:val="007377E7"/>
    <w:rsid w:val="007379C1"/>
    <w:rsid w:val="0074064C"/>
    <w:rsid w:val="007419A1"/>
    <w:rsid w:val="00742B83"/>
    <w:rsid w:val="00743A46"/>
    <w:rsid w:val="0074486C"/>
    <w:rsid w:val="007453E8"/>
    <w:rsid w:val="00746D34"/>
    <w:rsid w:val="00751E97"/>
    <w:rsid w:val="007521DE"/>
    <w:rsid w:val="00752466"/>
    <w:rsid w:val="00752794"/>
    <w:rsid w:val="00753930"/>
    <w:rsid w:val="00754FA7"/>
    <w:rsid w:val="00755A09"/>
    <w:rsid w:val="00756267"/>
    <w:rsid w:val="00762330"/>
    <w:rsid w:val="007645E6"/>
    <w:rsid w:val="00765AEA"/>
    <w:rsid w:val="00767466"/>
    <w:rsid w:val="00770C5D"/>
    <w:rsid w:val="00771D1F"/>
    <w:rsid w:val="007731F9"/>
    <w:rsid w:val="0077359E"/>
    <w:rsid w:val="0077395B"/>
    <w:rsid w:val="00775035"/>
    <w:rsid w:val="007765BE"/>
    <w:rsid w:val="00780B4F"/>
    <w:rsid w:val="007832E9"/>
    <w:rsid w:val="007834B6"/>
    <w:rsid w:val="00785913"/>
    <w:rsid w:val="0078746D"/>
    <w:rsid w:val="00791646"/>
    <w:rsid w:val="00792CAB"/>
    <w:rsid w:val="00792E85"/>
    <w:rsid w:val="00793075"/>
    <w:rsid w:val="007945B4"/>
    <w:rsid w:val="00797BFF"/>
    <w:rsid w:val="007A0A05"/>
    <w:rsid w:val="007A1B56"/>
    <w:rsid w:val="007A2423"/>
    <w:rsid w:val="007A353D"/>
    <w:rsid w:val="007A3655"/>
    <w:rsid w:val="007A59E0"/>
    <w:rsid w:val="007A5DEE"/>
    <w:rsid w:val="007A7635"/>
    <w:rsid w:val="007B1422"/>
    <w:rsid w:val="007B1F2F"/>
    <w:rsid w:val="007B4862"/>
    <w:rsid w:val="007B49C2"/>
    <w:rsid w:val="007B719E"/>
    <w:rsid w:val="007C3C81"/>
    <w:rsid w:val="007C4B05"/>
    <w:rsid w:val="007C7B54"/>
    <w:rsid w:val="007D03D2"/>
    <w:rsid w:val="007D1ADF"/>
    <w:rsid w:val="007D1FB0"/>
    <w:rsid w:val="007D30D7"/>
    <w:rsid w:val="007D46BA"/>
    <w:rsid w:val="007D6102"/>
    <w:rsid w:val="007D7AD5"/>
    <w:rsid w:val="007E0484"/>
    <w:rsid w:val="007E0ABF"/>
    <w:rsid w:val="007E2B5E"/>
    <w:rsid w:val="007E2B7E"/>
    <w:rsid w:val="007E3074"/>
    <w:rsid w:val="007E35A0"/>
    <w:rsid w:val="007E4D8D"/>
    <w:rsid w:val="007E768E"/>
    <w:rsid w:val="007F039D"/>
    <w:rsid w:val="007F1875"/>
    <w:rsid w:val="007F24A7"/>
    <w:rsid w:val="007F2DE9"/>
    <w:rsid w:val="007F626F"/>
    <w:rsid w:val="007F7AC2"/>
    <w:rsid w:val="00800195"/>
    <w:rsid w:val="00804448"/>
    <w:rsid w:val="008058C3"/>
    <w:rsid w:val="00805D62"/>
    <w:rsid w:val="00806BE7"/>
    <w:rsid w:val="00807210"/>
    <w:rsid w:val="00810E5C"/>
    <w:rsid w:val="00811EBD"/>
    <w:rsid w:val="00814026"/>
    <w:rsid w:val="00820578"/>
    <w:rsid w:val="00820930"/>
    <w:rsid w:val="00823398"/>
    <w:rsid w:val="00826CA4"/>
    <w:rsid w:val="00827EAD"/>
    <w:rsid w:val="00830163"/>
    <w:rsid w:val="00831F12"/>
    <w:rsid w:val="00831F9C"/>
    <w:rsid w:val="008351F2"/>
    <w:rsid w:val="00836DC4"/>
    <w:rsid w:val="00840B0A"/>
    <w:rsid w:val="00841A0A"/>
    <w:rsid w:val="0084292F"/>
    <w:rsid w:val="008466E3"/>
    <w:rsid w:val="00847A44"/>
    <w:rsid w:val="00850EC0"/>
    <w:rsid w:val="008514EB"/>
    <w:rsid w:val="00851F89"/>
    <w:rsid w:val="008526DD"/>
    <w:rsid w:val="00853FE6"/>
    <w:rsid w:val="0085757E"/>
    <w:rsid w:val="0085794F"/>
    <w:rsid w:val="00861E76"/>
    <w:rsid w:val="008624C7"/>
    <w:rsid w:val="00862B4C"/>
    <w:rsid w:val="008630FD"/>
    <w:rsid w:val="0086411E"/>
    <w:rsid w:val="008649D1"/>
    <w:rsid w:val="008654AE"/>
    <w:rsid w:val="00866DA7"/>
    <w:rsid w:val="008674CD"/>
    <w:rsid w:val="00876D70"/>
    <w:rsid w:val="00880798"/>
    <w:rsid w:val="00880D58"/>
    <w:rsid w:val="008819D4"/>
    <w:rsid w:val="00881E95"/>
    <w:rsid w:val="00883BE6"/>
    <w:rsid w:val="008845B0"/>
    <w:rsid w:val="008846ED"/>
    <w:rsid w:val="00885044"/>
    <w:rsid w:val="00885613"/>
    <w:rsid w:val="008869C4"/>
    <w:rsid w:val="0088717D"/>
    <w:rsid w:val="008878FC"/>
    <w:rsid w:val="00891A49"/>
    <w:rsid w:val="008945FF"/>
    <w:rsid w:val="00896120"/>
    <w:rsid w:val="00896867"/>
    <w:rsid w:val="00897D64"/>
    <w:rsid w:val="008A2477"/>
    <w:rsid w:val="008A28A2"/>
    <w:rsid w:val="008A49C0"/>
    <w:rsid w:val="008A4F7D"/>
    <w:rsid w:val="008A7463"/>
    <w:rsid w:val="008B0B59"/>
    <w:rsid w:val="008B1CA4"/>
    <w:rsid w:val="008B6BFF"/>
    <w:rsid w:val="008B7EDD"/>
    <w:rsid w:val="008C0184"/>
    <w:rsid w:val="008C0A62"/>
    <w:rsid w:val="008C10A9"/>
    <w:rsid w:val="008C2A77"/>
    <w:rsid w:val="008C4224"/>
    <w:rsid w:val="008C4542"/>
    <w:rsid w:val="008C5279"/>
    <w:rsid w:val="008C5747"/>
    <w:rsid w:val="008D0336"/>
    <w:rsid w:val="008D2B91"/>
    <w:rsid w:val="008D36FA"/>
    <w:rsid w:val="008D40A7"/>
    <w:rsid w:val="008D4549"/>
    <w:rsid w:val="008D487B"/>
    <w:rsid w:val="008D4BD5"/>
    <w:rsid w:val="008D5BE8"/>
    <w:rsid w:val="008D640A"/>
    <w:rsid w:val="008D6AA2"/>
    <w:rsid w:val="008D6FCD"/>
    <w:rsid w:val="008E0B8D"/>
    <w:rsid w:val="008E1610"/>
    <w:rsid w:val="008E271A"/>
    <w:rsid w:val="008E28DD"/>
    <w:rsid w:val="008E3E26"/>
    <w:rsid w:val="008E6739"/>
    <w:rsid w:val="008E7B9F"/>
    <w:rsid w:val="008F0684"/>
    <w:rsid w:val="008F2568"/>
    <w:rsid w:val="008F48F7"/>
    <w:rsid w:val="008F56AE"/>
    <w:rsid w:val="008F5A62"/>
    <w:rsid w:val="008F7BFD"/>
    <w:rsid w:val="00900E2E"/>
    <w:rsid w:val="00901C4C"/>
    <w:rsid w:val="00901E23"/>
    <w:rsid w:val="00904DC5"/>
    <w:rsid w:val="009066A7"/>
    <w:rsid w:val="0090792B"/>
    <w:rsid w:val="009104F3"/>
    <w:rsid w:val="00911C5E"/>
    <w:rsid w:val="009134D5"/>
    <w:rsid w:val="00913CDD"/>
    <w:rsid w:val="00914BF0"/>
    <w:rsid w:val="00914EFB"/>
    <w:rsid w:val="0091553F"/>
    <w:rsid w:val="00915CD9"/>
    <w:rsid w:val="00916C78"/>
    <w:rsid w:val="009174CA"/>
    <w:rsid w:val="00917A81"/>
    <w:rsid w:val="00920A48"/>
    <w:rsid w:val="009215E9"/>
    <w:rsid w:val="009237D0"/>
    <w:rsid w:val="0092512D"/>
    <w:rsid w:val="0092555F"/>
    <w:rsid w:val="00926466"/>
    <w:rsid w:val="00930E5C"/>
    <w:rsid w:val="00931CF3"/>
    <w:rsid w:val="00932D8E"/>
    <w:rsid w:val="0093415D"/>
    <w:rsid w:val="0093430C"/>
    <w:rsid w:val="00934E30"/>
    <w:rsid w:val="0093542A"/>
    <w:rsid w:val="00935C03"/>
    <w:rsid w:val="009364E3"/>
    <w:rsid w:val="009370FD"/>
    <w:rsid w:val="00937F8F"/>
    <w:rsid w:val="0094039C"/>
    <w:rsid w:val="0094095B"/>
    <w:rsid w:val="00941FF1"/>
    <w:rsid w:val="00943285"/>
    <w:rsid w:val="00944244"/>
    <w:rsid w:val="0094424A"/>
    <w:rsid w:val="00944A26"/>
    <w:rsid w:val="00946EEA"/>
    <w:rsid w:val="0095068B"/>
    <w:rsid w:val="009506F3"/>
    <w:rsid w:val="009515BA"/>
    <w:rsid w:val="00952060"/>
    <w:rsid w:val="009526DC"/>
    <w:rsid w:val="00952F99"/>
    <w:rsid w:val="00955C7A"/>
    <w:rsid w:val="00956F4B"/>
    <w:rsid w:val="009572D5"/>
    <w:rsid w:val="009624E4"/>
    <w:rsid w:val="00962652"/>
    <w:rsid w:val="0096282A"/>
    <w:rsid w:val="009653DD"/>
    <w:rsid w:val="0097115D"/>
    <w:rsid w:val="00973331"/>
    <w:rsid w:val="00973485"/>
    <w:rsid w:val="00973901"/>
    <w:rsid w:val="00973C75"/>
    <w:rsid w:val="009741F2"/>
    <w:rsid w:val="009744EE"/>
    <w:rsid w:val="00974A1D"/>
    <w:rsid w:val="009763F6"/>
    <w:rsid w:val="00977EDA"/>
    <w:rsid w:val="009805DB"/>
    <w:rsid w:val="00984854"/>
    <w:rsid w:val="00984D47"/>
    <w:rsid w:val="00984D9F"/>
    <w:rsid w:val="00985262"/>
    <w:rsid w:val="00985B1E"/>
    <w:rsid w:val="009861E0"/>
    <w:rsid w:val="00987BFD"/>
    <w:rsid w:val="00991056"/>
    <w:rsid w:val="0099211A"/>
    <w:rsid w:val="0099220A"/>
    <w:rsid w:val="009947E6"/>
    <w:rsid w:val="00995904"/>
    <w:rsid w:val="009971D3"/>
    <w:rsid w:val="0099735D"/>
    <w:rsid w:val="00997610"/>
    <w:rsid w:val="00997FD1"/>
    <w:rsid w:val="009A2D4D"/>
    <w:rsid w:val="009A4DF0"/>
    <w:rsid w:val="009B254B"/>
    <w:rsid w:val="009B29B7"/>
    <w:rsid w:val="009B2AB7"/>
    <w:rsid w:val="009B2F47"/>
    <w:rsid w:val="009B562F"/>
    <w:rsid w:val="009B6844"/>
    <w:rsid w:val="009B6E6B"/>
    <w:rsid w:val="009C1A89"/>
    <w:rsid w:val="009C2FAB"/>
    <w:rsid w:val="009C3350"/>
    <w:rsid w:val="009C3CC3"/>
    <w:rsid w:val="009C7857"/>
    <w:rsid w:val="009D1B9B"/>
    <w:rsid w:val="009D3C0D"/>
    <w:rsid w:val="009D4525"/>
    <w:rsid w:val="009D4F7D"/>
    <w:rsid w:val="009D55C9"/>
    <w:rsid w:val="009D6906"/>
    <w:rsid w:val="009D7EB5"/>
    <w:rsid w:val="009D7FCD"/>
    <w:rsid w:val="009E1720"/>
    <w:rsid w:val="009E1F66"/>
    <w:rsid w:val="009E28FF"/>
    <w:rsid w:val="009E2F43"/>
    <w:rsid w:val="009E40C9"/>
    <w:rsid w:val="009E6F38"/>
    <w:rsid w:val="009E7D7C"/>
    <w:rsid w:val="009F0847"/>
    <w:rsid w:val="009F11E8"/>
    <w:rsid w:val="009F13D0"/>
    <w:rsid w:val="009F25B4"/>
    <w:rsid w:val="009F4365"/>
    <w:rsid w:val="009F5980"/>
    <w:rsid w:val="009F5A22"/>
    <w:rsid w:val="009F731B"/>
    <w:rsid w:val="00A0031F"/>
    <w:rsid w:val="00A0114B"/>
    <w:rsid w:val="00A0228D"/>
    <w:rsid w:val="00A056D2"/>
    <w:rsid w:val="00A07ECF"/>
    <w:rsid w:val="00A12DFF"/>
    <w:rsid w:val="00A17255"/>
    <w:rsid w:val="00A17D91"/>
    <w:rsid w:val="00A20586"/>
    <w:rsid w:val="00A20DE3"/>
    <w:rsid w:val="00A223C6"/>
    <w:rsid w:val="00A22AC0"/>
    <w:rsid w:val="00A23DCC"/>
    <w:rsid w:val="00A24E47"/>
    <w:rsid w:val="00A265CF"/>
    <w:rsid w:val="00A311B6"/>
    <w:rsid w:val="00A31C25"/>
    <w:rsid w:val="00A34781"/>
    <w:rsid w:val="00A34E1A"/>
    <w:rsid w:val="00A36052"/>
    <w:rsid w:val="00A37AF2"/>
    <w:rsid w:val="00A40512"/>
    <w:rsid w:val="00A4191F"/>
    <w:rsid w:val="00A41DA1"/>
    <w:rsid w:val="00A420F5"/>
    <w:rsid w:val="00A42536"/>
    <w:rsid w:val="00A436ED"/>
    <w:rsid w:val="00A470DF"/>
    <w:rsid w:val="00A50229"/>
    <w:rsid w:val="00A50CF3"/>
    <w:rsid w:val="00A52319"/>
    <w:rsid w:val="00A52A50"/>
    <w:rsid w:val="00A530DE"/>
    <w:rsid w:val="00A546F3"/>
    <w:rsid w:val="00A552F7"/>
    <w:rsid w:val="00A55C47"/>
    <w:rsid w:val="00A571B1"/>
    <w:rsid w:val="00A571DA"/>
    <w:rsid w:val="00A57639"/>
    <w:rsid w:val="00A60B74"/>
    <w:rsid w:val="00A613F6"/>
    <w:rsid w:val="00A615A1"/>
    <w:rsid w:val="00A617C1"/>
    <w:rsid w:val="00A61BE1"/>
    <w:rsid w:val="00A62309"/>
    <w:rsid w:val="00A62A2B"/>
    <w:rsid w:val="00A62A52"/>
    <w:rsid w:val="00A62EEE"/>
    <w:rsid w:val="00A63429"/>
    <w:rsid w:val="00A639D8"/>
    <w:rsid w:val="00A63FF9"/>
    <w:rsid w:val="00A64E96"/>
    <w:rsid w:val="00A65827"/>
    <w:rsid w:val="00A65F05"/>
    <w:rsid w:val="00A669EE"/>
    <w:rsid w:val="00A66C95"/>
    <w:rsid w:val="00A67AF5"/>
    <w:rsid w:val="00A67E94"/>
    <w:rsid w:val="00A70351"/>
    <w:rsid w:val="00A703B2"/>
    <w:rsid w:val="00A70569"/>
    <w:rsid w:val="00A71628"/>
    <w:rsid w:val="00A7162F"/>
    <w:rsid w:val="00A748B3"/>
    <w:rsid w:val="00A7678B"/>
    <w:rsid w:val="00A81496"/>
    <w:rsid w:val="00A82156"/>
    <w:rsid w:val="00A82AD7"/>
    <w:rsid w:val="00A83A0A"/>
    <w:rsid w:val="00A8480C"/>
    <w:rsid w:val="00A85FC3"/>
    <w:rsid w:val="00A90509"/>
    <w:rsid w:val="00A9058D"/>
    <w:rsid w:val="00A918DE"/>
    <w:rsid w:val="00A927BD"/>
    <w:rsid w:val="00A92F14"/>
    <w:rsid w:val="00A93466"/>
    <w:rsid w:val="00A95938"/>
    <w:rsid w:val="00A95E9A"/>
    <w:rsid w:val="00A968B6"/>
    <w:rsid w:val="00AA35A8"/>
    <w:rsid w:val="00AA5E61"/>
    <w:rsid w:val="00AA6E3D"/>
    <w:rsid w:val="00AB030D"/>
    <w:rsid w:val="00AB09C5"/>
    <w:rsid w:val="00AB11B2"/>
    <w:rsid w:val="00AB240E"/>
    <w:rsid w:val="00AB34AB"/>
    <w:rsid w:val="00AB44C2"/>
    <w:rsid w:val="00AB5554"/>
    <w:rsid w:val="00AB57CC"/>
    <w:rsid w:val="00AB6FF3"/>
    <w:rsid w:val="00AB7637"/>
    <w:rsid w:val="00AC0FDB"/>
    <w:rsid w:val="00AC18B3"/>
    <w:rsid w:val="00AC5B53"/>
    <w:rsid w:val="00AC5BC7"/>
    <w:rsid w:val="00AC5DF3"/>
    <w:rsid w:val="00AC5E52"/>
    <w:rsid w:val="00AC654A"/>
    <w:rsid w:val="00AC7055"/>
    <w:rsid w:val="00AC738D"/>
    <w:rsid w:val="00AC7B7D"/>
    <w:rsid w:val="00AC7EE4"/>
    <w:rsid w:val="00AD2FB0"/>
    <w:rsid w:val="00AD3B37"/>
    <w:rsid w:val="00AD4212"/>
    <w:rsid w:val="00AD6C22"/>
    <w:rsid w:val="00AE08FF"/>
    <w:rsid w:val="00AE0A1A"/>
    <w:rsid w:val="00AE0CB6"/>
    <w:rsid w:val="00AE0E67"/>
    <w:rsid w:val="00AE0EB1"/>
    <w:rsid w:val="00AE10BD"/>
    <w:rsid w:val="00AE16E7"/>
    <w:rsid w:val="00AE1D88"/>
    <w:rsid w:val="00AE2D33"/>
    <w:rsid w:val="00AE3D49"/>
    <w:rsid w:val="00AE5F19"/>
    <w:rsid w:val="00AE5F96"/>
    <w:rsid w:val="00AE6333"/>
    <w:rsid w:val="00AE79CB"/>
    <w:rsid w:val="00AE7E4B"/>
    <w:rsid w:val="00AE7EE0"/>
    <w:rsid w:val="00AF00AB"/>
    <w:rsid w:val="00AF01A9"/>
    <w:rsid w:val="00AF07E1"/>
    <w:rsid w:val="00AF30E0"/>
    <w:rsid w:val="00AF4063"/>
    <w:rsid w:val="00AF541C"/>
    <w:rsid w:val="00AF5FB6"/>
    <w:rsid w:val="00AF6057"/>
    <w:rsid w:val="00AF6297"/>
    <w:rsid w:val="00B000E1"/>
    <w:rsid w:val="00B0261C"/>
    <w:rsid w:val="00B03407"/>
    <w:rsid w:val="00B04C2B"/>
    <w:rsid w:val="00B0613A"/>
    <w:rsid w:val="00B06238"/>
    <w:rsid w:val="00B07A4D"/>
    <w:rsid w:val="00B11B70"/>
    <w:rsid w:val="00B11D42"/>
    <w:rsid w:val="00B12226"/>
    <w:rsid w:val="00B14AAA"/>
    <w:rsid w:val="00B1572C"/>
    <w:rsid w:val="00B1605D"/>
    <w:rsid w:val="00B171F3"/>
    <w:rsid w:val="00B2128F"/>
    <w:rsid w:val="00B25883"/>
    <w:rsid w:val="00B263D3"/>
    <w:rsid w:val="00B27AC0"/>
    <w:rsid w:val="00B315C9"/>
    <w:rsid w:val="00B31E1B"/>
    <w:rsid w:val="00B32262"/>
    <w:rsid w:val="00B33AE7"/>
    <w:rsid w:val="00B34D43"/>
    <w:rsid w:val="00B356D4"/>
    <w:rsid w:val="00B35B9E"/>
    <w:rsid w:val="00B35CF5"/>
    <w:rsid w:val="00B361F0"/>
    <w:rsid w:val="00B36E47"/>
    <w:rsid w:val="00B36EBB"/>
    <w:rsid w:val="00B37290"/>
    <w:rsid w:val="00B4259A"/>
    <w:rsid w:val="00B43712"/>
    <w:rsid w:val="00B43CAD"/>
    <w:rsid w:val="00B44D1D"/>
    <w:rsid w:val="00B44F3C"/>
    <w:rsid w:val="00B451DC"/>
    <w:rsid w:val="00B4553C"/>
    <w:rsid w:val="00B46848"/>
    <w:rsid w:val="00B5117D"/>
    <w:rsid w:val="00B51EA6"/>
    <w:rsid w:val="00B554DD"/>
    <w:rsid w:val="00B55B1D"/>
    <w:rsid w:val="00B56F50"/>
    <w:rsid w:val="00B579C6"/>
    <w:rsid w:val="00B6004B"/>
    <w:rsid w:val="00B62167"/>
    <w:rsid w:val="00B6429A"/>
    <w:rsid w:val="00B6448C"/>
    <w:rsid w:val="00B6487F"/>
    <w:rsid w:val="00B6513E"/>
    <w:rsid w:val="00B6571B"/>
    <w:rsid w:val="00B6620B"/>
    <w:rsid w:val="00B66584"/>
    <w:rsid w:val="00B67504"/>
    <w:rsid w:val="00B71270"/>
    <w:rsid w:val="00B723FD"/>
    <w:rsid w:val="00B725A4"/>
    <w:rsid w:val="00B726E9"/>
    <w:rsid w:val="00B72F78"/>
    <w:rsid w:val="00B76217"/>
    <w:rsid w:val="00B76E4A"/>
    <w:rsid w:val="00B82528"/>
    <w:rsid w:val="00B825B4"/>
    <w:rsid w:val="00B82D99"/>
    <w:rsid w:val="00B83808"/>
    <w:rsid w:val="00B8495C"/>
    <w:rsid w:val="00B85589"/>
    <w:rsid w:val="00B86612"/>
    <w:rsid w:val="00B86E61"/>
    <w:rsid w:val="00B90DAB"/>
    <w:rsid w:val="00B91FB3"/>
    <w:rsid w:val="00B95100"/>
    <w:rsid w:val="00B96838"/>
    <w:rsid w:val="00BA0BA0"/>
    <w:rsid w:val="00BA0C64"/>
    <w:rsid w:val="00BA142F"/>
    <w:rsid w:val="00BA34B9"/>
    <w:rsid w:val="00BB024E"/>
    <w:rsid w:val="00BB2033"/>
    <w:rsid w:val="00BB2F82"/>
    <w:rsid w:val="00BB3BC7"/>
    <w:rsid w:val="00BB42E0"/>
    <w:rsid w:val="00BB4462"/>
    <w:rsid w:val="00BB46F2"/>
    <w:rsid w:val="00BB570C"/>
    <w:rsid w:val="00BC025B"/>
    <w:rsid w:val="00BC06A0"/>
    <w:rsid w:val="00BC1A8D"/>
    <w:rsid w:val="00BC1F6F"/>
    <w:rsid w:val="00BC6744"/>
    <w:rsid w:val="00BC6874"/>
    <w:rsid w:val="00BC6D98"/>
    <w:rsid w:val="00BD0A31"/>
    <w:rsid w:val="00BD19B2"/>
    <w:rsid w:val="00BD1D02"/>
    <w:rsid w:val="00BD3452"/>
    <w:rsid w:val="00BD5269"/>
    <w:rsid w:val="00BD601B"/>
    <w:rsid w:val="00BD6FA6"/>
    <w:rsid w:val="00BD76F3"/>
    <w:rsid w:val="00BD7BCB"/>
    <w:rsid w:val="00BE046B"/>
    <w:rsid w:val="00BE0EAB"/>
    <w:rsid w:val="00BE1167"/>
    <w:rsid w:val="00BE1E7E"/>
    <w:rsid w:val="00BE2611"/>
    <w:rsid w:val="00BE37AD"/>
    <w:rsid w:val="00BE37E5"/>
    <w:rsid w:val="00BE3BB3"/>
    <w:rsid w:val="00BE464F"/>
    <w:rsid w:val="00BE53CA"/>
    <w:rsid w:val="00BE5EF7"/>
    <w:rsid w:val="00BE5F01"/>
    <w:rsid w:val="00BE6001"/>
    <w:rsid w:val="00BE624B"/>
    <w:rsid w:val="00BF0C27"/>
    <w:rsid w:val="00BF2398"/>
    <w:rsid w:val="00BF34E1"/>
    <w:rsid w:val="00BF3DE4"/>
    <w:rsid w:val="00BF41DA"/>
    <w:rsid w:val="00BF6DB1"/>
    <w:rsid w:val="00C00FD7"/>
    <w:rsid w:val="00C01C93"/>
    <w:rsid w:val="00C01D58"/>
    <w:rsid w:val="00C01E20"/>
    <w:rsid w:val="00C01E46"/>
    <w:rsid w:val="00C0304E"/>
    <w:rsid w:val="00C03F10"/>
    <w:rsid w:val="00C04D6F"/>
    <w:rsid w:val="00C0640D"/>
    <w:rsid w:val="00C06576"/>
    <w:rsid w:val="00C06591"/>
    <w:rsid w:val="00C074A2"/>
    <w:rsid w:val="00C12C58"/>
    <w:rsid w:val="00C1463E"/>
    <w:rsid w:val="00C14EC9"/>
    <w:rsid w:val="00C1684A"/>
    <w:rsid w:val="00C17DEB"/>
    <w:rsid w:val="00C21EB8"/>
    <w:rsid w:val="00C23EB9"/>
    <w:rsid w:val="00C24F8F"/>
    <w:rsid w:val="00C2781E"/>
    <w:rsid w:val="00C279BC"/>
    <w:rsid w:val="00C33BE2"/>
    <w:rsid w:val="00C33C1C"/>
    <w:rsid w:val="00C3400A"/>
    <w:rsid w:val="00C35792"/>
    <w:rsid w:val="00C37D1F"/>
    <w:rsid w:val="00C419D2"/>
    <w:rsid w:val="00C42017"/>
    <w:rsid w:val="00C42E53"/>
    <w:rsid w:val="00C45B87"/>
    <w:rsid w:val="00C46AB2"/>
    <w:rsid w:val="00C503AC"/>
    <w:rsid w:val="00C504AE"/>
    <w:rsid w:val="00C50906"/>
    <w:rsid w:val="00C51545"/>
    <w:rsid w:val="00C544DA"/>
    <w:rsid w:val="00C56040"/>
    <w:rsid w:val="00C5690B"/>
    <w:rsid w:val="00C56D94"/>
    <w:rsid w:val="00C57D38"/>
    <w:rsid w:val="00C62150"/>
    <w:rsid w:val="00C6220D"/>
    <w:rsid w:val="00C62667"/>
    <w:rsid w:val="00C63311"/>
    <w:rsid w:val="00C65B51"/>
    <w:rsid w:val="00C6605A"/>
    <w:rsid w:val="00C7012D"/>
    <w:rsid w:val="00C734F9"/>
    <w:rsid w:val="00C73AE2"/>
    <w:rsid w:val="00C7485C"/>
    <w:rsid w:val="00C75450"/>
    <w:rsid w:val="00C776C2"/>
    <w:rsid w:val="00C809F7"/>
    <w:rsid w:val="00C85A37"/>
    <w:rsid w:val="00C86233"/>
    <w:rsid w:val="00C8682B"/>
    <w:rsid w:val="00C875E1"/>
    <w:rsid w:val="00C87EC8"/>
    <w:rsid w:val="00C9019C"/>
    <w:rsid w:val="00C97C52"/>
    <w:rsid w:val="00CA01E3"/>
    <w:rsid w:val="00CA02B0"/>
    <w:rsid w:val="00CA357E"/>
    <w:rsid w:val="00CA377F"/>
    <w:rsid w:val="00CA4FA0"/>
    <w:rsid w:val="00CA5479"/>
    <w:rsid w:val="00CA65DE"/>
    <w:rsid w:val="00CA7468"/>
    <w:rsid w:val="00CA798A"/>
    <w:rsid w:val="00CA7B9F"/>
    <w:rsid w:val="00CA7DF3"/>
    <w:rsid w:val="00CA7F07"/>
    <w:rsid w:val="00CB0310"/>
    <w:rsid w:val="00CB09D1"/>
    <w:rsid w:val="00CB0A82"/>
    <w:rsid w:val="00CB237E"/>
    <w:rsid w:val="00CB2B83"/>
    <w:rsid w:val="00CB4C4E"/>
    <w:rsid w:val="00CB6D9D"/>
    <w:rsid w:val="00CC1ADB"/>
    <w:rsid w:val="00CC2A3D"/>
    <w:rsid w:val="00CC3C93"/>
    <w:rsid w:val="00CC6FA7"/>
    <w:rsid w:val="00CC758C"/>
    <w:rsid w:val="00CD115A"/>
    <w:rsid w:val="00CD158C"/>
    <w:rsid w:val="00CD193E"/>
    <w:rsid w:val="00CD20B3"/>
    <w:rsid w:val="00CD28AE"/>
    <w:rsid w:val="00CD3509"/>
    <w:rsid w:val="00CD4255"/>
    <w:rsid w:val="00CD6DA4"/>
    <w:rsid w:val="00CD7E86"/>
    <w:rsid w:val="00CE1560"/>
    <w:rsid w:val="00CE2660"/>
    <w:rsid w:val="00CE45D3"/>
    <w:rsid w:val="00CE60EB"/>
    <w:rsid w:val="00CE685A"/>
    <w:rsid w:val="00CE7237"/>
    <w:rsid w:val="00CF0876"/>
    <w:rsid w:val="00CF0E4C"/>
    <w:rsid w:val="00CF1AAF"/>
    <w:rsid w:val="00CF1D3D"/>
    <w:rsid w:val="00CF256A"/>
    <w:rsid w:val="00CF34E6"/>
    <w:rsid w:val="00CF3BE8"/>
    <w:rsid w:val="00CF3F9F"/>
    <w:rsid w:val="00CF41B3"/>
    <w:rsid w:val="00CF4D5E"/>
    <w:rsid w:val="00CF531B"/>
    <w:rsid w:val="00CF6355"/>
    <w:rsid w:val="00CF6794"/>
    <w:rsid w:val="00D014A9"/>
    <w:rsid w:val="00D02384"/>
    <w:rsid w:val="00D037C4"/>
    <w:rsid w:val="00D050DE"/>
    <w:rsid w:val="00D05358"/>
    <w:rsid w:val="00D07049"/>
    <w:rsid w:val="00D10712"/>
    <w:rsid w:val="00D10CDF"/>
    <w:rsid w:val="00D12188"/>
    <w:rsid w:val="00D125AE"/>
    <w:rsid w:val="00D1291A"/>
    <w:rsid w:val="00D13E39"/>
    <w:rsid w:val="00D144EF"/>
    <w:rsid w:val="00D145F5"/>
    <w:rsid w:val="00D146BC"/>
    <w:rsid w:val="00D16DDF"/>
    <w:rsid w:val="00D1739C"/>
    <w:rsid w:val="00D220E4"/>
    <w:rsid w:val="00D252C3"/>
    <w:rsid w:val="00D26630"/>
    <w:rsid w:val="00D26741"/>
    <w:rsid w:val="00D271EB"/>
    <w:rsid w:val="00D27641"/>
    <w:rsid w:val="00D311AB"/>
    <w:rsid w:val="00D319C1"/>
    <w:rsid w:val="00D34BED"/>
    <w:rsid w:val="00D40691"/>
    <w:rsid w:val="00D409E6"/>
    <w:rsid w:val="00D413EF"/>
    <w:rsid w:val="00D421C8"/>
    <w:rsid w:val="00D42FFE"/>
    <w:rsid w:val="00D433EF"/>
    <w:rsid w:val="00D452B9"/>
    <w:rsid w:val="00D455D8"/>
    <w:rsid w:val="00D46100"/>
    <w:rsid w:val="00D513D0"/>
    <w:rsid w:val="00D529A1"/>
    <w:rsid w:val="00D558ED"/>
    <w:rsid w:val="00D576A0"/>
    <w:rsid w:val="00D60F51"/>
    <w:rsid w:val="00D61758"/>
    <w:rsid w:val="00D618FB"/>
    <w:rsid w:val="00D63C39"/>
    <w:rsid w:val="00D6474B"/>
    <w:rsid w:val="00D65BE8"/>
    <w:rsid w:val="00D663CB"/>
    <w:rsid w:val="00D664C2"/>
    <w:rsid w:val="00D66518"/>
    <w:rsid w:val="00D70368"/>
    <w:rsid w:val="00D72636"/>
    <w:rsid w:val="00D743CC"/>
    <w:rsid w:val="00D74BA9"/>
    <w:rsid w:val="00D75E26"/>
    <w:rsid w:val="00D762F4"/>
    <w:rsid w:val="00D80620"/>
    <w:rsid w:val="00D82955"/>
    <w:rsid w:val="00D8307C"/>
    <w:rsid w:val="00D83641"/>
    <w:rsid w:val="00D844A1"/>
    <w:rsid w:val="00D86B70"/>
    <w:rsid w:val="00D87A14"/>
    <w:rsid w:val="00D90DA0"/>
    <w:rsid w:val="00D90DD0"/>
    <w:rsid w:val="00D92B91"/>
    <w:rsid w:val="00D9356E"/>
    <w:rsid w:val="00D937D4"/>
    <w:rsid w:val="00D946BC"/>
    <w:rsid w:val="00D96478"/>
    <w:rsid w:val="00D9680F"/>
    <w:rsid w:val="00D96965"/>
    <w:rsid w:val="00D97E89"/>
    <w:rsid w:val="00DA060C"/>
    <w:rsid w:val="00DA1160"/>
    <w:rsid w:val="00DA2E9A"/>
    <w:rsid w:val="00DA47BC"/>
    <w:rsid w:val="00DA56A0"/>
    <w:rsid w:val="00DA779A"/>
    <w:rsid w:val="00DA7865"/>
    <w:rsid w:val="00DB092E"/>
    <w:rsid w:val="00DB324F"/>
    <w:rsid w:val="00DB5FAB"/>
    <w:rsid w:val="00DB6545"/>
    <w:rsid w:val="00DB7149"/>
    <w:rsid w:val="00DB7F6F"/>
    <w:rsid w:val="00DC0701"/>
    <w:rsid w:val="00DC09F2"/>
    <w:rsid w:val="00DC14D4"/>
    <w:rsid w:val="00DC29CF"/>
    <w:rsid w:val="00DC5E5E"/>
    <w:rsid w:val="00DC63F4"/>
    <w:rsid w:val="00DD0036"/>
    <w:rsid w:val="00DD0063"/>
    <w:rsid w:val="00DD05B5"/>
    <w:rsid w:val="00DD191A"/>
    <w:rsid w:val="00DD2117"/>
    <w:rsid w:val="00DD33A6"/>
    <w:rsid w:val="00DD3CE4"/>
    <w:rsid w:val="00DD4AAF"/>
    <w:rsid w:val="00DD547F"/>
    <w:rsid w:val="00DE006A"/>
    <w:rsid w:val="00DE1271"/>
    <w:rsid w:val="00DE2665"/>
    <w:rsid w:val="00DE482E"/>
    <w:rsid w:val="00DE4BA0"/>
    <w:rsid w:val="00DE5899"/>
    <w:rsid w:val="00DE5900"/>
    <w:rsid w:val="00DE6B58"/>
    <w:rsid w:val="00DE7BC1"/>
    <w:rsid w:val="00DF07EF"/>
    <w:rsid w:val="00DF0D8A"/>
    <w:rsid w:val="00DF1349"/>
    <w:rsid w:val="00DF2D40"/>
    <w:rsid w:val="00DF327A"/>
    <w:rsid w:val="00DF3EF4"/>
    <w:rsid w:val="00DF456A"/>
    <w:rsid w:val="00DF6006"/>
    <w:rsid w:val="00DF6524"/>
    <w:rsid w:val="00DF70B2"/>
    <w:rsid w:val="00E029F3"/>
    <w:rsid w:val="00E02DC4"/>
    <w:rsid w:val="00E03B72"/>
    <w:rsid w:val="00E03E1B"/>
    <w:rsid w:val="00E04B8F"/>
    <w:rsid w:val="00E07364"/>
    <w:rsid w:val="00E077B2"/>
    <w:rsid w:val="00E1026E"/>
    <w:rsid w:val="00E120E8"/>
    <w:rsid w:val="00E14CA4"/>
    <w:rsid w:val="00E14FEC"/>
    <w:rsid w:val="00E158E3"/>
    <w:rsid w:val="00E15C73"/>
    <w:rsid w:val="00E15F03"/>
    <w:rsid w:val="00E16AA1"/>
    <w:rsid w:val="00E17478"/>
    <w:rsid w:val="00E17B67"/>
    <w:rsid w:val="00E2212D"/>
    <w:rsid w:val="00E235A9"/>
    <w:rsid w:val="00E2477D"/>
    <w:rsid w:val="00E26016"/>
    <w:rsid w:val="00E30A18"/>
    <w:rsid w:val="00E312ED"/>
    <w:rsid w:val="00E33521"/>
    <w:rsid w:val="00E3464C"/>
    <w:rsid w:val="00E360DE"/>
    <w:rsid w:val="00E37AC9"/>
    <w:rsid w:val="00E40B76"/>
    <w:rsid w:val="00E41BB6"/>
    <w:rsid w:val="00E42CA1"/>
    <w:rsid w:val="00E433D2"/>
    <w:rsid w:val="00E44151"/>
    <w:rsid w:val="00E47292"/>
    <w:rsid w:val="00E51726"/>
    <w:rsid w:val="00E53D36"/>
    <w:rsid w:val="00E55665"/>
    <w:rsid w:val="00E55E00"/>
    <w:rsid w:val="00E56053"/>
    <w:rsid w:val="00E647C1"/>
    <w:rsid w:val="00E64DC0"/>
    <w:rsid w:val="00E65FEE"/>
    <w:rsid w:val="00E721D2"/>
    <w:rsid w:val="00E7325C"/>
    <w:rsid w:val="00E7400C"/>
    <w:rsid w:val="00E742BB"/>
    <w:rsid w:val="00E74833"/>
    <w:rsid w:val="00E77B47"/>
    <w:rsid w:val="00E800F3"/>
    <w:rsid w:val="00E80505"/>
    <w:rsid w:val="00E83633"/>
    <w:rsid w:val="00E83B09"/>
    <w:rsid w:val="00E8415A"/>
    <w:rsid w:val="00E84425"/>
    <w:rsid w:val="00E8623F"/>
    <w:rsid w:val="00E862C8"/>
    <w:rsid w:val="00E87CA5"/>
    <w:rsid w:val="00E87F78"/>
    <w:rsid w:val="00E925FF"/>
    <w:rsid w:val="00E952FA"/>
    <w:rsid w:val="00E954A2"/>
    <w:rsid w:val="00E9587D"/>
    <w:rsid w:val="00E9632A"/>
    <w:rsid w:val="00E96CEF"/>
    <w:rsid w:val="00E975C1"/>
    <w:rsid w:val="00EA3D64"/>
    <w:rsid w:val="00EA3E12"/>
    <w:rsid w:val="00EA45E0"/>
    <w:rsid w:val="00EA508B"/>
    <w:rsid w:val="00EA6A51"/>
    <w:rsid w:val="00EA6E2D"/>
    <w:rsid w:val="00EB2992"/>
    <w:rsid w:val="00EB306B"/>
    <w:rsid w:val="00EB422B"/>
    <w:rsid w:val="00EB48F1"/>
    <w:rsid w:val="00EB4BB1"/>
    <w:rsid w:val="00EB6182"/>
    <w:rsid w:val="00EB6DD0"/>
    <w:rsid w:val="00EC0296"/>
    <w:rsid w:val="00EC0B31"/>
    <w:rsid w:val="00EC230A"/>
    <w:rsid w:val="00EC27E9"/>
    <w:rsid w:val="00EC334D"/>
    <w:rsid w:val="00EC3DC2"/>
    <w:rsid w:val="00EC47F6"/>
    <w:rsid w:val="00EC5941"/>
    <w:rsid w:val="00EC5C26"/>
    <w:rsid w:val="00EC6130"/>
    <w:rsid w:val="00EC62AF"/>
    <w:rsid w:val="00EC7FD9"/>
    <w:rsid w:val="00ED0CB6"/>
    <w:rsid w:val="00ED2992"/>
    <w:rsid w:val="00ED3B35"/>
    <w:rsid w:val="00ED479D"/>
    <w:rsid w:val="00ED6706"/>
    <w:rsid w:val="00ED6A73"/>
    <w:rsid w:val="00ED6F26"/>
    <w:rsid w:val="00ED73F5"/>
    <w:rsid w:val="00ED7B10"/>
    <w:rsid w:val="00EE054F"/>
    <w:rsid w:val="00EE0780"/>
    <w:rsid w:val="00EE1D00"/>
    <w:rsid w:val="00EE2218"/>
    <w:rsid w:val="00EE2495"/>
    <w:rsid w:val="00EE4087"/>
    <w:rsid w:val="00EE4436"/>
    <w:rsid w:val="00EE445F"/>
    <w:rsid w:val="00EE52E0"/>
    <w:rsid w:val="00EE72BF"/>
    <w:rsid w:val="00EF07A5"/>
    <w:rsid w:val="00EF3152"/>
    <w:rsid w:val="00EF36A3"/>
    <w:rsid w:val="00EF557D"/>
    <w:rsid w:val="00EF77C5"/>
    <w:rsid w:val="00F03520"/>
    <w:rsid w:val="00F066F7"/>
    <w:rsid w:val="00F077B2"/>
    <w:rsid w:val="00F10B72"/>
    <w:rsid w:val="00F11CC4"/>
    <w:rsid w:val="00F12D11"/>
    <w:rsid w:val="00F138A7"/>
    <w:rsid w:val="00F15D9E"/>
    <w:rsid w:val="00F16385"/>
    <w:rsid w:val="00F16389"/>
    <w:rsid w:val="00F1707E"/>
    <w:rsid w:val="00F22E7F"/>
    <w:rsid w:val="00F23F54"/>
    <w:rsid w:val="00F27039"/>
    <w:rsid w:val="00F270BF"/>
    <w:rsid w:val="00F27838"/>
    <w:rsid w:val="00F30183"/>
    <w:rsid w:val="00F30476"/>
    <w:rsid w:val="00F305F6"/>
    <w:rsid w:val="00F308BF"/>
    <w:rsid w:val="00F312EC"/>
    <w:rsid w:val="00F3258B"/>
    <w:rsid w:val="00F339AD"/>
    <w:rsid w:val="00F33B87"/>
    <w:rsid w:val="00F34287"/>
    <w:rsid w:val="00F342E2"/>
    <w:rsid w:val="00F34E55"/>
    <w:rsid w:val="00F359B5"/>
    <w:rsid w:val="00F36FC9"/>
    <w:rsid w:val="00F401A8"/>
    <w:rsid w:val="00F42AB2"/>
    <w:rsid w:val="00F45B9C"/>
    <w:rsid w:val="00F45E3C"/>
    <w:rsid w:val="00F54902"/>
    <w:rsid w:val="00F5525A"/>
    <w:rsid w:val="00F553C7"/>
    <w:rsid w:val="00F56ECA"/>
    <w:rsid w:val="00F5745A"/>
    <w:rsid w:val="00F57E8C"/>
    <w:rsid w:val="00F60845"/>
    <w:rsid w:val="00F63369"/>
    <w:rsid w:val="00F63899"/>
    <w:rsid w:val="00F671A8"/>
    <w:rsid w:val="00F67BE5"/>
    <w:rsid w:val="00F71906"/>
    <w:rsid w:val="00F71E6B"/>
    <w:rsid w:val="00F71FD3"/>
    <w:rsid w:val="00F7274D"/>
    <w:rsid w:val="00F756D0"/>
    <w:rsid w:val="00F75DD7"/>
    <w:rsid w:val="00F80393"/>
    <w:rsid w:val="00F80CE2"/>
    <w:rsid w:val="00F81C99"/>
    <w:rsid w:val="00F82801"/>
    <w:rsid w:val="00F82B3C"/>
    <w:rsid w:val="00F83133"/>
    <w:rsid w:val="00F8471E"/>
    <w:rsid w:val="00F85E74"/>
    <w:rsid w:val="00F87FCC"/>
    <w:rsid w:val="00F903D1"/>
    <w:rsid w:val="00F90A03"/>
    <w:rsid w:val="00F90D66"/>
    <w:rsid w:val="00F9207A"/>
    <w:rsid w:val="00F935B4"/>
    <w:rsid w:val="00F93D44"/>
    <w:rsid w:val="00F95C0E"/>
    <w:rsid w:val="00F968CA"/>
    <w:rsid w:val="00F96BBB"/>
    <w:rsid w:val="00F96E6A"/>
    <w:rsid w:val="00FA0E64"/>
    <w:rsid w:val="00FA6E0E"/>
    <w:rsid w:val="00FA79BA"/>
    <w:rsid w:val="00FB166C"/>
    <w:rsid w:val="00FB50B2"/>
    <w:rsid w:val="00FB523B"/>
    <w:rsid w:val="00FB6FA7"/>
    <w:rsid w:val="00FB7196"/>
    <w:rsid w:val="00FC22E5"/>
    <w:rsid w:val="00FC2EC6"/>
    <w:rsid w:val="00FC3954"/>
    <w:rsid w:val="00FC4E57"/>
    <w:rsid w:val="00FC53DC"/>
    <w:rsid w:val="00FC55B7"/>
    <w:rsid w:val="00FC5FD6"/>
    <w:rsid w:val="00FC723A"/>
    <w:rsid w:val="00FD110D"/>
    <w:rsid w:val="00FD14EB"/>
    <w:rsid w:val="00FD178B"/>
    <w:rsid w:val="00FD218C"/>
    <w:rsid w:val="00FD3745"/>
    <w:rsid w:val="00FD5AF8"/>
    <w:rsid w:val="00FD6AA4"/>
    <w:rsid w:val="00FE2E63"/>
    <w:rsid w:val="00FE3F71"/>
    <w:rsid w:val="00FE4904"/>
    <w:rsid w:val="00FE5BE7"/>
    <w:rsid w:val="00FF171D"/>
    <w:rsid w:val="00FF3C9E"/>
    <w:rsid w:val="00FF47F0"/>
    <w:rsid w:val="00FF64DB"/>
    <w:rsid w:val="00FF73E4"/>
    <w:rsid w:val="00FF766B"/>
    <w:rsid w:val="00FF7D8A"/>
    <w:rsid w:val="01E97279"/>
    <w:rsid w:val="021C6D4D"/>
    <w:rsid w:val="02A23598"/>
    <w:rsid w:val="030E73CB"/>
    <w:rsid w:val="032936F6"/>
    <w:rsid w:val="032A4C70"/>
    <w:rsid w:val="04C9495C"/>
    <w:rsid w:val="05041D30"/>
    <w:rsid w:val="053D3BB5"/>
    <w:rsid w:val="057D69E2"/>
    <w:rsid w:val="05800A23"/>
    <w:rsid w:val="05950A57"/>
    <w:rsid w:val="07034156"/>
    <w:rsid w:val="07A0617E"/>
    <w:rsid w:val="0AD007F3"/>
    <w:rsid w:val="0B080929"/>
    <w:rsid w:val="0B630DDE"/>
    <w:rsid w:val="0B7D4ED7"/>
    <w:rsid w:val="0BAD5843"/>
    <w:rsid w:val="0DE50D7C"/>
    <w:rsid w:val="0DF20A80"/>
    <w:rsid w:val="0F032044"/>
    <w:rsid w:val="0F111C74"/>
    <w:rsid w:val="0F4C1435"/>
    <w:rsid w:val="102C480D"/>
    <w:rsid w:val="103A5EEF"/>
    <w:rsid w:val="107F36CE"/>
    <w:rsid w:val="11D56F8D"/>
    <w:rsid w:val="129B20D8"/>
    <w:rsid w:val="13DA0EB3"/>
    <w:rsid w:val="1421626D"/>
    <w:rsid w:val="14A26217"/>
    <w:rsid w:val="157372D2"/>
    <w:rsid w:val="16B458A5"/>
    <w:rsid w:val="16BA73B4"/>
    <w:rsid w:val="16E536EF"/>
    <w:rsid w:val="178A184D"/>
    <w:rsid w:val="17F804C8"/>
    <w:rsid w:val="18571397"/>
    <w:rsid w:val="18B611F5"/>
    <w:rsid w:val="190068CF"/>
    <w:rsid w:val="19B27315"/>
    <w:rsid w:val="1C8E5E18"/>
    <w:rsid w:val="1C956D37"/>
    <w:rsid w:val="1CF939F3"/>
    <w:rsid w:val="1E562C25"/>
    <w:rsid w:val="1EAB1C04"/>
    <w:rsid w:val="1F901064"/>
    <w:rsid w:val="20241237"/>
    <w:rsid w:val="20495B0A"/>
    <w:rsid w:val="21261724"/>
    <w:rsid w:val="21B0162B"/>
    <w:rsid w:val="223119FD"/>
    <w:rsid w:val="22B01A57"/>
    <w:rsid w:val="238103C1"/>
    <w:rsid w:val="23A45F21"/>
    <w:rsid w:val="24137107"/>
    <w:rsid w:val="243A07DB"/>
    <w:rsid w:val="2583016A"/>
    <w:rsid w:val="258A48BE"/>
    <w:rsid w:val="25BE0023"/>
    <w:rsid w:val="25E5250A"/>
    <w:rsid w:val="26053EB3"/>
    <w:rsid w:val="26513373"/>
    <w:rsid w:val="269F1FF9"/>
    <w:rsid w:val="26E85BC3"/>
    <w:rsid w:val="27D9061A"/>
    <w:rsid w:val="27F272B5"/>
    <w:rsid w:val="27F31520"/>
    <w:rsid w:val="29931E19"/>
    <w:rsid w:val="2A2F00EE"/>
    <w:rsid w:val="2A7A7E2D"/>
    <w:rsid w:val="2B1327C6"/>
    <w:rsid w:val="2B1541E7"/>
    <w:rsid w:val="2B863BBC"/>
    <w:rsid w:val="2B983CA3"/>
    <w:rsid w:val="2C6243BB"/>
    <w:rsid w:val="2CBD46FE"/>
    <w:rsid w:val="2CF92F55"/>
    <w:rsid w:val="2D3B11DE"/>
    <w:rsid w:val="2ED14413"/>
    <w:rsid w:val="2F087DC3"/>
    <w:rsid w:val="2F593F96"/>
    <w:rsid w:val="30D90475"/>
    <w:rsid w:val="315F4B0F"/>
    <w:rsid w:val="31E55B89"/>
    <w:rsid w:val="31E81A6A"/>
    <w:rsid w:val="323D5CE0"/>
    <w:rsid w:val="34202321"/>
    <w:rsid w:val="346039F4"/>
    <w:rsid w:val="35BC7697"/>
    <w:rsid w:val="36154BBA"/>
    <w:rsid w:val="38370E25"/>
    <w:rsid w:val="38586A6E"/>
    <w:rsid w:val="38622F16"/>
    <w:rsid w:val="38624702"/>
    <w:rsid w:val="38C46461"/>
    <w:rsid w:val="3A790FC2"/>
    <w:rsid w:val="3B42216A"/>
    <w:rsid w:val="3CAD4CD2"/>
    <w:rsid w:val="3F5A5E14"/>
    <w:rsid w:val="3F7667BD"/>
    <w:rsid w:val="40222C43"/>
    <w:rsid w:val="40F26FB0"/>
    <w:rsid w:val="4128784F"/>
    <w:rsid w:val="417377D2"/>
    <w:rsid w:val="426B5D8B"/>
    <w:rsid w:val="42DD30EA"/>
    <w:rsid w:val="431E6016"/>
    <w:rsid w:val="43364782"/>
    <w:rsid w:val="43AA2C88"/>
    <w:rsid w:val="43CE7653"/>
    <w:rsid w:val="43D47D05"/>
    <w:rsid w:val="43D67F21"/>
    <w:rsid w:val="44820A25"/>
    <w:rsid w:val="44E91969"/>
    <w:rsid w:val="45346C28"/>
    <w:rsid w:val="455230E7"/>
    <w:rsid w:val="45D958B6"/>
    <w:rsid w:val="480119CF"/>
    <w:rsid w:val="4866712F"/>
    <w:rsid w:val="4867383D"/>
    <w:rsid w:val="48BB14A6"/>
    <w:rsid w:val="490073E8"/>
    <w:rsid w:val="49615088"/>
    <w:rsid w:val="49F730C9"/>
    <w:rsid w:val="4A1632D1"/>
    <w:rsid w:val="4B5135E7"/>
    <w:rsid w:val="4C5E6928"/>
    <w:rsid w:val="4C894DFB"/>
    <w:rsid w:val="4D2A5E68"/>
    <w:rsid w:val="4DE52E32"/>
    <w:rsid w:val="4E077B10"/>
    <w:rsid w:val="4EDD3F5D"/>
    <w:rsid w:val="4EDD44AD"/>
    <w:rsid w:val="4F961996"/>
    <w:rsid w:val="50666188"/>
    <w:rsid w:val="51255170"/>
    <w:rsid w:val="51624BA2"/>
    <w:rsid w:val="51E52971"/>
    <w:rsid w:val="51F14779"/>
    <w:rsid w:val="52740606"/>
    <w:rsid w:val="53125963"/>
    <w:rsid w:val="54A17506"/>
    <w:rsid w:val="54A92AE8"/>
    <w:rsid w:val="54B716A8"/>
    <w:rsid w:val="55637075"/>
    <w:rsid w:val="55D450FB"/>
    <w:rsid w:val="564D5FC7"/>
    <w:rsid w:val="571070B5"/>
    <w:rsid w:val="575974EA"/>
    <w:rsid w:val="589113DD"/>
    <w:rsid w:val="58BE2B52"/>
    <w:rsid w:val="5933000A"/>
    <w:rsid w:val="5AA951FB"/>
    <w:rsid w:val="5AE00D43"/>
    <w:rsid w:val="5B09785F"/>
    <w:rsid w:val="5B2C336A"/>
    <w:rsid w:val="5B306813"/>
    <w:rsid w:val="5B4158B4"/>
    <w:rsid w:val="5B58593B"/>
    <w:rsid w:val="5BE44133"/>
    <w:rsid w:val="5C44724A"/>
    <w:rsid w:val="5C7E292D"/>
    <w:rsid w:val="5D07748F"/>
    <w:rsid w:val="5D3B6BA3"/>
    <w:rsid w:val="5D852344"/>
    <w:rsid w:val="5D8D3742"/>
    <w:rsid w:val="5DC97F66"/>
    <w:rsid w:val="5ECE61CF"/>
    <w:rsid w:val="5F76042F"/>
    <w:rsid w:val="5F846534"/>
    <w:rsid w:val="604A3BA4"/>
    <w:rsid w:val="609E371C"/>
    <w:rsid w:val="613E678C"/>
    <w:rsid w:val="615C4D74"/>
    <w:rsid w:val="62151FC7"/>
    <w:rsid w:val="62AB6CDD"/>
    <w:rsid w:val="62CB0B21"/>
    <w:rsid w:val="62FD5F8C"/>
    <w:rsid w:val="64C708FC"/>
    <w:rsid w:val="64D94D23"/>
    <w:rsid w:val="65B634A1"/>
    <w:rsid w:val="65D9454D"/>
    <w:rsid w:val="660D28EF"/>
    <w:rsid w:val="668D44AD"/>
    <w:rsid w:val="66AE6241"/>
    <w:rsid w:val="6702535E"/>
    <w:rsid w:val="671D183F"/>
    <w:rsid w:val="6807406E"/>
    <w:rsid w:val="683D381B"/>
    <w:rsid w:val="68BB67E1"/>
    <w:rsid w:val="690A2DCA"/>
    <w:rsid w:val="69486ADB"/>
    <w:rsid w:val="6A4E526C"/>
    <w:rsid w:val="6AC8063E"/>
    <w:rsid w:val="6ACB5AC8"/>
    <w:rsid w:val="6B1C23D3"/>
    <w:rsid w:val="6B1C3E67"/>
    <w:rsid w:val="6CBF7D74"/>
    <w:rsid w:val="6CC848AC"/>
    <w:rsid w:val="6E776E55"/>
    <w:rsid w:val="6EE52976"/>
    <w:rsid w:val="6F393B8A"/>
    <w:rsid w:val="6F4767E1"/>
    <w:rsid w:val="6FC446FE"/>
    <w:rsid w:val="6FD607E4"/>
    <w:rsid w:val="70360599"/>
    <w:rsid w:val="70B84386"/>
    <w:rsid w:val="70C73A71"/>
    <w:rsid w:val="7220221E"/>
    <w:rsid w:val="730C3E0A"/>
    <w:rsid w:val="732B5C00"/>
    <w:rsid w:val="73B02CDB"/>
    <w:rsid w:val="73FA5D53"/>
    <w:rsid w:val="740C55CD"/>
    <w:rsid w:val="742376DC"/>
    <w:rsid w:val="74580397"/>
    <w:rsid w:val="767E7731"/>
    <w:rsid w:val="769D45AE"/>
    <w:rsid w:val="76BB13D7"/>
    <w:rsid w:val="76FB1F6E"/>
    <w:rsid w:val="771A0B81"/>
    <w:rsid w:val="786F0403"/>
    <w:rsid w:val="78BC288B"/>
    <w:rsid w:val="78DB2840"/>
    <w:rsid w:val="78DC26AE"/>
    <w:rsid w:val="793D4148"/>
    <w:rsid w:val="79AD5C0F"/>
    <w:rsid w:val="79DC4CD4"/>
    <w:rsid w:val="7A5421E3"/>
    <w:rsid w:val="7A7255A6"/>
    <w:rsid w:val="7A796645"/>
    <w:rsid w:val="7B193C74"/>
    <w:rsid w:val="7D676F18"/>
    <w:rsid w:val="7D860C2E"/>
    <w:rsid w:val="7E01655E"/>
    <w:rsid w:val="7F296F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4"/>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5"/>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6"/>
    <w:qFormat/>
    <w:uiPriority w:val="0"/>
    <w:pPr>
      <w:shd w:val="clear" w:color="auto" w:fill="000080"/>
    </w:pPr>
    <w:rPr>
      <w:sz w:val="24"/>
      <w:szCs w:val="24"/>
    </w:rPr>
  </w:style>
  <w:style w:type="paragraph" w:styleId="9">
    <w:name w:val="annotation text"/>
    <w:basedOn w:val="1"/>
    <w:link w:val="47"/>
    <w:qFormat/>
    <w:uiPriority w:val="0"/>
    <w:pPr>
      <w:jc w:val="left"/>
    </w:pPr>
  </w:style>
  <w:style w:type="paragraph" w:styleId="10">
    <w:name w:val="Body Text"/>
    <w:basedOn w:val="1"/>
    <w:next w:val="1"/>
    <w:qFormat/>
    <w:uiPriority w:val="0"/>
    <w:rPr>
      <w:rFonts w:ascii="仿宋_GB2312" w:eastAsia="仿宋_GB2312"/>
      <w:sz w:val="32"/>
    </w:rPr>
  </w:style>
  <w:style w:type="paragraph" w:styleId="11">
    <w:name w:val="Body Text Indent"/>
    <w:basedOn w:val="1"/>
    <w:qFormat/>
    <w:uiPriority w:val="0"/>
    <w:pPr>
      <w:spacing w:after="120"/>
      <w:ind w:left="420" w:leftChars="200"/>
    </w:pPr>
  </w:style>
  <w:style w:type="paragraph" w:styleId="12">
    <w:name w:val="toc 5"/>
    <w:basedOn w:val="1"/>
    <w:next w:val="1"/>
    <w:qFormat/>
    <w:uiPriority w:val="0"/>
    <w:pPr>
      <w:ind w:left="960"/>
      <w:jc w:val="left"/>
    </w:pPr>
    <w:rPr>
      <w:sz w:val="18"/>
      <w:szCs w:val="18"/>
    </w:rPr>
  </w:style>
  <w:style w:type="paragraph" w:styleId="13">
    <w:name w:val="toc 3"/>
    <w:basedOn w:val="1"/>
    <w:next w:val="1"/>
    <w:qFormat/>
    <w:uiPriority w:val="0"/>
    <w:pPr>
      <w:ind w:left="480"/>
      <w:jc w:val="left"/>
    </w:pPr>
    <w:rPr>
      <w:i/>
      <w:iCs/>
      <w:sz w:val="20"/>
    </w:rPr>
  </w:style>
  <w:style w:type="paragraph" w:styleId="14">
    <w:name w:val="Plain Text"/>
    <w:basedOn w:val="1"/>
    <w:link w:val="48"/>
    <w:qFormat/>
    <w:uiPriority w:val="0"/>
    <w:rPr>
      <w:rFonts w:ascii="宋体" w:hAnsi="Courier New"/>
    </w:rPr>
  </w:style>
  <w:style w:type="paragraph" w:styleId="15">
    <w:name w:val="toc 8"/>
    <w:basedOn w:val="1"/>
    <w:next w:val="1"/>
    <w:qFormat/>
    <w:uiPriority w:val="0"/>
    <w:pPr>
      <w:ind w:left="1680"/>
      <w:jc w:val="left"/>
    </w:pPr>
    <w:rPr>
      <w:sz w:val="18"/>
      <w:szCs w:val="18"/>
    </w:rPr>
  </w:style>
  <w:style w:type="paragraph" w:styleId="16">
    <w:name w:val="Date"/>
    <w:basedOn w:val="1"/>
    <w:next w:val="1"/>
    <w:link w:val="53"/>
    <w:qFormat/>
    <w:uiPriority w:val="0"/>
    <w:pPr>
      <w:ind w:left="100" w:leftChars="2500"/>
    </w:pPr>
    <w:rPr>
      <w:sz w:val="24"/>
      <w:szCs w:val="24"/>
    </w:rPr>
  </w:style>
  <w:style w:type="paragraph" w:styleId="17">
    <w:name w:val="Body Text Indent 2"/>
    <w:basedOn w:val="1"/>
    <w:link w:val="46"/>
    <w:qFormat/>
    <w:uiPriority w:val="0"/>
    <w:pPr>
      <w:spacing w:after="120" w:line="480" w:lineRule="auto"/>
      <w:ind w:left="420" w:leftChars="200"/>
    </w:pPr>
  </w:style>
  <w:style w:type="paragraph" w:styleId="18">
    <w:name w:val="Balloon Text"/>
    <w:basedOn w:val="1"/>
    <w:link w:val="51"/>
    <w:qFormat/>
    <w:uiPriority w:val="0"/>
    <w:rPr>
      <w:sz w:val="18"/>
      <w:szCs w:val="18"/>
    </w:rPr>
  </w:style>
  <w:style w:type="paragraph" w:styleId="19">
    <w:name w:val="footer"/>
    <w:basedOn w:val="1"/>
    <w:link w:val="77"/>
    <w:qFormat/>
    <w:uiPriority w:val="99"/>
    <w:pPr>
      <w:tabs>
        <w:tab w:val="center" w:pos="4153"/>
        <w:tab w:val="right" w:pos="8306"/>
      </w:tabs>
      <w:snapToGrid w:val="0"/>
      <w:jc w:val="left"/>
    </w:pPr>
    <w:rPr>
      <w:sz w:val="18"/>
      <w:szCs w:val="18"/>
    </w:rPr>
  </w:style>
  <w:style w:type="paragraph" w:styleId="20">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pPr>
      <w:spacing w:line="360" w:lineRule="auto"/>
      <w:jc w:val="left"/>
    </w:pPr>
    <w:rPr>
      <w:rFonts w:ascii="宋体" w:hAnsi="宋体"/>
      <w:b/>
      <w:caps/>
      <w:color w:val="FF0000"/>
      <w:szCs w:val="21"/>
    </w:rPr>
  </w:style>
  <w:style w:type="paragraph" w:styleId="22">
    <w:name w:val="toc 4"/>
    <w:basedOn w:val="1"/>
    <w:next w:val="1"/>
    <w:qFormat/>
    <w:uiPriority w:val="0"/>
    <w:pPr>
      <w:ind w:left="720"/>
      <w:jc w:val="left"/>
    </w:pPr>
    <w:rPr>
      <w:sz w:val="18"/>
      <w:szCs w:val="18"/>
    </w:rPr>
  </w:style>
  <w:style w:type="paragraph" w:styleId="23">
    <w:name w:val="toc 6"/>
    <w:basedOn w:val="1"/>
    <w:next w:val="1"/>
    <w:qFormat/>
    <w:uiPriority w:val="0"/>
    <w:pPr>
      <w:ind w:left="1200"/>
      <w:jc w:val="left"/>
    </w:pPr>
    <w:rPr>
      <w:sz w:val="18"/>
      <w:szCs w:val="18"/>
    </w:rPr>
  </w:style>
  <w:style w:type="paragraph" w:styleId="24">
    <w:name w:val="Body Text Indent 3"/>
    <w:basedOn w:val="1"/>
    <w:link w:val="57"/>
    <w:qFormat/>
    <w:uiPriority w:val="0"/>
    <w:pPr>
      <w:spacing w:after="120"/>
      <w:ind w:left="420" w:leftChars="200"/>
    </w:pPr>
    <w:rPr>
      <w:sz w:val="16"/>
      <w:szCs w:val="16"/>
    </w:rPr>
  </w:style>
  <w:style w:type="paragraph" w:styleId="25">
    <w:name w:val="toc 2"/>
    <w:basedOn w:val="1"/>
    <w:next w:val="1"/>
    <w:unhideWhenUsed/>
    <w:qFormat/>
    <w:uiPriority w:val="0"/>
    <w:pPr>
      <w:ind w:left="420" w:leftChars="200"/>
    </w:pPr>
  </w:style>
  <w:style w:type="paragraph" w:styleId="26">
    <w:name w:val="toc 9"/>
    <w:basedOn w:val="1"/>
    <w:next w:val="1"/>
    <w:qFormat/>
    <w:uiPriority w:val="0"/>
    <w:pPr>
      <w:ind w:left="1920"/>
      <w:jc w:val="left"/>
    </w:pPr>
    <w:rPr>
      <w:sz w:val="18"/>
      <w:szCs w:val="18"/>
    </w:rPr>
  </w:style>
  <w:style w:type="paragraph" w:styleId="27">
    <w:name w:val="index 1"/>
    <w:basedOn w:val="1"/>
    <w:next w:val="1"/>
    <w:qFormat/>
    <w:uiPriority w:val="0"/>
    <w:rPr>
      <w:sz w:val="24"/>
      <w:szCs w:val="24"/>
    </w:rPr>
  </w:style>
  <w:style w:type="paragraph" w:styleId="28">
    <w:name w:val="Title"/>
    <w:basedOn w:val="1"/>
    <w:next w:val="1"/>
    <w:link w:val="55"/>
    <w:qFormat/>
    <w:uiPriority w:val="0"/>
    <w:pPr>
      <w:spacing w:before="160" w:after="40" w:line="0" w:lineRule="atLeast"/>
      <w:ind w:left="425" w:hanging="425"/>
      <w:jc w:val="left"/>
      <w:outlineLvl w:val="0"/>
    </w:pPr>
    <w:rPr>
      <w:rFonts w:ascii="Arial" w:hAnsi="Arial"/>
      <w:b/>
      <w:bCs/>
      <w:sz w:val="32"/>
      <w:szCs w:val="32"/>
    </w:rPr>
  </w:style>
  <w:style w:type="paragraph" w:styleId="29">
    <w:name w:val="annotation subject"/>
    <w:basedOn w:val="9"/>
    <w:next w:val="9"/>
    <w:link w:val="59"/>
    <w:qFormat/>
    <w:uiPriority w:val="0"/>
    <w:rPr>
      <w:b/>
      <w:bCs/>
    </w:rPr>
  </w:style>
  <w:style w:type="paragraph" w:styleId="30">
    <w:name w:val="Body Text First Indent 2"/>
    <w:basedOn w:val="11"/>
    <w:qFormat/>
    <w:uiPriority w:val="0"/>
    <w:pPr>
      <w:ind w:firstLine="420" w:firstLineChars="200"/>
    </w:p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basedOn w:val="33"/>
    <w:qFormat/>
    <w:uiPriority w:val="0"/>
    <w:rPr>
      <w:b/>
    </w:rPr>
  </w:style>
  <w:style w:type="character" w:styleId="35">
    <w:name w:val="page number"/>
    <w:basedOn w:val="33"/>
    <w:qFormat/>
    <w:uiPriority w:val="0"/>
  </w:style>
  <w:style w:type="character" w:styleId="36">
    <w:name w:val="FollowedHyperlink"/>
    <w:qFormat/>
    <w:uiPriority w:val="0"/>
    <w:rPr>
      <w:color w:val="800080"/>
      <w:u w:val="single"/>
    </w:rPr>
  </w:style>
  <w:style w:type="character" w:styleId="37">
    <w:name w:val="HTML Definition"/>
    <w:basedOn w:val="33"/>
    <w:qFormat/>
    <w:uiPriority w:val="0"/>
    <w:rPr>
      <w:i/>
    </w:rPr>
  </w:style>
  <w:style w:type="character" w:styleId="38">
    <w:name w:val="Hyperlink"/>
    <w:qFormat/>
    <w:uiPriority w:val="0"/>
    <w:rPr>
      <w:rFonts w:cs="Times New Roman"/>
      <w:color w:val="1F4F88"/>
      <w:u w:val="none"/>
    </w:rPr>
  </w:style>
  <w:style w:type="character" w:styleId="39">
    <w:name w:val="HTML Code"/>
    <w:basedOn w:val="33"/>
    <w:qFormat/>
    <w:uiPriority w:val="0"/>
    <w:rPr>
      <w:rFonts w:ascii="Consolas" w:hAnsi="Consolas" w:eastAsia="Consolas" w:cs="Consolas"/>
      <w:color w:val="C7254E"/>
      <w:sz w:val="21"/>
      <w:szCs w:val="21"/>
      <w:shd w:val="clear" w:fill="F9F2F4"/>
    </w:rPr>
  </w:style>
  <w:style w:type="character" w:styleId="40">
    <w:name w:val="annotation reference"/>
    <w:basedOn w:val="33"/>
    <w:qFormat/>
    <w:uiPriority w:val="0"/>
    <w:rPr>
      <w:sz w:val="21"/>
      <w:szCs w:val="21"/>
    </w:rPr>
  </w:style>
  <w:style w:type="character" w:styleId="41">
    <w:name w:val="HTML Keyboard"/>
    <w:basedOn w:val="33"/>
    <w:qFormat/>
    <w:uiPriority w:val="0"/>
    <w:rPr>
      <w:rFonts w:hint="default" w:ascii="Consolas" w:hAnsi="Consolas" w:eastAsia="Consolas" w:cs="Consolas"/>
      <w:color w:val="FFFFFF"/>
      <w:sz w:val="21"/>
      <w:szCs w:val="21"/>
      <w:shd w:val="clear" w:fill="333333"/>
    </w:rPr>
  </w:style>
  <w:style w:type="character" w:styleId="42">
    <w:name w:val="HTML Sample"/>
    <w:basedOn w:val="33"/>
    <w:qFormat/>
    <w:uiPriority w:val="0"/>
    <w:rPr>
      <w:rFonts w:hint="default" w:ascii="Consolas" w:hAnsi="Consolas" w:eastAsia="Consolas" w:cs="Consolas"/>
      <w:sz w:val="21"/>
      <w:szCs w:val="21"/>
    </w:rPr>
  </w:style>
  <w:style w:type="paragraph" w:customStyle="1" w:styleId="4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4">
    <w:name w:val="标题 1 Char"/>
    <w:link w:val="2"/>
    <w:qFormat/>
    <w:uiPriority w:val="0"/>
    <w:rPr>
      <w:b/>
      <w:bCs/>
      <w:kern w:val="44"/>
      <w:sz w:val="44"/>
      <w:szCs w:val="44"/>
    </w:rPr>
  </w:style>
  <w:style w:type="character" w:customStyle="1" w:styleId="45">
    <w:name w:val="标题 2 Char"/>
    <w:link w:val="3"/>
    <w:qFormat/>
    <w:uiPriority w:val="0"/>
    <w:rPr>
      <w:rFonts w:ascii="Arial" w:hAnsi="Arial" w:eastAsia="黑体"/>
      <w:b/>
      <w:bCs/>
      <w:kern w:val="2"/>
      <w:sz w:val="32"/>
      <w:szCs w:val="32"/>
    </w:rPr>
  </w:style>
  <w:style w:type="character" w:customStyle="1" w:styleId="46">
    <w:name w:val="正文文本缩进 2 Char"/>
    <w:link w:val="17"/>
    <w:qFormat/>
    <w:uiPriority w:val="0"/>
    <w:rPr>
      <w:kern w:val="2"/>
      <w:sz w:val="21"/>
    </w:rPr>
  </w:style>
  <w:style w:type="character" w:customStyle="1" w:styleId="47">
    <w:name w:val="批注文字 Char"/>
    <w:link w:val="9"/>
    <w:qFormat/>
    <w:uiPriority w:val="0"/>
    <w:rPr>
      <w:kern w:val="2"/>
      <w:sz w:val="21"/>
    </w:rPr>
  </w:style>
  <w:style w:type="character" w:customStyle="1" w:styleId="48">
    <w:name w:val="纯文本 Char1"/>
    <w:link w:val="14"/>
    <w:qFormat/>
    <w:uiPriority w:val="0"/>
    <w:rPr>
      <w:rFonts w:ascii="宋体" w:hAnsi="Courier New" w:eastAsia="宋体"/>
      <w:kern w:val="2"/>
      <w:sz w:val="21"/>
      <w:lang w:val="en-US" w:eastAsia="zh-CN" w:bidi="ar-SA"/>
    </w:rPr>
  </w:style>
  <w:style w:type="character" w:customStyle="1" w:styleId="49">
    <w:name w:val="Char Char3"/>
    <w:qFormat/>
    <w:uiPriority w:val="0"/>
    <w:rPr>
      <w:rFonts w:ascii="宋体" w:hAnsi="Courier New" w:eastAsia="宋体"/>
      <w:kern w:val="2"/>
      <w:sz w:val="21"/>
      <w:lang w:val="en-US" w:eastAsia="zh-CN" w:bidi="ar-SA"/>
    </w:rPr>
  </w:style>
  <w:style w:type="character" w:customStyle="1" w:styleId="50">
    <w:name w:val="apple-converted-space"/>
    <w:basedOn w:val="33"/>
    <w:qFormat/>
    <w:uiPriority w:val="0"/>
  </w:style>
  <w:style w:type="character" w:customStyle="1" w:styleId="51">
    <w:name w:val="批注框文本 Char"/>
    <w:link w:val="18"/>
    <w:qFormat/>
    <w:uiPriority w:val="0"/>
    <w:rPr>
      <w:kern w:val="2"/>
      <w:sz w:val="18"/>
      <w:szCs w:val="18"/>
    </w:rPr>
  </w:style>
  <w:style w:type="character" w:customStyle="1" w:styleId="52">
    <w:name w:val="Char Char5"/>
    <w:qFormat/>
    <w:uiPriority w:val="0"/>
    <w:rPr>
      <w:rFonts w:ascii="宋体" w:hAnsi="Courier New" w:eastAsia="宋体"/>
      <w:kern w:val="2"/>
      <w:sz w:val="21"/>
      <w:lang w:val="en-US" w:eastAsia="zh-CN" w:bidi="ar-SA"/>
    </w:rPr>
  </w:style>
  <w:style w:type="character" w:customStyle="1" w:styleId="53">
    <w:name w:val="日期 Char"/>
    <w:link w:val="16"/>
    <w:qFormat/>
    <w:uiPriority w:val="0"/>
    <w:rPr>
      <w:kern w:val="2"/>
      <w:sz w:val="24"/>
      <w:szCs w:val="24"/>
    </w:rPr>
  </w:style>
  <w:style w:type="character" w:customStyle="1" w:styleId="54">
    <w:name w:val="纯文本 Char"/>
    <w:qFormat/>
    <w:uiPriority w:val="0"/>
    <w:rPr>
      <w:rFonts w:ascii="宋体" w:hAnsi="Courier New" w:eastAsia="宋体"/>
      <w:kern w:val="2"/>
      <w:sz w:val="21"/>
      <w:lang w:val="en-US" w:eastAsia="zh-CN" w:bidi="ar-SA"/>
    </w:rPr>
  </w:style>
  <w:style w:type="character" w:customStyle="1" w:styleId="55">
    <w:name w:val="标题 Char"/>
    <w:link w:val="28"/>
    <w:qFormat/>
    <w:uiPriority w:val="0"/>
    <w:rPr>
      <w:rFonts w:ascii="Arial" w:hAnsi="Arial" w:cs="Arial"/>
      <w:b/>
      <w:bCs/>
      <w:kern w:val="2"/>
      <w:sz w:val="32"/>
      <w:szCs w:val="32"/>
    </w:rPr>
  </w:style>
  <w:style w:type="character" w:customStyle="1" w:styleId="56">
    <w:name w:val="文档结构图 Char"/>
    <w:link w:val="8"/>
    <w:qFormat/>
    <w:uiPriority w:val="0"/>
    <w:rPr>
      <w:kern w:val="2"/>
      <w:sz w:val="24"/>
      <w:szCs w:val="24"/>
      <w:shd w:val="clear" w:color="auto" w:fill="000080"/>
    </w:rPr>
  </w:style>
  <w:style w:type="character" w:customStyle="1" w:styleId="57">
    <w:name w:val="正文文本缩进 3 Char"/>
    <w:link w:val="24"/>
    <w:qFormat/>
    <w:uiPriority w:val="0"/>
    <w:rPr>
      <w:kern w:val="2"/>
      <w:sz w:val="16"/>
      <w:szCs w:val="16"/>
    </w:rPr>
  </w:style>
  <w:style w:type="character" w:customStyle="1" w:styleId="58">
    <w:name w:val="页眉 Char"/>
    <w:link w:val="20"/>
    <w:qFormat/>
    <w:uiPriority w:val="99"/>
    <w:rPr>
      <w:rFonts w:eastAsia="宋体"/>
      <w:kern w:val="2"/>
      <w:sz w:val="18"/>
      <w:szCs w:val="18"/>
      <w:lang w:val="en-US" w:eastAsia="zh-CN" w:bidi="ar-SA"/>
    </w:rPr>
  </w:style>
  <w:style w:type="character" w:customStyle="1" w:styleId="59">
    <w:name w:val="批注主题 Char"/>
    <w:link w:val="29"/>
    <w:qFormat/>
    <w:uiPriority w:val="0"/>
    <w:rPr>
      <w:b/>
      <w:bCs/>
      <w:kern w:val="2"/>
      <w:sz w:val="21"/>
    </w:rPr>
  </w:style>
  <w:style w:type="character" w:customStyle="1" w:styleId="60">
    <w:name w:val="HTML Markup"/>
    <w:qFormat/>
    <w:uiPriority w:val="0"/>
    <w:rPr>
      <w:vanish/>
      <w:color w:val="FF0000"/>
    </w:rPr>
  </w:style>
  <w:style w:type="character" w:customStyle="1" w:styleId="61">
    <w:name w:val="Char Char2"/>
    <w:qFormat/>
    <w:uiPriority w:val="0"/>
    <w:rPr>
      <w:rFonts w:ascii="宋体" w:hAnsi="Courier New" w:cs="宋体"/>
      <w:kern w:val="2"/>
      <w:sz w:val="21"/>
      <w:szCs w:val="21"/>
    </w:rPr>
  </w:style>
  <w:style w:type="paragraph" w:customStyle="1" w:styleId="6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1列"/>
    <w:basedOn w:val="1"/>
    <w:qFormat/>
    <w:uiPriority w:val="0"/>
    <w:pPr>
      <w:spacing w:line="360" w:lineRule="auto"/>
      <w:ind w:left="401" w:hanging="401" w:hangingChars="191"/>
    </w:pPr>
    <w:rPr>
      <w:szCs w:val="24"/>
    </w:rPr>
  </w:style>
  <w:style w:type="paragraph" w:customStyle="1" w:styleId="65">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67">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68">
    <w:name w:val="列出段落1"/>
    <w:basedOn w:val="1"/>
    <w:qFormat/>
    <w:uiPriority w:val="0"/>
    <w:pPr>
      <w:ind w:firstLine="420" w:firstLineChars="200"/>
    </w:pPr>
    <w:rPr>
      <w:rFonts w:ascii="Calibri" w:hAnsi="Calibri"/>
      <w:szCs w:val="22"/>
    </w:rPr>
  </w:style>
  <w:style w:type="paragraph" w:customStyle="1" w:styleId="69">
    <w:name w:val="Char Char Char Char Char Char Char"/>
    <w:basedOn w:val="1"/>
    <w:qFormat/>
    <w:uiPriority w:val="0"/>
    <w:rPr>
      <w:rFonts w:ascii="Verdana" w:hAnsi="Verdana"/>
      <w:kern w:val="0"/>
      <w:sz w:val="20"/>
      <w:lang w:eastAsia="en-US"/>
    </w:rPr>
  </w:style>
  <w:style w:type="paragraph" w:customStyle="1" w:styleId="70">
    <w:name w:val="二级列表 Char"/>
    <w:basedOn w:val="1"/>
    <w:qFormat/>
    <w:uiPriority w:val="0"/>
    <w:rPr>
      <w:rFonts w:ascii="Calibri" w:hAnsi="Calibri"/>
    </w:rPr>
  </w:style>
  <w:style w:type="paragraph" w:customStyle="1" w:styleId="71">
    <w:name w:val="BODY TEXT"/>
    <w:basedOn w:val="1"/>
    <w:link w:val="72"/>
    <w:qFormat/>
    <w:uiPriority w:val="0"/>
    <w:pPr>
      <w:adjustRightInd w:val="0"/>
      <w:spacing w:before="120" w:afterLines="50" w:line="280" w:lineRule="atLeast"/>
      <w:textAlignment w:val="baseline"/>
    </w:pPr>
    <w:rPr>
      <w:rFonts w:eastAsia="新宋体"/>
      <w:szCs w:val="21"/>
    </w:rPr>
  </w:style>
  <w:style w:type="character" w:customStyle="1" w:styleId="72">
    <w:name w:val="BODY TEXT Char"/>
    <w:link w:val="71"/>
    <w:qFormat/>
    <w:uiPriority w:val="0"/>
    <w:rPr>
      <w:rFonts w:eastAsia="新宋体"/>
      <w:kern w:val="2"/>
      <w:sz w:val="21"/>
      <w:szCs w:val="21"/>
    </w:rPr>
  </w:style>
  <w:style w:type="character" w:customStyle="1" w:styleId="73">
    <w:name w:val="纯文本 字符"/>
    <w:qFormat/>
    <w:uiPriority w:val="0"/>
    <w:rPr>
      <w:rFonts w:ascii="宋体" w:hAnsi="Courier New" w:eastAsia="宋体"/>
      <w:kern w:val="2"/>
      <w:sz w:val="21"/>
      <w:lang w:val="en-US" w:eastAsia="zh-CN" w:bidi="ar-SA"/>
    </w:rPr>
  </w:style>
  <w:style w:type="paragraph" w:customStyle="1" w:styleId="74">
    <w:name w:val="Tabelle"/>
    <w:basedOn w:val="1"/>
    <w:qFormat/>
    <w:uiPriority w:val="0"/>
    <w:pPr>
      <w:widowControl/>
      <w:spacing w:before="40" w:after="40"/>
      <w:jc w:val="left"/>
    </w:pPr>
    <w:rPr>
      <w:rFonts w:ascii="Arial" w:hAnsi="Arial"/>
      <w:kern w:val="0"/>
      <w:sz w:val="20"/>
      <w:lang w:eastAsia="de-DE"/>
    </w:rPr>
  </w:style>
  <w:style w:type="paragraph" w:customStyle="1" w:styleId="75">
    <w:name w:val="Fließtext"/>
    <w:basedOn w:val="1"/>
    <w:qFormat/>
    <w:uiPriority w:val="0"/>
    <w:pPr>
      <w:widowControl/>
      <w:spacing w:before="40" w:after="40"/>
      <w:jc w:val="left"/>
    </w:pPr>
    <w:rPr>
      <w:rFonts w:ascii="Arial" w:hAnsi="Arial"/>
      <w:kern w:val="0"/>
      <w:sz w:val="20"/>
      <w:lang w:eastAsia="de-DE"/>
    </w:rPr>
  </w:style>
  <w:style w:type="paragraph" w:styleId="76">
    <w:name w:val="List Paragraph"/>
    <w:basedOn w:val="1"/>
    <w:unhideWhenUsed/>
    <w:qFormat/>
    <w:uiPriority w:val="99"/>
    <w:pPr>
      <w:ind w:firstLine="420" w:firstLineChars="200"/>
    </w:pPr>
  </w:style>
  <w:style w:type="character" w:customStyle="1" w:styleId="77">
    <w:name w:val="页脚 Char"/>
    <w:link w:val="19"/>
    <w:qFormat/>
    <w:uiPriority w:val="99"/>
    <w:rPr>
      <w:kern w:val="2"/>
      <w:sz w:val="18"/>
      <w:szCs w:val="18"/>
    </w:rPr>
  </w:style>
  <w:style w:type="paragraph" w:customStyle="1" w:styleId="78">
    <w:name w:val="标书正文格式"/>
    <w:basedOn w:val="14"/>
    <w:qFormat/>
    <w:uiPriority w:val="0"/>
    <w:pPr>
      <w:spacing w:line="360" w:lineRule="auto"/>
      <w:ind w:firstLine="200" w:firstLineChars="200"/>
    </w:pPr>
    <w:rPr>
      <w:rFonts w:hAnsi="宋体"/>
      <w:color w:val="000000"/>
      <w:szCs w:val="24"/>
    </w:rPr>
  </w:style>
  <w:style w:type="paragraph" w:customStyle="1" w:styleId="79">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0">
    <w:name w:val="UserStyle_95"/>
    <w:basedOn w:val="81"/>
    <w:qFormat/>
    <w:uiPriority w:val="0"/>
  </w:style>
  <w:style w:type="paragraph" w:customStyle="1" w:styleId="81">
    <w:name w:val="Heading4"/>
    <w:basedOn w:val="1"/>
    <w:next w:val="1"/>
    <w:qFormat/>
    <w:uiPriority w:val="0"/>
    <w:pPr>
      <w:keepNext/>
      <w:spacing w:before="240" w:after="60"/>
    </w:pPr>
    <w:rPr>
      <w:b/>
      <w:bCs/>
      <w:sz w:val="28"/>
      <w:szCs w:val="28"/>
    </w:rPr>
  </w:style>
  <w:style w:type="character" w:customStyle="1" w:styleId="82">
    <w:name w:val="NormalCharacter"/>
    <w:qFormat/>
    <w:uiPriority w:val="0"/>
  </w:style>
  <w:style w:type="paragraph" w:customStyle="1" w:styleId="83">
    <w:name w:val="TOC 标题1"/>
    <w:basedOn w:val="2"/>
    <w:next w:val="1"/>
    <w:autoRedefine/>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C80CB2-7B62-4DC6-89B2-3D056686466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61</Pages>
  <Words>8370</Words>
  <Characters>8642</Characters>
  <Lines>108</Lines>
  <Paragraphs>30</Paragraphs>
  <TotalTime>0</TotalTime>
  <ScaleCrop>false</ScaleCrop>
  <LinksUpToDate>false</LinksUpToDate>
  <CharactersWithSpaces>8824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2019-11-16T00:44:00Z</dcterms:created>
  <dc:creator>微软用户</dc:creator>
  <cp:lastModifiedBy>刘琦</cp:lastModifiedBy>
  <cp:lastPrinted>2020-12-22T00:46:00Z</cp:lastPrinted>
  <dcterms:modified xsi:type="dcterms:W3CDTF">2026-03-12T08:45:27Z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41002F3CAFE94718AA37BA7EC24E5072_13</vt:lpwstr>
  </property>
  <property fmtid="{D5CDD505-2E9C-101B-9397-08002B2CF9AE}" pid="4" name="KSOTemplateDocerSaveRecord">
    <vt:lpwstr>eyJoZGlkIjoiY2MwMDhmMjE0N2IyYWU2NDcwNjdhZTI1NzI0MjkyYTAiLCJ1c2VySWQiOiI3NzI3NDA3MTYifQ==</vt:lpwstr>
  </property>
</Properties>
</file>