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48"/>
          <w:lang w:val="en-US" w:eastAsia="zh-CN"/>
        </w:rPr>
      </w:pPr>
    </w:p>
    <w:p>
      <w:pPr>
        <w:jc w:val="center"/>
        <w:rPr>
          <w:rFonts w:hint="eastAsia"/>
          <w:b/>
          <w:bCs/>
          <w:sz w:val="56"/>
          <w:szCs w:val="56"/>
          <w:lang w:val="en-US" w:eastAsia="zh-CN"/>
        </w:rPr>
      </w:pPr>
      <w:bookmarkStart w:id="0" w:name="OLE_LINK1"/>
      <w:r>
        <w:rPr>
          <w:rFonts w:hint="eastAsia"/>
          <w:b/>
          <w:bCs/>
          <w:sz w:val="56"/>
          <w:szCs w:val="56"/>
          <w:lang w:val="en-US" w:eastAsia="zh-CN"/>
        </w:rPr>
        <w:t>可燃气体探测器到期更换项目</w:t>
      </w:r>
      <w:bookmarkEnd w:id="0"/>
    </w:p>
    <w:p>
      <w:pPr>
        <w:jc w:val="both"/>
        <w:rPr>
          <w:rFonts w:hint="eastAsia"/>
          <w:sz w:val="48"/>
          <w:szCs w:val="48"/>
        </w:rPr>
      </w:pPr>
    </w:p>
    <w:p>
      <w:pPr>
        <w:jc w:val="center"/>
        <w:rPr>
          <w:rFonts w:hint="eastAsia" w:ascii="黑体" w:hAnsi="宋体" w:eastAsia="黑体"/>
          <w:sz w:val="84"/>
          <w:szCs w:val="84"/>
        </w:rPr>
      </w:pPr>
      <w:r>
        <w:rPr>
          <w:rFonts w:hint="eastAsia" w:ascii="黑体" w:hAnsi="宋体" w:eastAsia="黑体"/>
          <w:sz w:val="84"/>
          <w:szCs w:val="84"/>
        </w:rPr>
        <w:t>招</w:t>
      </w:r>
    </w:p>
    <w:p>
      <w:pPr>
        <w:jc w:val="center"/>
        <w:rPr>
          <w:rFonts w:hint="eastAsia" w:ascii="黑体" w:hAnsi="宋体" w:eastAsia="黑体"/>
          <w:sz w:val="52"/>
          <w:szCs w:val="52"/>
        </w:rPr>
      </w:pPr>
    </w:p>
    <w:p>
      <w:pPr>
        <w:jc w:val="center"/>
        <w:rPr>
          <w:rFonts w:hint="eastAsia" w:ascii="黑体" w:hAnsi="宋体" w:eastAsia="黑体"/>
          <w:sz w:val="84"/>
          <w:szCs w:val="84"/>
        </w:rPr>
      </w:pPr>
      <w:r>
        <w:rPr>
          <w:rFonts w:hint="eastAsia" w:ascii="黑体" w:hAnsi="宋体" w:eastAsia="黑体"/>
          <w:sz w:val="84"/>
          <w:szCs w:val="84"/>
        </w:rPr>
        <w:t>标</w:t>
      </w:r>
    </w:p>
    <w:p>
      <w:pPr>
        <w:jc w:val="center"/>
        <w:rPr>
          <w:rFonts w:hint="eastAsia" w:ascii="黑体" w:hAnsi="宋体" w:eastAsia="黑体"/>
          <w:sz w:val="52"/>
          <w:szCs w:val="52"/>
        </w:rPr>
      </w:pPr>
    </w:p>
    <w:p>
      <w:pPr>
        <w:jc w:val="center"/>
        <w:rPr>
          <w:rFonts w:hint="eastAsia" w:ascii="黑体" w:hAnsi="宋体" w:eastAsia="黑体"/>
          <w:sz w:val="84"/>
          <w:szCs w:val="84"/>
          <w:lang w:val="en-US" w:eastAsia="zh-CN"/>
        </w:rPr>
      </w:pPr>
      <w:r>
        <w:rPr>
          <w:rFonts w:hint="eastAsia" w:ascii="黑体" w:hAnsi="宋体" w:eastAsia="黑体"/>
          <w:sz w:val="84"/>
          <w:szCs w:val="84"/>
          <w:lang w:val="en-US" w:eastAsia="zh-CN"/>
        </w:rPr>
        <w:t>公</w:t>
      </w:r>
    </w:p>
    <w:p>
      <w:pPr>
        <w:jc w:val="center"/>
        <w:rPr>
          <w:rFonts w:hint="eastAsia" w:ascii="黑体" w:hAnsi="宋体" w:eastAsia="黑体"/>
          <w:sz w:val="52"/>
          <w:szCs w:val="52"/>
          <w:lang w:val="en-US" w:eastAsia="zh-CN"/>
        </w:rPr>
      </w:pPr>
    </w:p>
    <w:p>
      <w:pPr>
        <w:jc w:val="center"/>
        <w:rPr>
          <w:rFonts w:hint="eastAsia" w:ascii="黑体" w:hAnsi="宋体" w:eastAsia="黑体"/>
          <w:sz w:val="84"/>
          <w:szCs w:val="84"/>
          <w:lang w:val="en-US" w:eastAsia="zh-CN"/>
        </w:rPr>
      </w:pPr>
      <w:r>
        <w:rPr>
          <w:rFonts w:hint="eastAsia" w:ascii="黑体" w:hAnsi="宋体" w:eastAsia="黑体"/>
          <w:sz w:val="84"/>
          <w:szCs w:val="84"/>
          <w:lang w:val="en-US" w:eastAsia="zh-CN"/>
        </w:rPr>
        <w:t>告</w:t>
      </w:r>
    </w:p>
    <w:p>
      <w:pPr>
        <w:jc w:val="center"/>
        <w:rPr>
          <w:rFonts w:hint="eastAsia" w:ascii="黑体" w:hAnsi="宋体" w:eastAsia="黑体"/>
          <w:sz w:val="52"/>
          <w:szCs w:val="52"/>
          <w:lang w:val="en-US" w:eastAsia="zh-CN"/>
        </w:rPr>
      </w:pPr>
    </w:p>
    <w:p>
      <w:pPr>
        <w:jc w:val="center"/>
        <w:rPr>
          <w:rFonts w:hint="eastAsia" w:ascii="黑体" w:hAnsi="宋体" w:eastAsia="黑体"/>
          <w:sz w:val="52"/>
          <w:szCs w:val="52"/>
          <w:lang w:val="en-US" w:eastAsia="zh-CN"/>
        </w:rPr>
      </w:pPr>
    </w:p>
    <w:p>
      <w:pPr>
        <w:spacing w:line="400" w:lineRule="auto"/>
        <w:ind w:firstLine="1285" w:firstLineChars="400"/>
        <w:rPr>
          <w:rFonts w:hint="eastAsia" w:ascii="仿宋" w:hAnsi="仿宋" w:eastAsia="仿宋" w:cs="仿宋"/>
          <w:b/>
          <w:sz w:val="32"/>
          <w:szCs w:val="32"/>
        </w:rPr>
      </w:pPr>
      <w:r>
        <w:rPr>
          <w:rFonts w:hint="eastAsia" w:ascii="仿宋" w:hAnsi="仿宋" w:eastAsia="仿宋" w:cs="仿宋"/>
          <w:b/>
          <w:sz w:val="32"/>
          <w:szCs w:val="32"/>
        </w:rPr>
        <w:t>招 标 人：中国重汽集团济宁商用车有限公司</w:t>
      </w:r>
    </w:p>
    <w:p>
      <w:pPr>
        <w:spacing w:line="400" w:lineRule="auto"/>
        <w:jc w:val="center"/>
        <w:rPr>
          <w:rFonts w:hint="eastAsia" w:ascii="仿宋" w:hAnsi="仿宋" w:eastAsia="仿宋" w:cs="仿宋"/>
          <w:b/>
          <w:bCs w:val="0"/>
          <w:sz w:val="32"/>
          <w:szCs w:val="32"/>
        </w:rPr>
      </w:pPr>
      <w:r>
        <w:rPr>
          <w:rFonts w:hint="eastAsia" w:ascii="仿宋" w:hAnsi="仿宋" w:eastAsia="仿宋" w:cs="仿宋"/>
          <w:b/>
          <w:bCs w:val="0"/>
          <w:sz w:val="32"/>
          <w:szCs w:val="32"/>
          <w:lang w:val="en-US" w:eastAsia="zh-CN"/>
        </w:rPr>
        <w:t>二零二六</w:t>
      </w:r>
      <w:r>
        <w:rPr>
          <w:rFonts w:hint="eastAsia" w:ascii="仿宋" w:hAnsi="仿宋" w:eastAsia="仿宋" w:cs="仿宋"/>
          <w:b/>
          <w:bCs w:val="0"/>
          <w:sz w:val="32"/>
          <w:szCs w:val="32"/>
        </w:rPr>
        <w:t>年</w:t>
      </w:r>
      <w:r>
        <w:rPr>
          <w:rFonts w:hint="eastAsia" w:ascii="仿宋" w:hAnsi="仿宋" w:eastAsia="仿宋" w:cs="仿宋"/>
          <w:b/>
          <w:bCs w:val="0"/>
          <w:sz w:val="32"/>
          <w:szCs w:val="32"/>
          <w:lang w:val="en-US" w:eastAsia="zh-CN"/>
        </w:rPr>
        <w:t>三</w:t>
      </w:r>
      <w:r>
        <w:rPr>
          <w:rFonts w:hint="eastAsia" w:ascii="仿宋" w:hAnsi="仿宋" w:eastAsia="仿宋" w:cs="仿宋"/>
          <w:b/>
          <w:bCs w:val="0"/>
          <w:sz w:val="32"/>
          <w:szCs w:val="32"/>
        </w:rPr>
        <w:t>月</w:t>
      </w:r>
    </w:p>
    <w:p>
      <w:pPr>
        <w:jc w:val="center"/>
        <w:rPr>
          <w:rFonts w:hint="eastAsia"/>
          <w:sz w:val="48"/>
          <w:szCs w:val="48"/>
        </w:rPr>
      </w:pPr>
    </w:p>
    <w:p>
      <w:pPr>
        <w:jc w:val="both"/>
        <w:rPr>
          <w:b/>
          <w:bCs/>
          <w:lang w:val="zh-CN"/>
        </w:rPr>
      </w:pPr>
    </w:p>
    <w:p>
      <w:pPr>
        <w:jc w:val="center"/>
        <w:rPr>
          <w:b/>
          <w:bCs/>
          <w:lang w:val="zh-CN"/>
        </w:rPr>
      </w:pPr>
    </w:p>
    <w:p>
      <w:pPr>
        <w:jc w:val="center"/>
        <w:rPr>
          <w:b/>
          <w:bCs/>
          <w:lang w:val="zh-CN"/>
        </w:rPr>
      </w:pPr>
    </w:p>
    <w:p>
      <w:pPr>
        <w:jc w:val="center"/>
        <w:rPr>
          <w:b/>
          <w:bCs/>
          <w:lang w:val="zh-CN"/>
        </w:rPr>
      </w:pPr>
    </w:p>
    <w:p>
      <w:pPr>
        <w:adjustRightInd w:val="0"/>
        <w:snapToGrid w:val="0"/>
        <w:spacing w:line="360" w:lineRule="auto"/>
        <w:jc w:val="center"/>
        <w:rPr>
          <w:rFonts w:hint="eastAsia" w:ascii="宋体" w:hAnsi="宋体" w:eastAsia="黑体"/>
          <w:b/>
          <w:sz w:val="36"/>
          <w:szCs w:val="36"/>
          <w:lang w:eastAsia="zh-CN"/>
        </w:rPr>
      </w:pPr>
      <w:r>
        <w:rPr>
          <w:rFonts w:hint="eastAsia" w:ascii="宋体" w:hAnsi="宋体" w:eastAsia="黑体"/>
          <w:b/>
          <w:sz w:val="36"/>
          <w:szCs w:val="36"/>
          <w:lang w:eastAsia="zh-CN"/>
        </w:rPr>
        <w:t>招标公告</w:t>
      </w:r>
    </w:p>
    <w:p>
      <w:pPr>
        <w:pStyle w:val="4"/>
        <w:spacing w:line="360" w:lineRule="auto"/>
        <w:rPr>
          <w:rFonts w:hint="eastAsia" w:ascii="黑体" w:eastAsia="黑体"/>
          <w:b/>
          <w:bCs/>
          <w:sz w:val="28"/>
        </w:rPr>
      </w:pPr>
      <w:r>
        <w:rPr>
          <w:rFonts w:hint="eastAsia" w:ascii="黑体" w:eastAsia="黑体"/>
          <w:b/>
          <w:bCs/>
          <w:sz w:val="28"/>
        </w:rPr>
        <w:t>一、项目名称</w:t>
      </w:r>
    </w:p>
    <w:p>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default" w:ascii="Times New Roman" w:hAnsi="Times New Roman" w:eastAsia="宋体" w:cs="Times New Roman"/>
          <w:szCs w:val="20"/>
          <w:lang w:val="en-US" w:eastAsia="zh-CN"/>
        </w:rPr>
      </w:pPr>
      <w:r>
        <w:rPr>
          <w:rFonts w:hint="eastAsia" w:ascii="Times New Roman" w:hAnsi="Times New Roman" w:eastAsia="宋体" w:cs="Times New Roman"/>
          <w:szCs w:val="20"/>
        </w:rPr>
        <w:t>项目名称：</w:t>
      </w:r>
      <w:r>
        <w:rPr>
          <w:rFonts w:hint="eastAsia" w:ascii="Times New Roman" w:hAnsi="Times New Roman" w:eastAsia="宋体" w:cs="Times New Roman"/>
          <w:szCs w:val="20"/>
          <w:lang w:val="en-US" w:eastAsia="zh-CN"/>
        </w:rPr>
        <w:t>可燃气体探测器到期更换项目</w:t>
      </w:r>
    </w:p>
    <w:p>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eastAsia"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项目编号：ZBGL2026030223</w:t>
      </w:r>
    </w:p>
    <w:p>
      <w:pPr>
        <w:pStyle w:val="4"/>
        <w:spacing w:line="360" w:lineRule="auto"/>
        <w:rPr>
          <w:rFonts w:hint="eastAsia" w:ascii="黑体" w:eastAsia="黑体"/>
          <w:b/>
          <w:bCs/>
          <w:sz w:val="28"/>
        </w:rPr>
      </w:pPr>
      <w:r>
        <w:rPr>
          <w:rFonts w:hint="eastAsia" w:ascii="黑体" w:eastAsia="黑体"/>
          <w:b/>
          <w:bCs/>
          <w:sz w:val="28"/>
        </w:rPr>
        <w:t>二、</w:t>
      </w:r>
      <w:r>
        <w:rPr>
          <w:rFonts w:hint="eastAsia" w:ascii="黑体" w:eastAsia="黑体"/>
          <w:b/>
          <w:bCs/>
          <w:sz w:val="28"/>
          <w:lang w:val="en-US" w:eastAsia="zh-CN"/>
        </w:rPr>
        <w:t>项目</w:t>
      </w:r>
      <w:r>
        <w:rPr>
          <w:rFonts w:hint="eastAsia" w:ascii="黑体" w:eastAsia="黑体"/>
          <w:b/>
          <w:bCs/>
          <w:sz w:val="28"/>
        </w:rPr>
        <w:t>内容</w:t>
      </w:r>
    </w:p>
    <w:p>
      <w:pPr>
        <w:pStyle w:val="4"/>
        <w:spacing w:line="360" w:lineRule="auto"/>
        <w:ind w:firstLine="420" w:firstLineChars="200"/>
        <w:rPr>
          <w:rFonts w:hint="eastAsia" w:ascii="宋体" w:hAnsi="Courier New" w:eastAsia="宋体" w:cs="Times New Roman"/>
        </w:rPr>
      </w:pPr>
      <w:r>
        <w:rPr>
          <w:rFonts w:hint="eastAsia" w:ascii="宋体" w:hAnsi="Courier New" w:eastAsia="宋体" w:cs="Times New Roman"/>
        </w:rPr>
        <w:t>1.招标内容：</w:t>
      </w:r>
    </w:p>
    <w:p>
      <w:pPr>
        <w:pStyle w:val="4"/>
        <w:spacing w:line="360" w:lineRule="auto"/>
        <w:ind w:firstLine="420" w:firstLineChars="200"/>
        <w:rPr>
          <w:rFonts w:hint="eastAsia" w:ascii="宋体" w:hAnsi="Courier New" w:eastAsia="宋体" w:cs="Times New Roman"/>
          <w:lang w:val="en-US" w:eastAsia="zh-CN"/>
        </w:rPr>
      </w:pPr>
      <w:r>
        <w:rPr>
          <w:rFonts w:hint="eastAsia" w:ascii="宋体" w:hAnsi="Courier New" w:eastAsia="宋体" w:cs="Times New Roman"/>
          <w:lang w:val="en-US" w:eastAsia="zh-CN"/>
        </w:rPr>
        <w:t>本次建设主要包括对车架部、车身部可燃气体监测设备进行更换，在危废库新增独立式的有毒有害气体，在一餐厅、三餐厅、车身补漆车间等区域增加独立式可燃气探测器，对厂区内气体探测装置提供为期</w:t>
      </w:r>
      <w:r>
        <w:rPr>
          <w:rFonts w:hint="eastAsia" w:eastAsia="宋体" w:cs="Times New Roman"/>
          <w:lang w:val="en-US" w:eastAsia="zh-CN"/>
        </w:rPr>
        <w:t>当</w:t>
      </w:r>
      <w:r>
        <w:rPr>
          <w:rFonts w:hint="eastAsia" w:ascii="宋体" w:hAnsi="Courier New" w:eastAsia="宋体" w:cs="Times New Roman"/>
          <w:lang w:val="en-US" w:eastAsia="zh-CN"/>
        </w:rPr>
        <w:t>年的检测服务。</w:t>
      </w:r>
    </w:p>
    <w:p>
      <w:pPr>
        <w:pStyle w:val="4"/>
        <w:spacing w:line="360" w:lineRule="auto"/>
        <w:ind w:firstLine="420" w:firstLineChars="200"/>
        <w:rPr>
          <w:rFonts w:hint="eastAsia" w:ascii="宋体" w:hAnsi="Courier New" w:eastAsia="宋体" w:cs="Times New Roman"/>
          <w:lang w:val="en-US" w:eastAsia="zh-CN"/>
        </w:rPr>
      </w:pPr>
      <w:r>
        <w:rPr>
          <w:rFonts w:hint="eastAsia" w:ascii="宋体" w:hAnsi="Courier New" w:eastAsia="宋体" w:cs="Times New Roman"/>
          <w:lang w:val="en-US" w:eastAsia="zh-CN"/>
        </w:rPr>
        <w:t>1</w:t>
      </w:r>
      <w:r>
        <w:rPr>
          <w:rFonts w:hint="eastAsia" w:eastAsia="宋体" w:cs="Times New Roman"/>
          <w:lang w:val="en-US" w:eastAsia="zh-CN"/>
        </w:rPr>
        <w:t>）</w:t>
      </w:r>
      <w:r>
        <w:rPr>
          <w:rFonts w:hint="eastAsia" w:ascii="宋体" w:hAnsi="Courier New" w:eastAsia="宋体" w:cs="Times New Roman"/>
          <w:lang w:val="en-US" w:eastAsia="zh-CN"/>
        </w:rPr>
        <w:t>、拆除原有的可燃气体报警器，在原位置上（除车身二层喷涂车间外）新装可燃气体检测报警器，共安装探测器56套，需要将原有设备拆除、新安装，并且接入原有气体报警主机，设备、线管均为防爆设计。</w:t>
      </w:r>
    </w:p>
    <w:p>
      <w:pPr>
        <w:pStyle w:val="4"/>
        <w:spacing w:line="360" w:lineRule="auto"/>
        <w:ind w:firstLine="420" w:firstLineChars="200"/>
        <w:rPr>
          <w:rFonts w:hint="eastAsia" w:ascii="宋体" w:hAnsi="Courier New" w:eastAsia="宋体" w:cs="Times New Roman"/>
          <w:lang w:val="en-US" w:eastAsia="zh-CN"/>
        </w:rPr>
      </w:pPr>
      <w:r>
        <w:rPr>
          <w:rFonts w:hint="eastAsia" w:ascii="宋体" w:hAnsi="Courier New" w:eastAsia="宋体" w:cs="Times New Roman"/>
          <w:lang w:val="en-US" w:eastAsia="zh-CN"/>
        </w:rPr>
        <w:t>2</w:t>
      </w:r>
      <w:r>
        <w:rPr>
          <w:rFonts w:hint="eastAsia" w:eastAsia="宋体" w:cs="Times New Roman"/>
          <w:lang w:val="en-US" w:eastAsia="zh-CN"/>
        </w:rPr>
        <w:t>）</w:t>
      </w:r>
      <w:r>
        <w:rPr>
          <w:rFonts w:hint="eastAsia" w:ascii="宋体" w:hAnsi="Courier New" w:eastAsia="宋体" w:cs="Times New Roman"/>
          <w:lang w:val="en-US" w:eastAsia="zh-CN"/>
        </w:rPr>
        <w:t>、原有车身二层喷漆车间南北两侧8个气体探测器需要拆除更换，并需要新增10个探测器，所有设备需要从新布线、穿管、安装施工；</w:t>
      </w:r>
    </w:p>
    <w:p>
      <w:pPr>
        <w:jc w:val="center"/>
        <w:rPr>
          <w:rFonts w:ascii="宋体" w:hAnsi="宋体" w:eastAsia="宋体"/>
          <w:sz w:val="28"/>
        </w:rPr>
      </w:pPr>
      <w:r>
        <w:rPr>
          <w:rFonts w:ascii="宋体" w:hAnsi="宋体" w:eastAsia="宋体"/>
          <w:sz w:val="28"/>
        </w:rPr>
        <w:drawing>
          <wp:inline distT="0" distB="0" distL="0" distR="0">
            <wp:extent cx="2113280" cy="2819400"/>
            <wp:effectExtent l="0" t="0" r="7620" b="0"/>
            <wp:docPr id="1" name="图片 1" descr="D:\xwechat_files\hu_6649126494113_eb95\temp\RWTemp\2026-01\03665cda51a9b2df584587a196bd8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xwechat_files\hu_6649126494113_eb95\temp\RWTemp\2026-01\03665cda51a9b2df584587a196bd8e1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124946" cy="2834592"/>
                    </a:xfrm>
                    <a:prstGeom prst="rect">
                      <a:avLst/>
                    </a:prstGeom>
                    <a:noFill/>
                    <a:ln>
                      <a:noFill/>
                    </a:ln>
                  </pic:spPr>
                </pic:pic>
              </a:graphicData>
            </a:graphic>
          </wp:inline>
        </w:drawing>
      </w:r>
    </w:p>
    <w:p>
      <w:pPr>
        <w:ind w:firstLine="420" w:firstLineChars="200"/>
        <w:rPr>
          <w:rFonts w:hint="eastAsia" w:ascii="宋体" w:hAnsi="Courier New" w:eastAsia="宋体" w:cs="Times New Roman"/>
          <w:kern w:val="2"/>
          <w:sz w:val="21"/>
          <w:szCs w:val="24"/>
          <w:lang w:val="en-US" w:eastAsia="zh-CN" w:bidi="ar-SA"/>
        </w:rPr>
      </w:pPr>
      <w:r>
        <w:rPr>
          <w:rFonts w:hint="eastAsia" w:ascii="宋体" w:hAnsi="Courier New" w:eastAsia="宋体" w:cs="Times New Roman"/>
          <w:kern w:val="2"/>
          <w:sz w:val="21"/>
          <w:szCs w:val="24"/>
          <w:lang w:val="en-US" w:eastAsia="zh-CN" w:bidi="ar-SA"/>
        </w:rPr>
        <w:t>3）、在危废库新增有毒有害气体报警设备4个，该设备需满足防爆设计，并采用无线方式接入公司信息化平台中。</w:t>
      </w:r>
    </w:p>
    <w:p>
      <w:pPr>
        <w:ind w:firstLine="420" w:firstLineChars="200"/>
        <w:rPr>
          <w:rFonts w:hint="eastAsia" w:ascii="宋体" w:hAnsi="Courier New" w:eastAsia="宋体" w:cs="Times New Roman"/>
          <w:kern w:val="2"/>
          <w:sz w:val="21"/>
          <w:szCs w:val="24"/>
          <w:lang w:val="en-US" w:eastAsia="zh-CN" w:bidi="ar-SA"/>
        </w:rPr>
      </w:pPr>
      <w:r>
        <w:rPr>
          <w:rFonts w:hint="eastAsia" w:ascii="宋体" w:hAnsi="Courier New" w:eastAsia="宋体" w:cs="Times New Roman"/>
          <w:kern w:val="2"/>
          <w:sz w:val="21"/>
          <w:szCs w:val="24"/>
          <w:lang w:val="en-US" w:eastAsia="zh-CN" w:bidi="ar-SA"/>
        </w:rPr>
        <w:t>4）、在一餐、三餐、车身补漆间加装4个独立式气体探测装置；</w:t>
      </w:r>
    </w:p>
    <w:p>
      <w:pPr>
        <w:ind w:firstLine="420" w:firstLineChars="200"/>
        <w:rPr>
          <w:rFonts w:hint="eastAsia" w:ascii="宋体" w:hAnsi="Courier New" w:eastAsia="宋体" w:cs="Times New Roman"/>
          <w:kern w:val="2"/>
          <w:sz w:val="21"/>
          <w:szCs w:val="24"/>
          <w:lang w:val="en-US" w:eastAsia="zh-CN" w:bidi="ar-SA"/>
        </w:rPr>
      </w:pPr>
      <w:r>
        <w:rPr>
          <w:rFonts w:hint="eastAsia" w:ascii="宋体" w:hAnsi="Courier New" w:eastAsia="宋体" w:cs="Times New Roman"/>
          <w:kern w:val="2"/>
          <w:sz w:val="21"/>
          <w:szCs w:val="24"/>
          <w:lang w:val="en-US" w:eastAsia="zh-CN" w:bidi="ar-SA"/>
        </w:rPr>
        <w:t>5）、车身调漆间、储漆间原有的6个气体探测器拆除更新为12个（新增6个），并按照防爆要求对管路进行重新布设，并在车间入口处更换报警主机1台（采集数据接入值班室信息化平台）。</w:t>
      </w:r>
    </w:p>
    <w:p>
      <w:pPr>
        <w:ind w:firstLine="420" w:firstLineChars="200"/>
        <w:rPr>
          <w:rFonts w:hint="eastAsia" w:ascii="宋体" w:hAnsi="Courier New" w:eastAsia="宋体" w:cs="Times New Roman"/>
          <w:kern w:val="2"/>
          <w:sz w:val="21"/>
          <w:szCs w:val="24"/>
          <w:lang w:val="en-US" w:eastAsia="zh-CN" w:bidi="ar-SA"/>
        </w:rPr>
      </w:pPr>
      <w:r>
        <w:rPr>
          <w:rFonts w:hint="eastAsia" w:ascii="宋体" w:hAnsi="Courier New" w:eastAsia="宋体" w:cs="Times New Roman"/>
          <w:kern w:val="2"/>
          <w:sz w:val="21"/>
          <w:szCs w:val="24"/>
          <w:lang w:val="en-US" w:eastAsia="zh-CN" w:bidi="ar-SA"/>
        </w:rPr>
        <w:t>6）、车身部涂装二氧化碳室2台含氧量气体探测装置设备更换，总装车间3台气氧含量气体探测装置设备更换；</w:t>
      </w:r>
    </w:p>
    <w:p>
      <w:pPr>
        <w:ind w:firstLine="420" w:firstLineChars="200"/>
        <w:rPr>
          <w:rFonts w:hint="eastAsia" w:ascii="宋体" w:hAnsi="Courier New" w:eastAsia="宋体" w:cs="Times New Roman"/>
          <w:kern w:val="2"/>
          <w:sz w:val="21"/>
          <w:szCs w:val="24"/>
          <w:lang w:val="en-US" w:eastAsia="zh-CN" w:bidi="ar-SA"/>
        </w:rPr>
      </w:pPr>
      <w:r>
        <w:rPr>
          <w:rFonts w:hint="eastAsia" w:ascii="宋体" w:hAnsi="Courier New" w:eastAsia="宋体" w:cs="Times New Roman"/>
          <w:kern w:val="2"/>
          <w:sz w:val="21"/>
          <w:szCs w:val="24"/>
          <w:lang w:val="en-US" w:eastAsia="zh-CN" w:bidi="ar-SA"/>
        </w:rPr>
        <w:t>7）、本次项目需要提供为期一年的报警器检定工作，合计95个，免费提供，并出具检定证书报告（含检验贴）；</w:t>
      </w:r>
    </w:p>
    <w:p>
      <w:pPr>
        <w:ind w:firstLine="420" w:firstLineChars="200"/>
        <w:rPr>
          <w:rFonts w:hint="eastAsia" w:ascii="宋体" w:hAnsi="Courier New" w:eastAsia="宋体" w:cs="Times New Roman"/>
          <w:kern w:val="2"/>
          <w:sz w:val="21"/>
          <w:szCs w:val="24"/>
          <w:lang w:val="en-US" w:eastAsia="zh-CN" w:bidi="ar-SA"/>
        </w:rPr>
      </w:pPr>
      <w:r>
        <w:rPr>
          <w:rFonts w:hint="eastAsia" w:ascii="宋体" w:hAnsi="Courier New" w:eastAsia="宋体" w:cs="Times New Roman"/>
          <w:kern w:val="2"/>
          <w:sz w:val="21"/>
          <w:szCs w:val="24"/>
          <w:lang w:val="en-US" w:eastAsia="zh-CN" w:bidi="ar-SA"/>
        </w:rPr>
        <w:t>8）、搭建统一管理平台，能够满足设备接入、数据查看、报警推送、统一值守等功能。</w:t>
      </w:r>
    </w:p>
    <w:p>
      <w:pPr>
        <w:pStyle w:val="4"/>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szCs w:val="22"/>
          <w:lang w:eastAsia="zh-CN"/>
        </w:rPr>
      </w:pPr>
      <w:r>
        <w:rPr>
          <w:rFonts w:hint="eastAsia" w:ascii="Times New Roman" w:hAnsi="Times New Roman"/>
          <w:szCs w:val="22"/>
        </w:rPr>
        <w:t>2</w:t>
      </w:r>
      <w:r>
        <w:rPr>
          <w:rFonts w:ascii="Times New Roman" w:hAnsi="Times New Roman"/>
          <w:szCs w:val="22"/>
        </w:rPr>
        <w:t>.</w:t>
      </w:r>
      <w:r>
        <w:rPr>
          <w:rFonts w:hint="eastAsia" w:ascii="Times New Roman" w:hAnsi="Times New Roman"/>
          <w:szCs w:val="22"/>
          <w:lang w:val="en-US" w:eastAsia="zh-CN"/>
        </w:rPr>
        <w:t>项目</w:t>
      </w:r>
      <w:r>
        <w:rPr>
          <w:rFonts w:hint="eastAsia" w:ascii="Times New Roman" w:hAnsi="Times New Roman"/>
          <w:szCs w:val="22"/>
        </w:rPr>
        <w:t>地点</w:t>
      </w:r>
      <w:r>
        <w:rPr>
          <w:rFonts w:hint="eastAsia" w:ascii="Times New Roman" w:hAnsi="Times New Roman"/>
          <w:szCs w:val="22"/>
          <w:lang w:eastAsia="zh-CN"/>
        </w:rPr>
        <w:t>：</w:t>
      </w:r>
    </w:p>
    <w:p>
      <w:pPr>
        <w:pStyle w:val="4"/>
        <w:ind w:firstLine="420" w:firstLineChars="200"/>
        <w:rPr>
          <w:rFonts w:hint="default" w:ascii="Times New Roman" w:hAnsi="Times New Roman"/>
          <w:szCs w:val="22"/>
          <w:lang w:val="en-US" w:eastAsia="zh-CN"/>
        </w:rPr>
      </w:pPr>
      <w:r>
        <w:rPr>
          <w:rFonts w:hint="eastAsia" w:ascii="Times New Roman" w:hAnsi="Times New Roman"/>
          <w:szCs w:val="22"/>
          <w:lang w:val="en-US" w:eastAsia="zh-CN"/>
        </w:rPr>
        <w:t>中国重汽集团济宁商用车有限公司（济宁市高新区诗仙路369号）</w:t>
      </w:r>
    </w:p>
    <w:p>
      <w:pPr>
        <w:pStyle w:val="4"/>
        <w:spacing w:line="360" w:lineRule="auto"/>
        <w:rPr>
          <w:rFonts w:hint="eastAsia" w:ascii="黑体" w:eastAsia="黑体"/>
          <w:b/>
          <w:bCs/>
          <w:sz w:val="28"/>
          <w:highlight w:val="none"/>
        </w:rPr>
      </w:pPr>
      <w:r>
        <w:rPr>
          <w:rFonts w:hint="eastAsia" w:ascii="黑体" w:eastAsia="黑体"/>
          <w:b/>
          <w:bCs/>
          <w:sz w:val="28"/>
          <w:highlight w:val="none"/>
        </w:rPr>
        <w:t>三、招标形式</w:t>
      </w:r>
    </w:p>
    <w:p>
      <w:pPr>
        <w:pStyle w:val="4"/>
        <w:spacing w:line="360" w:lineRule="auto"/>
        <w:ind w:firstLine="420" w:firstLineChars="200"/>
        <w:rPr>
          <w:rFonts w:hint="eastAsia"/>
          <w:highlight w:val="none"/>
        </w:rPr>
      </w:pPr>
      <w:r>
        <w:rPr>
          <w:rFonts w:hint="eastAsia"/>
          <w:highlight w:val="none"/>
        </w:rPr>
        <w:t xml:space="preserve"> </w:t>
      </w:r>
      <w:r>
        <w:rPr>
          <w:rFonts w:hint="eastAsia"/>
          <w:highlight w:val="none"/>
          <w:lang w:val="en-US" w:eastAsia="zh-CN"/>
        </w:rPr>
        <w:t>公开</w:t>
      </w:r>
      <w:r>
        <w:rPr>
          <w:rFonts w:hint="eastAsia"/>
          <w:highlight w:val="none"/>
        </w:rPr>
        <w:t>招标</w:t>
      </w:r>
    </w:p>
    <w:p>
      <w:pPr>
        <w:pStyle w:val="4"/>
        <w:spacing w:line="360" w:lineRule="auto"/>
        <w:rPr>
          <w:rFonts w:ascii="黑体" w:eastAsia="黑体"/>
          <w:b/>
          <w:bCs/>
          <w:sz w:val="28"/>
        </w:rPr>
      </w:pPr>
      <w:r>
        <w:rPr>
          <w:rFonts w:hint="eastAsia" w:ascii="黑体" w:eastAsia="黑体"/>
          <w:b/>
          <w:bCs/>
          <w:sz w:val="28"/>
        </w:rPr>
        <w:t>四、招标议程</w:t>
      </w:r>
    </w:p>
    <w:p>
      <w:pPr>
        <w:pStyle w:val="4"/>
        <w:spacing w:line="360" w:lineRule="auto"/>
        <w:ind w:firstLine="422" w:firstLineChars="200"/>
        <w:rPr>
          <w:rFonts w:hint="eastAsia"/>
          <w:color w:val="FF0000"/>
          <w:highlight w:val="yellow"/>
        </w:rPr>
      </w:pPr>
      <w:r>
        <w:rPr>
          <w:rFonts w:hint="eastAsia"/>
          <w:b/>
        </w:rPr>
        <w:t>1. 发标时间：</w:t>
      </w:r>
      <w:r>
        <w:rPr>
          <w:rFonts w:hint="eastAsia"/>
          <w:b/>
          <w:color w:val="FF0000"/>
          <w:highlight w:val="none"/>
        </w:rPr>
        <w:t xml:space="preserve"> </w:t>
      </w:r>
      <w:r>
        <w:rPr>
          <w:rFonts w:hint="eastAsia"/>
          <w:color w:val="000000"/>
          <w:highlight w:val="none"/>
        </w:rPr>
        <w:t>202</w:t>
      </w:r>
      <w:r>
        <w:rPr>
          <w:rFonts w:hint="eastAsia"/>
          <w:color w:val="000000"/>
          <w:highlight w:val="none"/>
          <w:lang w:val="en-US" w:eastAsia="zh-CN"/>
        </w:rPr>
        <w:t>6</w:t>
      </w:r>
      <w:r>
        <w:rPr>
          <w:rFonts w:hint="eastAsia"/>
          <w:color w:val="000000"/>
          <w:highlight w:val="none"/>
        </w:rPr>
        <w:t>年</w:t>
      </w:r>
      <w:r>
        <w:rPr>
          <w:rFonts w:hint="eastAsia"/>
          <w:color w:val="000000"/>
          <w:highlight w:val="none"/>
          <w:lang w:val="en-US" w:eastAsia="zh-CN"/>
        </w:rPr>
        <w:t>3</w:t>
      </w:r>
      <w:r>
        <w:rPr>
          <w:rFonts w:hint="eastAsia"/>
          <w:color w:val="000000"/>
          <w:highlight w:val="none"/>
        </w:rPr>
        <w:t>月</w:t>
      </w:r>
      <w:r>
        <w:rPr>
          <w:rFonts w:hint="eastAsia"/>
          <w:color w:val="000000"/>
          <w:highlight w:val="none"/>
          <w:lang w:val="en-US" w:eastAsia="zh-CN"/>
        </w:rPr>
        <w:t>16</w:t>
      </w:r>
      <w:r>
        <w:rPr>
          <w:rFonts w:hint="eastAsia"/>
          <w:color w:val="000000"/>
          <w:highlight w:val="none"/>
        </w:rPr>
        <w:t>日</w:t>
      </w:r>
    </w:p>
    <w:p>
      <w:pPr>
        <w:pStyle w:val="4"/>
        <w:spacing w:line="360" w:lineRule="auto"/>
        <w:ind w:firstLine="420" w:firstLineChars="200"/>
      </w:pPr>
      <w:r>
        <w:rPr>
          <w:rFonts w:hint="eastAsia"/>
        </w:rPr>
        <w:t>方式：招标人将在上述时间节点将本项目招标公告及招标文件电子版在特定网站发布</w:t>
      </w:r>
      <w:r>
        <w:rPr>
          <w:rFonts w:hint="eastAsia"/>
          <w:lang w:eastAsia="zh-CN"/>
        </w:rPr>
        <w:t>（</w:t>
      </w:r>
      <w:r>
        <w:rPr>
          <w:rFonts w:hint="eastAsia"/>
          <w:szCs w:val="21"/>
          <w:highlight w:val="none"/>
        </w:rPr>
        <w:t>中国重</w:t>
      </w:r>
      <w:r>
        <w:rPr>
          <w:rFonts w:hint="eastAsia" w:ascii="宋体" w:hAnsi="Courier New" w:eastAsia="宋体" w:cs="Times New Roman"/>
        </w:rPr>
        <w:t>汽官网</w:t>
      </w:r>
      <w:r>
        <w:rPr>
          <w:rFonts w:hint="eastAsia" w:ascii="宋体" w:hAnsi="Courier New" w:eastAsia="宋体" w:cs="Times New Roman"/>
        </w:rPr>
        <w:fldChar w:fldCharType="begin"/>
      </w:r>
      <w:r>
        <w:rPr>
          <w:rFonts w:hint="eastAsia" w:ascii="宋体" w:hAnsi="Courier New" w:eastAsia="宋体" w:cs="Times New Roman"/>
        </w:rPr>
        <w:instrText xml:space="preserve"> HYPERLINK "http://www.cnhtc.com.cn" </w:instrText>
      </w:r>
      <w:r>
        <w:rPr>
          <w:rFonts w:hint="eastAsia" w:ascii="宋体" w:hAnsi="Courier New" w:eastAsia="宋体" w:cs="Times New Roman"/>
        </w:rPr>
        <w:fldChar w:fldCharType="separate"/>
      </w:r>
      <w:r>
        <w:rPr>
          <w:rFonts w:hint="eastAsia" w:ascii="宋体" w:hAnsi="Courier New" w:eastAsia="宋体" w:cs="Times New Roman"/>
        </w:rPr>
        <w:t>http://www.cnhtc.com.cn</w:t>
      </w:r>
      <w:r>
        <w:rPr>
          <w:rFonts w:hint="eastAsia" w:ascii="宋体" w:hAnsi="Courier New" w:eastAsia="宋体" w:cs="Times New Roman"/>
        </w:rPr>
        <w:fldChar w:fldCharType="end"/>
      </w:r>
      <w:r>
        <w:rPr>
          <w:rFonts w:hint="eastAsia" w:ascii="宋体" w:hAnsi="Courier New" w:eastAsia="宋体" w:cs="Times New Roman"/>
          <w:lang w:eastAsia="zh-CN"/>
        </w:rPr>
        <w:t>→新闻</w:t>
      </w:r>
      <w:r>
        <w:rPr>
          <w:rFonts w:hint="eastAsia" w:ascii="宋体" w:hAnsi="Courier New" w:eastAsia="宋体" w:cs="Times New Roman"/>
        </w:rPr>
        <w:t>中心</w:t>
      </w:r>
      <w:r>
        <w:rPr>
          <w:rFonts w:hint="eastAsia" w:ascii="宋体" w:hAnsi="Courier New" w:eastAsia="宋体" w:cs="Times New Roman"/>
          <w:lang w:eastAsia="zh-CN"/>
        </w:rPr>
        <w:t>→</w:t>
      </w:r>
      <w:r>
        <w:rPr>
          <w:rFonts w:hint="eastAsia" w:ascii="宋体" w:hAnsi="Courier New" w:eastAsia="宋体" w:cs="Times New Roman"/>
        </w:rPr>
        <w:t>通知公告</w:t>
      </w:r>
      <w:r>
        <w:rPr>
          <w:rFonts w:hint="eastAsia" w:ascii="宋体" w:hAnsi="Courier New" w:eastAsia="宋体" w:cs="Times New Roman"/>
          <w:lang w:eastAsia="zh-CN"/>
        </w:rPr>
        <w:t>）</w:t>
      </w:r>
      <w:r>
        <w:rPr>
          <w:rFonts w:hint="eastAsia"/>
        </w:rPr>
        <w:t>，意向投标人在相应网站自行下载招标书，在规定时间内，缴纳投标保证金，并将</w:t>
      </w:r>
      <w:r>
        <w:rPr>
          <w:rFonts w:hint="eastAsia"/>
          <w:highlight w:val="none"/>
        </w:rPr>
        <w:t>报名表</w:t>
      </w:r>
      <w:r>
        <w:rPr>
          <w:rFonts w:hint="eastAsia"/>
        </w:rPr>
        <w:t>发送至招标人指定邮箱内。招标人不对投标人能否通过相关网站正确</w:t>
      </w:r>
      <w:r>
        <w:rPr>
          <w:rFonts w:hint="eastAsia"/>
          <w:lang w:eastAsia="zh-CN"/>
        </w:rPr>
        <w:t>且</w:t>
      </w:r>
      <w:r>
        <w:rPr>
          <w:rFonts w:hint="eastAsia"/>
        </w:rPr>
        <w:t>及时获取招标文件负责。</w:t>
      </w:r>
    </w:p>
    <w:p>
      <w:pPr>
        <w:pStyle w:val="4"/>
        <w:spacing w:line="360" w:lineRule="auto"/>
        <w:ind w:firstLine="422" w:firstLineChars="200"/>
      </w:pPr>
      <w:r>
        <w:rPr>
          <w:rFonts w:hint="eastAsia"/>
          <w:b/>
        </w:rPr>
        <w:t>2. 投标报名截止时间：</w:t>
      </w:r>
      <w:r>
        <w:rPr>
          <w:rFonts w:hint="eastAsia"/>
          <w:color w:val="000000"/>
          <w:highlight w:val="none"/>
        </w:rPr>
        <w:t>202</w:t>
      </w:r>
      <w:r>
        <w:rPr>
          <w:rFonts w:hint="eastAsia"/>
          <w:color w:val="000000"/>
          <w:highlight w:val="none"/>
          <w:lang w:val="en-US" w:eastAsia="zh-CN"/>
        </w:rPr>
        <w:t>6</w:t>
      </w:r>
      <w:r>
        <w:rPr>
          <w:rFonts w:hint="eastAsia"/>
          <w:color w:val="000000"/>
          <w:highlight w:val="none"/>
        </w:rPr>
        <w:t>年</w:t>
      </w:r>
      <w:r>
        <w:rPr>
          <w:rFonts w:hint="eastAsia"/>
          <w:color w:val="000000"/>
          <w:highlight w:val="none"/>
          <w:lang w:val="en-US" w:eastAsia="zh-CN"/>
        </w:rPr>
        <w:t>3</w:t>
      </w:r>
      <w:r>
        <w:rPr>
          <w:rFonts w:hint="eastAsia"/>
          <w:color w:val="000000"/>
          <w:highlight w:val="none"/>
        </w:rPr>
        <w:t>月</w:t>
      </w:r>
      <w:r>
        <w:rPr>
          <w:rFonts w:hint="eastAsia"/>
          <w:color w:val="000000"/>
          <w:highlight w:val="none"/>
          <w:lang w:val="en-US" w:eastAsia="zh-CN"/>
        </w:rPr>
        <w:t>26</w:t>
      </w:r>
      <w:r>
        <w:rPr>
          <w:rFonts w:hint="eastAsia"/>
          <w:color w:val="000000"/>
          <w:highlight w:val="none"/>
        </w:rPr>
        <w:t>日</w:t>
      </w:r>
      <w:r>
        <w:rPr>
          <w:rFonts w:hint="eastAsia"/>
        </w:rPr>
        <w:t>下午</w:t>
      </w:r>
      <w:r>
        <w:rPr>
          <w:rFonts w:hint="eastAsia"/>
          <w:lang w:val="en-US" w:eastAsia="zh-CN"/>
        </w:rPr>
        <w:t>18</w:t>
      </w:r>
      <w:r>
        <w:rPr>
          <w:rFonts w:hint="eastAsia"/>
        </w:rPr>
        <w:t>点前，逾期不受理。</w:t>
      </w:r>
    </w:p>
    <w:p>
      <w:pPr>
        <w:pStyle w:val="4"/>
        <w:spacing w:line="360" w:lineRule="auto"/>
        <w:ind w:firstLine="420" w:firstLineChars="200"/>
        <w:rPr>
          <w:rFonts w:hint="eastAsia"/>
          <w:highlight w:val="none"/>
        </w:rPr>
      </w:pPr>
      <w:r>
        <w:rPr>
          <w:rFonts w:hint="eastAsia"/>
          <w:highlight w:val="none"/>
        </w:rPr>
        <w:t>方式：</w:t>
      </w:r>
      <w:r>
        <w:rPr>
          <w:rFonts w:hint="eastAsia"/>
          <w:highlight w:val="none"/>
          <w:lang w:val="en-US" w:eastAsia="zh-CN"/>
        </w:rPr>
        <w:t>通过重汽</w:t>
      </w:r>
      <w:r>
        <w:rPr>
          <w:rFonts w:hint="eastAsia"/>
          <w:highlight w:val="none"/>
        </w:rPr>
        <w:t>e采通平台</w:t>
      </w:r>
      <w:r>
        <w:rPr>
          <w:rFonts w:hint="eastAsia"/>
          <w:highlight w:val="none"/>
          <w:lang w:val="en-US" w:eastAsia="zh-CN"/>
        </w:rPr>
        <w:t>进行报名，报名需在e采通上</w:t>
      </w:r>
      <w:r>
        <w:rPr>
          <w:rFonts w:hint="eastAsia"/>
          <w:highlight w:val="none"/>
        </w:rPr>
        <w:t>提交盖有投标单位公章的报名表（</w:t>
      </w:r>
      <w:r>
        <w:rPr>
          <w:rFonts w:hint="eastAsia"/>
          <w:highlight w:val="none"/>
          <w:lang w:val="en-US" w:eastAsia="zh-CN"/>
        </w:rPr>
        <w:t>PDF</w:t>
      </w:r>
      <w:r>
        <w:rPr>
          <w:rFonts w:hint="eastAsia"/>
          <w:highlight w:val="none"/>
        </w:rPr>
        <w:t>扫描件），</w:t>
      </w:r>
      <w:r>
        <w:rPr>
          <w:rFonts w:hint="eastAsia"/>
          <w:color w:val="auto"/>
          <w:highlight w:val="none"/>
        </w:rPr>
        <w:t>格式见附件1</w:t>
      </w:r>
      <w:r>
        <w:rPr>
          <w:rFonts w:hint="eastAsia"/>
          <w:highlight w:val="none"/>
        </w:rPr>
        <w:t>，电话或其他报名方式均不受理。</w:t>
      </w:r>
    </w:p>
    <w:p>
      <w:pPr>
        <w:pStyle w:val="4"/>
        <w:spacing w:line="360" w:lineRule="auto"/>
        <w:ind w:firstLine="420" w:firstLineChars="200"/>
        <w:rPr>
          <w:rFonts w:hint="eastAsia"/>
          <w:highlight w:val="none"/>
        </w:rPr>
      </w:pPr>
      <w:r>
        <w:rPr>
          <w:rFonts w:hint="eastAsia"/>
          <w:highlight w:val="none"/>
        </w:rPr>
        <w:t>e采通平台：本项目招标工作的所有过程均须在中国重汽e采通上完成，包括报名、资质审核、招标、应标、评标、审批等环节。中国重汽</w:t>
      </w:r>
      <w:r>
        <w:rPr>
          <w:rFonts w:hint="eastAsia"/>
          <w:highlight w:val="none"/>
          <w:lang w:val="en-US" w:eastAsia="zh-CN"/>
        </w:rPr>
        <w:t>e</w:t>
      </w:r>
      <w:r>
        <w:rPr>
          <w:rFonts w:hint="eastAsia"/>
          <w:highlight w:val="none"/>
        </w:rPr>
        <w:t>采通中链接为（http</w:t>
      </w:r>
      <w:r>
        <w:rPr>
          <w:rFonts w:hint="eastAsia"/>
          <w:highlight w:val="none"/>
          <w:lang w:val="en-US" w:eastAsia="zh-CN"/>
        </w:rPr>
        <w:t>s</w:t>
      </w:r>
      <w:r>
        <w:rPr>
          <w:rFonts w:hint="eastAsia"/>
          <w:highlight w:val="none"/>
        </w:rPr>
        <w:t>://ecaitong.sinotruk.com:8012）。未在中国重汽</w:t>
      </w:r>
      <w:r>
        <w:rPr>
          <w:rFonts w:hint="eastAsia"/>
          <w:highlight w:val="none"/>
          <w:lang w:val="en-US" w:eastAsia="zh-CN"/>
        </w:rPr>
        <w:t>e</w:t>
      </w:r>
      <w:r>
        <w:rPr>
          <w:rFonts w:hint="eastAsia"/>
          <w:highlight w:val="none"/>
        </w:rPr>
        <w:t>采通进行注册的供方，注册时，业务主管部门选择“安全环保</w:t>
      </w:r>
      <w:r>
        <w:rPr>
          <w:rFonts w:hint="eastAsia"/>
          <w:highlight w:val="none"/>
          <w:lang w:val="en-US" w:eastAsia="zh-CN"/>
        </w:rPr>
        <w:t>部”</w:t>
      </w:r>
      <w:r>
        <w:rPr>
          <w:rFonts w:hint="eastAsia"/>
          <w:highlight w:val="none"/>
        </w:rPr>
        <w:t>，类别选择“</w:t>
      </w:r>
      <w:r>
        <w:rPr>
          <w:rFonts w:hint="eastAsia"/>
          <w:highlight w:val="none"/>
          <w:lang w:val="en-US" w:eastAsia="zh-CN"/>
        </w:rPr>
        <w:t>安全”</w:t>
      </w:r>
      <w:r>
        <w:rPr>
          <w:rFonts w:hint="eastAsia"/>
          <w:highlight w:val="none"/>
        </w:rPr>
        <w:t>，投标人须在202</w:t>
      </w:r>
      <w:r>
        <w:rPr>
          <w:rFonts w:hint="eastAsia"/>
          <w:highlight w:val="none"/>
          <w:lang w:val="en-US" w:eastAsia="zh-CN"/>
        </w:rPr>
        <w:t>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22</w:t>
      </w:r>
      <w:r>
        <w:rPr>
          <w:rFonts w:hint="eastAsia"/>
          <w:highlight w:val="none"/>
        </w:rPr>
        <w:t>日</w:t>
      </w:r>
      <w:r>
        <w:rPr>
          <w:rFonts w:hint="eastAsia"/>
          <w:highlight w:val="none"/>
          <w:lang w:val="en-US" w:eastAsia="zh-CN"/>
        </w:rPr>
        <w:t>18</w:t>
      </w:r>
      <w:r>
        <w:rPr>
          <w:rFonts w:hint="eastAsia"/>
          <w:highlight w:val="none"/>
        </w:rPr>
        <w:t>:00前供应商信息注册（建议尽早开展注册工作，</w:t>
      </w:r>
      <w:r>
        <w:rPr>
          <w:rFonts w:hint="eastAsia"/>
          <w:color w:val="auto"/>
          <w:highlight w:val="none"/>
        </w:rPr>
        <w:t>操作手册见附件</w:t>
      </w:r>
      <w:r>
        <w:rPr>
          <w:rFonts w:hint="eastAsia"/>
          <w:color w:val="auto"/>
          <w:highlight w:val="none"/>
          <w:lang w:val="en-US" w:eastAsia="zh-CN"/>
        </w:rPr>
        <w:t>11</w:t>
      </w:r>
      <w:r>
        <w:rPr>
          <w:rFonts w:hint="eastAsia"/>
          <w:highlight w:val="none"/>
        </w:rPr>
        <w:t>）；注册成功后，须202</w:t>
      </w:r>
      <w:r>
        <w:rPr>
          <w:rFonts w:hint="eastAsia"/>
          <w:highlight w:val="none"/>
          <w:lang w:val="en-US" w:eastAsia="zh-CN"/>
        </w:rPr>
        <w:t>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22</w:t>
      </w:r>
      <w:r>
        <w:rPr>
          <w:rFonts w:hint="eastAsia"/>
          <w:highlight w:val="none"/>
        </w:rPr>
        <w:t>日</w:t>
      </w:r>
      <w:r>
        <w:rPr>
          <w:rFonts w:hint="eastAsia"/>
          <w:highlight w:val="none"/>
          <w:lang w:val="en-US" w:eastAsia="zh-CN"/>
        </w:rPr>
        <w:t>18</w:t>
      </w:r>
      <w:r>
        <w:rPr>
          <w:rFonts w:hint="eastAsia"/>
          <w:highlight w:val="none"/>
        </w:rPr>
        <w:t>:00前在完成项目应标，看标书文件并上传相关文档（</w:t>
      </w:r>
      <w:r>
        <w:rPr>
          <w:rFonts w:hint="eastAsia"/>
          <w:color w:val="auto"/>
          <w:highlight w:val="none"/>
        </w:rPr>
        <w:t>操作手册见附件</w:t>
      </w:r>
      <w:r>
        <w:rPr>
          <w:rFonts w:hint="eastAsia"/>
          <w:color w:val="auto"/>
          <w:highlight w:val="none"/>
          <w:lang w:val="en-US" w:eastAsia="zh-CN"/>
        </w:rPr>
        <w:t>12</w:t>
      </w:r>
      <w:r>
        <w:rPr>
          <w:rFonts w:hint="eastAsia"/>
          <w:highlight w:val="none"/>
        </w:rPr>
        <w:t>）。</w:t>
      </w:r>
    </w:p>
    <w:p>
      <w:pPr>
        <w:pStyle w:val="4"/>
        <w:spacing w:line="360" w:lineRule="auto"/>
        <w:ind w:firstLine="422" w:firstLineChars="200"/>
        <w:rPr>
          <w:rFonts w:hint="eastAsia"/>
          <w:highlight w:val="none"/>
        </w:rPr>
      </w:pPr>
      <w:r>
        <w:rPr>
          <w:rFonts w:hint="eastAsia"/>
          <w:b/>
          <w:highlight w:val="none"/>
        </w:rPr>
        <w:t>3.答疑时间：</w:t>
      </w:r>
      <w:r>
        <w:rPr>
          <w:rFonts w:hint="eastAsia"/>
          <w:highlight w:val="none"/>
        </w:rPr>
        <w:t>截止</w:t>
      </w:r>
      <w:r>
        <w:rPr>
          <w:rFonts w:hint="eastAsia"/>
          <w:color w:val="000000"/>
          <w:highlight w:val="none"/>
        </w:rPr>
        <w:t>至202</w:t>
      </w:r>
      <w:r>
        <w:rPr>
          <w:rFonts w:hint="eastAsia"/>
          <w:color w:val="000000"/>
          <w:highlight w:val="none"/>
          <w:lang w:val="en-US" w:eastAsia="zh-CN"/>
        </w:rPr>
        <w:t>6</w:t>
      </w:r>
      <w:r>
        <w:rPr>
          <w:rFonts w:hint="eastAsia"/>
          <w:color w:val="000000"/>
          <w:highlight w:val="none"/>
        </w:rPr>
        <w:t>年</w:t>
      </w:r>
      <w:r>
        <w:rPr>
          <w:rFonts w:hint="eastAsia"/>
          <w:color w:val="000000"/>
          <w:highlight w:val="none"/>
          <w:lang w:val="en-US" w:eastAsia="zh-CN"/>
        </w:rPr>
        <w:t>3</w:t>
      </w:r>
      <w:r>
        <w:rPr>
          <w:rFonts w:hint="eastAsia"/>
          <w:color w:val="000000"/>
          <w:highlight w:val="none"/>
        </w:rPr>
        <w:t>月</w:t>
      </w:r>
      <w:r>
        <w:rPr>
          <w:rFonts w:hint="eastAsia"/>
          <w:color w:val="000000"/>
          <w:highlight w:val="none"/>
          <w:lang w:val="en-US" w:eastAsia="zh-CN"/>
        </w:rPr>
        <w:t>26</w:t>
      </w:r>
      <w:r>
        <w:rPr>
          <w:rFonts w:hint="eastAsia"/>
          <w:highlight w:val="none"/>
        </w:rPr>
        <w:t>日下午1</w:t>
      </w:r>
      <w:r>
        <w:rPr>
          <w:rFonts w:hint="eastAsia"/>
          <w:highlight w:val="none"/>
          <w:lang w:val="en-US" w:eastAsia="zh-CN"/>
        </w:rPr>
        <w:t>8</w:t>
      </w:r>
      <w:r>
        <w:rPr>
          <w:rFonts w:hint="eastAsia"/>
          <w:highlight w:val="none"/>
        </w:rPr>
        <w:t>点前，逾期不受理。</w:t>
      </w:r>
      <w:bookmarkStart w:id="1" w:name="_GoBack"/>
      <w:bookmarkEnd w:id="1"/>
    </w:p>
    <w:p>
      <w:pPr>
        <w:pStyle w:val="4"/>
        <w:spacing w:line="360" w:lineRule="auto"/>
        <w:ind w:firstLine="405"/>
        <w:rPr>
          <w:rFonts w:hint="eastAsia"/>
          <w:highlight w:val="none"/>
        </w:rPr>
      </w:pPr>
      <w:r>
        <w:rPr>
          <w:rFonts w:hint="eastAsia"/>
          <w:highlight w:val="none"/>
        </w:rPr>
        <w:t>答疑方式：</w:t>
      </w:r>
      <w:r>
        <w:rPr>
          <w:rFonts w:hint="eastAsia"/>
          <w:highlight w:val="none"/>
          <w:lang w:val="en-US" w:eastAsia="zh-CN"/>
        </w:rPr>
        <w:t>书面答疑</w:t>
      </w:r>
      <w:r>
        <w:rPr>
          <w:rFonts w:hint="eastAsia"/>
          <w:highlight w:val="none"/>
        </w:rPr>
        <w:t>。</w:t>
      </w:r>
    </w:p>
    <w:p>
      <w:pPr>
        <w:pStyle w:val="4"/>
        <w:spacing w:line="360" w:lineRule="auto"/>
        <w:ind w:firstLine="405"/>
        <w:rPr>
          <w:rFonts w:hint="default" w:eastAsiaTheme="minorEastAsia"/>
          <w:highlight w:val="none"/>
          <w:lang w:val="en-US" w:eastAsia="zh-CN"/>
        </w:rPr>
      </w:pPr>
      <w:r>
        <w:rPr>
          <w:rFonts w:hint="eastAsia"/>
          <w:highlight w:val="none"/>
          <w:lang w:val="en-US" w:eastAsia="zh-CN"/>
        </w:rPr>
        <w:t>邮箱：878110094@qq.com</w:t>
      </w:r>
    </w:p>
    <w:p>
      <w:pPr>
        <w:pStyle w:val="4"/>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王慕华   </w:t>
      </w:r>
      <w:r>
        <w:rPr>
          <w:rFonts w:hint="eastAsia"/>
          <w:lang w:eastAsia="zh-CN"/>
        </w:rPr>
        <w:t>联系电话</w:t>
      </w:r>
      <w:r>
        <w:rPr>
          <w:rFonts w:hint="eastAsia"/>
        </w:rPr>
        <w:t>：</w:t>
      </w:r>
      <w:r>
        <w:rPr>
          <w:rFonts w:hint="eastAsia"/>
          <w:lang w:val="en-US" w:eastAsia="zh-CN"/>
        </w:rPr>
        <w:t>18815376698</w:t>
      </w:r>
    </w:p>
    <w:p>
      <w:pPr>
        <w:pStyle w:val="4"/>
        <w:spacing w:line="360" w:lineRule="auto"/>
        <w:ind w:firstLine="422" w:firstLineChars="200"/>
        <w:rPr>
          <w:rFonts w:hint="default" w:eastAsia="宋体"/>
          <w:lang w:val="en-US" w:eastAsia="zh-CN"/>
        </w:rPr>
      </w:pPr>
      <w:r>
        <w:rPr>
          <w:rFonts w:hint="eastAsia"/>
          <w:b/>
        </w:rPr>
        <w:t>4.开标时间：</w:t>
      </w:r>
      <w:r>
        <w:rPr>
          <w:rFonts w:hint="eastAsia"/>
          <w:color w:val="000000"/>
          <w:highlight w:val="none"/>
        </w:rPr>
        <w:t>202</w:t>
      </w:r>
      <w:r>
        <w:rPr>
          <w:rFonts w:hint="eastAsia"/>
          <w:color w:val="000000"/>
          <w:highlight w:val="none"/>
          <w:lang w:val="en-US" w:eastAsia="zh-CN"/>
        </w:rPr>
        <w:t>6</w:t>
      </w:r>
      <w:r>
        <w:rPr>
          <w:rFonts w:hint="eastAsia"/>
          <w:color w:val="000000"/>
          <w:highlight w:val="none"/>
        </w:rPr>
        <w:t>年</w:t>
      </w:r>
      <w:r>
        <w:rPr>
          <w:rFonts w:hint="eastAsia"/>
          <w:color w:val="000000"/>
          <w:highlight w:val="none"/>
          <w:lang w:val="en-US" w:eastAsia="zh-CN"/>
        </w:rPr>
        <w:t>3</w:t>
      </w:r>
      <w:r>
        <w:rPr>
          <w:rFonts w:hint="eastAsia"/>
          <w:color w:val="000000"/>
          <w:highlight w:val="none"/>
        </w:rPr>
        <w:t>月</w:t>
      </w:r>
      <w:r>
        <w:rPr>
          <w:rFonts w:hint="eastAsia"/>
          <w:color w:val="000000"/>
          <w:highlight w:val="none"/>
          <w:lang w:val="en-US" w:eastAsia="zh-CN"/>
        </w:rPr>
        <w:t>27</w:t>
      </w:r>
      <w:r>
        <w:rPr>
          <w:rFonts w:hint="eastAsia"/>
          <w:color w:val="000000"/>
          <w:highlight w:val="none"/>
        </w:rPr>
        <w:t>日上午9</w:t>
      </w:r>
      <w:r>
        <w:rPr>
          <w:rFonts w:hint="eastAsia"/>
          <w:color w:val="000000"/>
          <w:highlight w:val="none"/>
          <w:lang w:eastAsia="zh-CN"/>
        </w:rPr>
        <w:t>时</w:t>
      </w:r>
      <w:r>
        <w:rPr>
          <w:rFonts w:hint="eastAsia"/>
          <w:color w:val="000000"/>
          <w:highlight w:val="none"/>
          <w:lang w:val="en-US" w:eastAsia="zh-CN"/>
        </w:rPr>
        <w:t>00分（暂定）以电话通知为准</w:t>
      </w:r>
    </w:p>
    <w:p>
      <w:pPr>
        <w:pStyle w:val="4"/>
        <w:spacing w:line="360" w:lineRule="auto"/>
        <w:ind w:firstLine="422" w:firstLineChars="200"/>
        <w:rPr>
          <w:rFonts w:hint="eastAsia"/>
          <w:color w:val="000000"/>
          <w:highlight w:val="none"/>
        </w:rPr>
      </w:pPr>
      <w:r>
        <w:rPr>
          <w:rFonts w:hint="eastAsia"/>
          <w:b/>
        </w:rPr>
        <w:t>5.开标地点：</w:t>
      </w:r>
      <w:r>
        <w:rPr>
          <w:rFonts w:hint="eastAsia"/>
          <w:color w:val="000000"/>
          <w:highlight w:val="none"/>
        </w:rPr>
        <w:t>中国重汽集团济</w:t>
      </w:r>
      <w:r>
        <w:rPr>
          <w:rFonts w:hint="eastAsia"/>
          <w:color w:val="000000"/>
          <w:highlight w:val="none"/>
          <w:lang w:val="en-US" w:eastAsia="zh-CN"/>
        </w:rPr>
        <w:t>宁</w:t>
      </w:r>
      <w:r>
        <w:rPr>
          <w:rFonts w:hint="eastAsia"/>
          <w:color w:val="000000"/>
          <w:highlight w:val="none"/>
        </w:rPr>
        <w:t>商用车公司（山东省</w:t>
      </w:r>
      <w:r>
        <w:rPr>
          <w:rFonts w:hint="eastAsia"/>
          <w:color w:val="000000"/>
          <w:highlight w:val="none"/>
          <w:lang w:val="en-US" w:eastAsia="zh-CN"/>
        </w:rPr>
        <w:t>济宁市高新区诗仙路369号</w:t>
      </w:r>
      <w:r>
        <w:rPr>
          <w:rFonts w:hint="eastAsia"/>
          <w:color w:val="000000"/>
          <w:highlight w:val="none"/>
        </w:rPr>
        <w:t>）1</w:t>
      </w:r>
      <w:r>
        <w:rPr>
          <w:rFonts w:hint="eastAsia"/>
          <w:color w:val="000000"/>
          <w:highlight w:val="none"/>
          <w:lang w:val="en-US" w:eastAsia="zh-CN"/>
        </w:rPr>
        <w:t>06</w:t>
      </w:r>
      <w:r>
        <w:rPr>
          <w:rFonts w:hint="eastAsia"/>
          <w:color w:val="000000"/>
          <w:highlight w:val="none"/>
        </w:rPr>
        <w:t>会议室</w:t>
      </w:r>
      <w:r>
        <w:rPr>
          <w:rFonts w:hint="eastAsia"/>
          <w:color w:val="000000"/>
          <w:highlight w:val="none"/>
          <w:lang w:eastAsia="zh-CN"/>
        </w:rPr>
        <w:t>（以</w:t>
      </w:r>
      <w:r>
        <w:rPr>
          <w:rFonts w:hint="eastAsia"/>
          <w:color w:val="000000"/>
          <w:highlight w:val="none"/>
          <w:lang w:val="en-US" w:eastAsia="zh-CN"/>
        </w:rPr>
        <w:t>实际</w:t>
      </w:r>
      <w:r>
        <w:rPr>
          <w:rFonts w:hint="eastAsia"/>
          <w:color w:val="000000"/>
          <w:highlight w:val="none"/>
          <w:lang w:eastAsia="zh-CN"/>
        </w:rPr>
        <w:t>通知为准）。</w:t>
      </w:r>
      <w:r>
        <w:rPr>
          <w:rFonts w:hint="eastAsia"/>
          <w:color w:val="000000"/>
          <w:highlight w:val="none"/>
        </w:rPr>
        <w:t xml:space="preserve">   </w:t>
      </w:r>
    </w:p>
    <w:p>
      <w:pPr>
        <w:pStyle w:val="4"/>
        <w:spacing w:line="360" w:lineRule="auto"/>
        <w:ind w:firstLine="422" w:firstLineChars="200"/>
        <w:rPr>
          <w:rFonts w:hint="eastAsia" w:eastAsia="宋体"/>
          <w:b/>
          <w:lang w:eastAsia="zh-CN"/>
        </w:rPr>
      </w:pPr>
      <w:r>
        <w:rPr>
          <w:rFonts w:hint="eastAsia"/>
          <w:b/>
        </w:rPr>
        <w:t>6.开标现场资质审验</w:t>
      </w:r>
      <w:r>
        <w:rPr>
          <w:rFonts w:hint="eastAsia"/>
          <w:b/>
          <w:lang w:eastAsia="zh-CN"/>
        </w:rPr>
        <w:t>：</w:t>
      </w:r>
    </w:p>
    <w:p>
      <w:pPr>
        <w:pStyle w:val="4"/>
        <w:spacing w:line="360" w:lineRule="auto"/>
        <w:ind w:firstLine="420" w:firstLineChars="200"/>
        <w:rPr>
          <w:rFonts w:hint="eastAsia"/>
        </w:rPr>
      </w:pPr>
      <w:r>
        <w:rPr>
          <w:rFonts w:hint="eastAsia"/>
        </w:rPr>
        <w:t>需提交的材料要求：详见本招标书</w:t>
      </w:r>
      <w:r>
        <w:rPr>
          <w:rFonts w:hint="eastAsia"/>
          <w:highlight w:val="none"/>
        </w:rPr>
        <w:t>“第二章 招标人须知”之“二、投标响应文件”之“1.</w:t>
      </w:r>
      <w:r>
        <w:rPr>
          <w:rFonts w:hint="eastAsia" w:hAnsi="宋体"/>
          <w:highlight w:val="none"/>
        </w:rPr>
        <w:t>⑴</w:t>
      </w:r>
      <w:r>
        <w:rPr>
          <w:rFonts w:hint="eastAsia"/>
          <w:highlight w:val="none"/>
        </w:rPr>
        <w:t xml:space="preserve"> 资质文件”</w:t>
      </w:r>
      <w:r>
        <w:rPr>
          <w:rFonts w:hint="eastAsia"/>
        </w:rPr>
        <w:t>所列示条目及要求。</w:t>
      </w:r>
    </w:p>
    <w:p>
      <w:pPr>
        <w:pStyle w:val="4"/>
        <w:spacing w:line="360" w:lineRule="auto"/>
        <w:ind w:firstLine="422" w:firstLineChars="200"/>
        <w:rPr>
          <w:b/>
        </w:rPr>
      </w:pPr>
      <w:r>
        <w:rPr>
          <w:rFonts w:hint="eastAsia"/>
          <w:b/>
        </w:rPr>
        <w:t>7. 评标：</w:t>
      </w:r>
    </w:p>
    <w:p>
      <w:pPr>
        <w:pStyle w:val="4"/>
        <w:spacing w:line="360" w:lineRule="auto"/>
        <w:ind w:firstLine="420" w:firstLineChars="200"/>
      </w:pPr>
      <w:r>
        <w:rPr>
          <w:rFonts w:hint="eastAsia"/>
        </w:rPr>
        <w:t>需提供的材料：</w:t>
      </w:r>
    </w:p>
    <w:p>
      <w:pPr>
        <w:pStyle w:val="4"/>
        <w:spacing w:line="360" w:lineRule="auto"/>
        <w:ind w:firstLine="420" w:firstLineChars="200"/>
      </w:pPr>
      <w:r>
        <w:rPr>
          <w:rFonts w:hint="eastAsia"/>
        </w:rPr>
        <w:t>（1）开标一览表；</w:t>
      </w:r>
    </w:p>
    <w:p>
      <w:pPr>
        <w:pStyle w:val="4"/>
        <w:spacing w:line="360" w:lineRule="auto"/>
        <w:ind w:firstLine="420" w:firstLineChars="200"/>
      </w:pPr>
      <w:r>
        <w:rPr>
          <w:rFonts w:hint="eastAsia"/>
        </w:rPr>
        <w:t>（2）</w:t>
      </w:r>
      <w:r>
        <w:rPr>
          <w:rFonts w:hint="eastAsia"/>
          <w:lang w:val="en-US" w:eastAsia="zh-CN"/>
        </w:rPr>
        <w:t>资质文件</w:t>
      </w:r>
      <w:r>
        <w:rPr>
          <w:rFonts w:hint="eastAsia"/>
        </w:rPr>
        <w:t>；</w:t>
      </w:r>
    </w:p>
    <w:p>
      <w:pPr>
        <w:pStyle w:val="4"/>
        <w:spacing w:line="360" w:lineRule="auto"/>
        <w:ind w:firstLine="420" w:firstLineChars="200"/>
        <w:rPr>
          <w:rFonts w:hint="eastAsia"/>
          <w:lang w:eastAsia="zh-CN"/>
        </w:rPr>
      </w:pPr>
      <w:r>
        <w:rPr>
          <w:rFonts w:hint="eastAsia"/>
        </w:rPr>
        <w:t>（3）</w:t>
      </w:r>
      <w:r>
        <w:rPr>
          <w:rFonts w:hint="eastAsia"/>
          <w:lang w:val="en-US" w:eastAsia="zh-CN"/>
        </w:rPr>
        <w:t>商务文件</w:t>
      </w:r>
      <w:r>
        <w:rPr>
          <w:rFonts w:hint="eastAsia"/>
          <w:lang w:eastAsia="zh-CN"/>
        </w:rPr>
        <w:t>；</w:t>
      </w:r>
    </w:p>
    <w:p>
      <w:pPr>
        <w:pStyle w:val="4"/>
        <w:spacing w:line="360" w:lineRule="auto"/>
        <w:ind w:firstLine="422" w:firstLineChars="200"/>
      </w:pPr>
      <w:r>
        <w:rPr>
          <w:rFonts w:hint="eastAsia"/>
          <w:b/>
        </w:rPr>
        <w:t>说明：</w:t>
      </w:r>
      <w:r>
        <w:rPr>
          <w:rFonts w:hint="eastAsia"/>
        </w:rPr>
        <w:t>投标人需按本招标书之</w:t>
      </w:r>
      <w:r>
        <w:rPr>
          <w:rFonts w:hint="eastAsia"/>
          <w:highlight w:val="none"/>
        </w:rPr>
        <w:t>“第三章 投标文件编制”</w:t>
      </w:r>
      <w:r>
        <w:rPr>
          <w:rFonts w:hint="eastAsia"/>
        </w:rPr>
        <w:t>之相关要求对上述投标文件进行编制密封，并于评标开始时向评标工作小组当面提交。评标开始后未到达现场或未能按规定提交相关材料的，被视为主动放弃本项目投标。</w:t>
      </w:r>
    </w:p>
    <w:p>
      <w:pPr>
        <w:pStyle w:val="4"/>
        <w:spacing w:line="360" w:lineRule="auto"/>
        <w:ind w:firstLine="422" w:firstLineChars="200"/>
        <w:rPr>
          <w:b/>
        </w:rPr>
      </w:pPr>
      <w:r>
        <w:rPr>
          <w:rFonts w:hint="eastAsia"/>
          <w:b/>
        </w:rPr>
        <w:t>8.联 系 人：</w:t>
      </w:r>
    </w:p>
    <w:p>
      <w:pPr>
        <w:pStyle w:val="4"/>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王慕华   </w:t>
      </w:r>
      <w:r>
        <w:rPr>
          <w:rFonts w:hint="eastAsia"/>
          <w:lang w:eastAsia="zh-CN"/>
        </w:rPr>
        <w:t>联系电话</w:t>
      </w:r>
      <w:r>
        <w:rPr>
          <w:rFonts w:hint="eastAsia"/>
        </w:rPr>
        <w:t>：</w:t>
      </w:r>
      <w:r>
        <w:rPr>
          <w:rFonts w:hint="eastAsia"/>
          <w:lang w:val="en-US" w:eastAsia="zh-CN"/>
        </w:rPr>
        <w:t>18815376698</w:t>
      </w:r>
    </w:p>
    <w:p>
      <w:pPr>
        <w:pStyle w:val="4"/>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numPr>
          <w:ilvl w:val="0"/>
          <w:numId w:val="0"/>
        </w:numPr>
        <w:spacing w:before="156" w:beforeLines="50" w:after="312" w:afterLines="100"/>
        <w:jc w:val="center"/>
        <w:outlineLvl w:val="0"/>
        <w:rPr>
          <w:rFonts w:hAnsi="宋体"/>
          <w:b/>
          <w:bCs/>
          <w:sz w:val="36"/>
          <w:szCs w:val="36"/>
        </w:rPr>
      </w:pPr>
      <w:r>
        <w:rPr>
          <w:rFonts w:hint="eastAsia" w:eastAsia="黑体"/>
          <w:b/>
          <w:bCs/>
          <w:sz w:val="36"/>
          <w:szCs w:val="36"/>
        </w:rPr>
        <w:t>投标文件编制</w:t>
      </w:r>
    </w:p>
    <w:p>
      <w:pPr>
        <w:pStyle w:val="4"/>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一、投标文件的签署盖章</w:t>
      </w:r>
    </w:p>
    <w:p>
      <w:pPr>
        <w:pStyle w:val="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pPr>
        <w:pStyle w:val="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2.任何行间插字、涂改和增删，必须由投标人的法定代表人或授权代表签字并加盖公章后才有效。</w:t>
      </w:r>
    </w:p>
    <w:p>
      <w:pPr>
        <w:pStyle w:val="4"/>
        <w:spacing w:line="360" w:lineRule="auto"/>
        <w:rPr>
          <w:rFonts w:ascii="黑体" w:hAnsi="黑体" w:eastAsia="黑体"/>
          <w:b/>
          <w:bCs/>
          <w:sz w:val="28"/>
          <w:szCs w:val="28"/>
        </w:rPr>
      </w:pPr>
      <w:r>
        <w:rPr>
          <w:rFonts w:hint="eastAsia" w:ascii="黑体" w:hAnsi="黑体" w:eastAsia="黑体"/>
          <w:b/>
          <w:bCs/>
          <w:sz w:val="28"/>
          <w:szCs w:val="28"/>
        </w:rPr>
        <w:t>二、投标文件的密封标记</w:t>
      </w:r>
    </w:p>
    <w:p>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Ansi="宋体"/>
          <w:b/>
        </w:rPr>
      </w:pPr>
      <w:r>
        <w:rPr>
          <w:rFonts w:hint="eastAsia" w:ascii="黑体" w:hAnsi="黑体" w:eastAsia="黑体"/>
          <w:b/>
          <w:bCs/>
          <w:sz w:val="28"/>
          <w:szCs w:val="28"/>
        </w:rPr>
        <w:t xml:space="preserve">   </w:t>
      </w:r>
      <w:r>
        <w:rPr>
          <w:rFonts w:hint="eastAsia" w:hAnsi="宋体"/>
          <w:b/>
        </w:rPr>
        <w:t>1.需单独密封的文件</w:t>
      </w:r>
    </w:p>
    <w:p>
      <w:pPr>
        <w:pStyle w:val="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⑴资质文件（内装2份）</w:t>
      </w:r>
    </w:p>
    <w:p>
      <w:pPr>
        <w:pStyle w:val="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lang w:val="en-US" w:eastAsia="zh-CN"/>
        </w:rPr>
        <w:t>⑵开标一览表（内装2份、</w:t>
      </w:r>
      <w:r>
        <w:rPr>
          <w:rFonts w:hint="eastAsia"/>
          <w:highlight w:val="none"/>
          <w:lang w:val="en-US" w:eastAsia="zh-CN"/>
        </w:rPr>
        <w:t>单独密封一份、与商务标一起密封一份）</w:t>
      </w:r>
    </w:p>
    <w:p>
      <w:pPr>
        <w:pStyle w:val="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⑶商务标书（内装1正、3副、U盘-电子版）</w:t>
      </w:r>
    </w:p>
    <w:p>
      <w:pPr>
        <w:pStyle w:val="4"/>
        <w:keepNext w:val="0"/>
        <w:keepLines w:val="0"/>
        <w:pageBreakBefore w:val="0"/>
        <w:widowControl w:val="0"/>
        <w:kinsoku/>
        <w:wordWrap/>
        <w:overflowPunct/>
        <w:topLinePunct w:val="0"/>
        <w:autoSpaceDE/>
        <w:autoSpaceDN/>
        <w:bidi w:val="0"/>
        <w:adjustRightInd/>
        <w:snapToGrid/>
        <w:spacing w:line="360" w:lineRule="auto"/>
        <w:ind w:firstLine="405"/>
        <w:textAlignment w:val="auto"/>
        <w:rPr>
          <w:rFonts w:ascii="黑体" w:hAnsi="黑体" w:eastAsia="黑体"/>
          <w:b/>
          <w:bCs/>
          <w:sz w:val="28"/>
          <w:szCs w:val="28"/>
        </w:rPr>
      </w:pPr>
      <w:r>
        <w:rPr>
          <w:rFonts w:hint="eastAsia" w:hAnsi="宋体"/>
          <w:b/>
        </w:rPr>
        <w:t>2.密封文件的封面标记</w:t>
      </w:r>
    </w:p>
    <w:p>
      <w:pPr>
        <w:pStyle w:val="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⑴项目名称；</w:t>
      </w:r>
    </w:p>
    <w:p>
      <w:pPr>
        <w:pStyle w:val="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⑵投标人名称（加盖公章）、地址、邮编、电话、传真；</w:t>
      </w:r>
    </w:p>
    <w:p>
      <w:pPr>
        <w:pStyle w:val="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⑶每一密封文件在封口处加盖投标人公章；</w:t>
      </w:r>
    </w:p>
    <w:p>
      <w:pPr>
        <w:pStyle w:val="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⑷开标一览表、标书两份密封文件均需在封口处注明“于2026年3月26日上午9时00分之前不准启封”字样；</w:t>
      </w:r>
    </w:p>
    <w:p>
      <w:pPr>
        <w:pStyle w:val="4"/>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lang w:val="en-US" w:eastAsia="zh-CN"/>
        </w:rPr>
      </w:pPr>
      <w:r>
        <w:rPr>
          <w:rFonts w:hint="eastAsia"/>
          <w:b/>
          <w:bCs/>
          <w:lang w:val="en-US" w:eastAsia="zh-CN"/>
        </w:rPr>
        <w:t>注：</w:t>
      </w:r>
      <w:r>
        <w:rPr>
          <w:rFonts w:hint="eastAsia"/>
          <w:lang w:val="en-US" w:eastAsia="zh-CN"/>
        </w:rPr>
        <w:t>如果投标人未按上述要求对投标文件进行密封和标记，或因投标人密封不当造成投标文件的提前开封，招标人有权予以拒绝，并视为投标人主动放弃投标。</w:t>
      </w:r>
    </w:p>
    <w:p>
      <w:pPr>
        <w:pStyle w:val="4"/>
        <w:spacing w:line="360" w:lineRule="auto"/>
        <w:rPr>
          <w:rFonts w:ascii="黑体" w:hAnsi="黑体" w:eastAsia="黑体"/>
          <w:b/>
          <w:bCs/>
          <w:sz w:val="28"/>
          <w:szCs w:val="28"/>
        </w:rPr>
      </w:pPr>
      <w:r>
        <w:rPr>
          <w:rFonts w:hint="eastAsia" w:ascii="黑体" w:hAnsi="黑体" w:eastAsia="黑体"/>
          <w:b/>
          <w:bCs/>
          <w:sz w:val="28"/>
          <w:szCs w:val="28"/>
        </w:rPr>
        <w:t>三、投标文件附件格式</w:t>
      </w:r>
    </w:p>
    <w:p>
      <w:pPr>
        <w:pStyle w:val="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具体格式见附件1～附件12。</w:t>
      </w: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rPr>
          <w:rFonts w:eastAsia="黑体"/>
          <w:b/>
          <w:bCs/>
          <w:sz w:val="28"/>
        </w:rPr>
      </w:pPr>
      <w:r>
        <w:rPr>
          <w:rFonts w:hint="eastAsia" w:eastAsia="黑体"/>
          <w:b/>
          <w:bCs/>
          <w:sz w:val="28"/>
        </w:rPr>
        <w:t>附件1</w:t>
      </w:r>
    </w:p>
    <w:p>
      <w:pPr>
        <w:jc w:val="center"/>
        <w:rPr>
          <w:rFonts w:eastAsia="黑体"/>
          <w:b/>
          <w:bCs/>
          <w:sz w:val="28"/>
        </w:rPr>
      </w:pPr>
      <w:r>
        <w:rPr>
          <w:rFonts w:hint="eastAsia" w:eastAsia="黑体"/>
          <w:b/>
          <w:bCs/>
          <w:sz w:val="28"/>
        </w:rPr>
        <w:t>投标报名表</w:t>
      </w:r>
    </w:p>
    <w:p>
      <w:pPr>
        <w:ind w:firstLine="120" w:firstLineChars="50"/>
        <w:rPr>
          <w:sz w:val="24"/>
        </w:rPr>
      </w:pPr>
      <w:r>
        <w:rPr>
          <w:rFonts w:hint="eastAsia"/>
          <w:sz w:val="24"/>
        </w:rPr>
        <w:t>公章：</w:t>
      </w: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739"/>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1588" w:type="dxa"/>
            <w:noWrap w:val="0"/>
            <w:vAlign w:val="center"/>
          </w:tcPr>
          <w:p>
            <w:pPr>
              <w:jc w:val="center"/>
              <w:rPr>
                <w:sz w:val="24"/>
                <w:szCs w:val="24"/>
              </w:rPr>
            </w:pPr>
            <w:r>
              <w:rPr>
                <w:rFonts w:hint="eastAsia"/>
                <w:sz w:val="24"/>
                <w:szCs w:val="24"/>
              </w:rPr>
              <w:t>项</w:t>
            </w:r>
            <w:r>
              <w:rPr>
                <w:rFonts w:hint="eastAsia"/>
                <w:sz w:val="24"/>
                <w:szCs w:val="24"/>
                <w:highlight w:val="none"/>
              </w:rPr>
              <w:t>目名称</w:t>
            </w:r>
          </w:p>
        </w:tc>
        <w:tc>
          <w:tcPr>
            <w:tcW w:w="7336" w:type="dxa"/>
            <w:gridSpan w:val="3"/>
            <w:noWrap w:val="0"/>
            <w:vAlign w:val="center"/>
          </w:tcPr>
          <w:p>
            <w:pPr>
              <w:jc w:val="center"/>
              <w:rPr>
                <w:rFonts w:hint="eastAsia"/>
                <w:sz w:val="24"/>
                <w:szCs w:val="24"/>
                <w:lang w:val="en-US" w:eastAsia="zh-CN"/>
              </w:rPr>
            </w:pPr>
            <w:r>
              <w:rPr>
                <w:rFonts w:hint="eastAsia"/>
                <w:sz w:val="24"/>
                <w:szCs w:val="24"/>
                <w:lang w:val="en-US" w:eastAsia="zh-CN"/>
              </w:rPr>
              <w:t>可燃气体探测器到期更换项目</w:t>
            </w:r>
          </w:p>
          <w:p>
            <w:pPr>
              <w:jc w:val="both"/>
              <w:rPr>
                <w:rFonts w:ascii="宋体" w:hAnsi="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588" w:type="dxa"/>
            <w:noWrap w:val="0"/>
            <w:vAlign w:val="center"/>
          </w:tcPr>
          <w:p>
            <w:pPr>
              <w:jc w:val="center"/>
              <w:rPr>
                <w:sz w:val="24"/>
                <w:szCs w:val="24"/>
              </w:rPr>
            </w:pPr>
            <w:r>
              <w:rPr>
                <w:rFonts w:hint="eastAsia"/>
                <w:sz w:val="24"/>
                <w:szCs w:val="24"/>
              </w:rPr>
              <w:t>投标单位</w:t>
            </w:r>
          </w:p>
          <w:p>
            <w:pPr>
              <w:jc w:val="center"/>
              <w:rPr>
                <w:sz w:val="24"/>
                <w:szCs w:val="24"/>
              </w:rPr>
            </w:pPr>
            <w:r>
              <w:rPr>
                <w:rFonts w:hint="eastAsia"/>
                <w:sz w:val="24"/>
                <w:szCs w:val="24"/>
              </w:rPr>
              <w:t>（全称）</w:t>
            </w:r>
          </w:p>
        </w:tc>
        <w:tc>
          <w:tcPr>
            <w:tcW w:w="7336" w:type="dxa"/>
            <w:gridSpan w:val="3"/>
            <w:noWrap w:val="0"/>
            <w:vAlign w:val="center"/>
          </w:tcPr>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588" w:type="dxa"/>
            <w:noWrap w:val="0"/>
            <w:vAlign w:val="center"/>
          </w:tcPr>
          <w:p>
            <w:pPr>
              <w:jc w:val="center"/>
              <w:rPr>
                <w:sz w:val="24"/>
                <w:szCs w:val="24"/>
              </w:rPr>
            </w:pPr>
            <w:r>
              <w:rPr>
                <w:rFonts w:hint="eastAsia"/>
                <w:sz w:val="24"/>
                <w:szCs w:val="24"/>
              </w:rPr>
              <w:t>项目负责人</w:t>
            </w:r>
          </w:p>
        </w:tc>
        <w:tc>
          <w:tcPr>
            <w:tcW w:w="2739" w:type="dxa"/>
            <w:noWrap w:val="0"/>
            <w:vAlign w:val="center"/>
          </w:tcPr>
          <w:p>
            <w:pPr>
              <w:jc w:val="center"/>
              <w:rPr>
                <w:sz w:val="24"/>
                <w:szCs w:val="24"/>
              </w:rPr>
            </w:pPr>
          </w:p>
        </w:tc>
        <w:tc>
          <w:tcPr>
            <w:tcW w:w="2272" w:type="dxa"/>
            <w:noWrap w:val="0"/>
            <w:vAlign w:val="center"/>
          </w:tcPr>
          <w:p>
            <w:pPr>
              <w:jc w:val="center"/>
              <w:rPr>
                <w:sz w:val="24"/>
                <w:szCs w:val="24"/>
              </w:rPr>
            </w:pPr>
            <w:r>
              <w:rPr>
                <w:rFonts w:hint="eastAsia"/>
                <w:sz w:val="24"/>
                <w:szCs w:val="24"/>
              </w:rPr>
              <w:t>联系电话</w:t>
            </w:r>
          </w:p>
        </w:tc>
        <w:tc>
          <w:tcPr>
            <w:tcW w:w="2325"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588" w:type="dxa"/>
            <w:noWrap w:val="0"/>
            <w:vAlign w:val="center"/>
          </w:tcPr>
          <w:p>
            <w:pPr>
              <w:jc w:val="center"/>
              <w:rPr>
                <w:sz w:val="24"/>
                <w:szCs w:val="24"/>
              </w:rPr>
            </w:pPr>
            <w:r>
              <w:rPr>
                <w:rFonts w:hint="eastAsia"/>
                <w:sz w:val="24"/>
                <w:szCs w:val="24"/>
              </w:rPr>
              <w:t>公司电话</w:t>
            </w:r>
          </w:p>
        </w:tc>
        <w:tc>
          <w:tcPr>
            <w:tcW w:w="2739" w:type="dxa"/>
            <w:noWrap w:val="0"/>
            <w:vAlign w:val="center"/>
          </w:tcPr>
          <w:p>
            <w:pPr>
              <w:jc w:val="center"/>
              <w:rPr>
                <w:sz w:val="24"/>
                <w:szCs w:val="24"/>
              </w:rPr>
            </w:pPr>
          </w:p>
        </w:tc>
        <w:tc>
          <w:tcPr>
            <w:tcW w:w="2272" w:type="dxa"/>
            <w:noWrap w:val="0"/>
            <w:vAlign w:val="center"/>
          </w:tcPr>
          <w:p>
            <w:pPr>
              <w:jc w:val="center"/>
              <w:rPr>
                <w:sz w:val="24"/>
                <w:szCs w:val="24"/>
              </w:rPr>
            </w:pPr>
            <w:r>
              <w:rPr>
                <w:rFonts w:hint="eastAsia"/>
                <w:sz w:val="24"/>
                <w:szCs w:val="24"/>
              </w:rPr>
              <w:t>传真</w:t>
            </w:r>
          </w:p>
        </w:tc>
        <w:tc>
          <w:tcPr>
            <w:tcW w:w="2325"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588" w:type="dxa"/>
            <w:noWrap w:val="0"/>
            <w:vAlign w:val="center"/>
          </w:tcPr>
          <w:p>
            <w:pPr>
              <w:jc w:val="center"/>
              <w:rPr>
                <w:sz w:val="24"/>
                <w:szCs w:val="24"/>
              </w:rPr>
            </w:pPr>
            <w:r>
              <w:rPr>
                <w:rFonts w:hint="eastAsia"/>
                <w:sz w:val="24"/>
                <w:szCs w:val="24"/>
              </w:rPr>
              <w:t>E-mail</w:t>
            </w:r>
          </w:p>
        </w:tc>
        <w:tc>
          <w:tcPr>
            <w:tcW w:w="7336" w:type="dxa"/>
            <w:gridSpan w:val="3"/>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588" w:type="dxa"/>
            <w:noWrap w:val="0"/>
            <w:vAlign w:val="center"/>
          </w:tcPr>
          <w:p>
            <w:pPr>
              <w:jc w:val="center"/>
              <w:rPr>
                <w:sz w:val="24"/>
                <w:szCs w:val="24"/>
              </w:rPr>
            </w:pPr>
            <w:r>
              <w:rPr>
                <w:rFonts w:hint="eastAsia"/>
                <w:sz w:val="24"/>
                <w:szCs w:val="24"/>
              </w:rPr>
              <w:t>报名时间</w:t>
            </w:r>
          </w:p>
        </w:tc>
        <w:tc>
          <w:tcPr>
            <w:tcW w:w="7336" w:type="dxa"/>
            <w:gridSpan w:val="3"/>
            <w:noWrap w:val="0"/>
            <w:vAlign w:val="center"/>
          </w:tcPr>
          <w:p>
            <w:pPr>
              <w:jc w:val="center"/>
              <w:rPr>
                <w:sz w:val="24"/>
                <w:szCs w:val="24"/>
              </w:rPr>
            </w:pPr>
            <w:r>
              <w:rPr>
                <w:rFonts w:hint="eastAsia"/>
                <w:sz w:val="24"/>
                <w:szCs w:val="24"/>
              </w:rPr>
              <w:t>年    月    日</w:t>
            </w:r>
          </w:p>
        </w:tc>
      </w:tr>
    </w:tbl>
    <w:p>
      <w:pPr>
        <w:spacing w:line="420" w:lineRule="exact"/>
        <w:ind w:firstLine="482" w:firstLineChars="200"/>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pPr>
        <w:spacing w:line="420" w:lineRule="exact"/>
        <w:ind w:firstLine="240" w:firstLineChars="100"/>
        <w:rPr>
          <w:rFonts w:hint="default" w:ascii="宋体" w:hAnsi="宋体" w:eastAsiaTheme="minorEastAsia"/>
          <w:color w:val="auto"/>
          <w:sz w:val="24"/>
          <w:lang w:val="en-US" w:eastAsia="zh-CN"/>
        </w:rPr>
      </w:pPr>
      <w:r>
        <w:rPr>
          <w:rFonts w:hint="eastAsia" w:ascii="宋体" w:hAnsi="宋体"/>
          <w:color w:val="auto"/>
          <w:sz w:val="24"/>
        </w:rPr>
        <w:t>联系人：</w:t>
      </w:r>
      <w:r>
        <w:rPr>
          <w:rFonts w:hint="eastAsia" w:ascii="宋体" w:hAnsi="宋体"/>
          <w:color w:val="auto"/>
          <w:sz w:val="24"/>
          <w:lang w:val="en-US" w:eastAsia="zh-CN"/>
        </w:rPr>
        <w:t>王慕华</w:t>
      </w:r>
      <w:r>
        <w:rPr>
          <w:rFonts w:hint="eastAsia" w:ascii="宋体" w:hAnsi="宋体"/>
          <w:color w:val="auto"/>
          <w:sz w:val="24"/>
        </w:rPr>
        <w:t xml:space="preserve">     联系电话：</w:t>
      </w:r>
      <w:r>
        <w:rPr>
          <w:rFonts w:hint="eastAsia" w:ascii="宋体" w:hAnsi="宋体"/>
          <w:color w:val="auto"/>
          <w:sz w:val="24"/>
          <w:lang w:val="en-US" w:eastAsia="zh-CN"/>
        </w:rPr>
        <w:t>18815376698</w:t>
      </w: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pStyle w:val="4"/>
        <w:spacing w:line="360" w:lineRule="auto"/>
        <w:rPr>
          <w:rFonts w:hint="default"/>
          <w:color w:val="000000"/>
          <w:highlight w:val="none"/>
          <w:lang w:val="en-US" w:eastAsia="zh-CN"/>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2</w:t>
      </w:r>
    </w:p>
    <w:p>
      <w:pPr>
        <w:jc w:val="both"/>
        <w:rPr>
          <w:rFonts w:hint="eastAsia"/>
          <w:sz w:val="24"/>
          <w:szCs w:val="24"/>
          <w:lang w:val="en-US" w:eastAsia="zh-CN"/>
        </w:rPr>
      </w:pPr>
      <w:r>
        <w:rPr>
          <w:rFonts w:hint="eastAsia" w:ascii="宋体" w:hAnsi="宋体"/>
        </w:rPr>
        <w:t>项目名称：</w:t>
      </w:r>
      <w:r>
        <w:rPr>
          <w:rFonts w:hint="eastAsia"/>
          <w:sz w:val="24"/>
          <w:szCs w:val="24"/>
          <w:lang w:val="en-US" w:eastAsia="zh-CN"/>
        </w:rPr>
        <w:t>可燃气体探测器到期更换项目</w:t>
      </w:r>
    </w:p>
    <w:p>
      <w:pPr>
        <w:jc w:val="left"/>
        <w:rPr>
          <w:rFonts w:hint="eastAsia" w:ascii="宋体" w:hAnsi="宋体"/>
          <w:u w:val="single"/>
          <w:lang w:val="en-US" w:eastAsia="zh-CN"/>
        </w:rPr>
      </w:pPr>
    </w:p>
    <w:p>
      <w:pPr>
        <w:jc w:val="center"/>
        <w:rPr>
          <w:rFonts w:eastAsia="黑体"/>
          <w:b/>
          <w:bCs/>
          <w:sz w:val="28"/>
        </w:rPr>
      </w:pPr>
      <w:r>
        <w:rPr>
          <w:rFonts w:hint="eastAsia" w:eastAsia="黑体"/>
          <w:b/>
          <w:bCs/>
          <w:sz w:val="28"/>
        </w:rPr>
        <w:t>投标函</w:t>
      </w:r>
    </w:p>
    <w:p>
      <w:pPr>
        <w:numPr>
          <w:ilvl w:val="0"/>
          <w:numId w:val="0"/>
        </w:numPr>
        <w:rPr>
          <w:rFonts w:hint="eastAsia" w:ascii="宋体" w:hAnsi="宋体"/>
          <w:highlight w:val="none"/>
        </w:rPr>
      </w:pPr>
      <w:r>
        <w:rPr>
          <w:rFonts w:hint="eastAsia" w:ascii="宋体" w:hAnsi="宋体"/>
          <w:highlight w:val="none"/>
        </w:rPr>
        <w:t>致</w:t>
      </w:r>
      <w:r>
        <w:rPr>
          <w:rFonts w:hint="eastAsia" w:ascii="宋体" w:hAnsi="宋体"/>
          <w:highlight w:val="none"/>
          <w:u w:val="single"/>
        </w:rPr>
        <w:t>（招标人名称）                            ：</w:t>
      </w:r>
    </w:p>
    <w:p>
      <w:pPr>
        <w:numPr>
          <w:ilvl w:val="0"/>
          <w:numId w:val="0"/>
        </w:numPr>
        <w:ind w:firstLine="420" w:firstLineChars="200"/>
        <w:rPr>
          <w:rFonts w:hint="eastAsia" w:ascii="宋体" w:hAnsi="宋体"/>
          <w:highlight w:val="none"/>
          <w:u w:val="singl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的投标邀请，签字代表</w:t>
      </w:r>
      <w:r>
        <w:rPr>
          <w:rFonts w:hint="eastAsia" w:ascii="宋体" w:hAnsi="宋体"/>
          <w:highlight w:val="none"/>
          <w:u w:val="single"/>
        </w:rPr>
        <w:t xml:space="preserve">（全名、职务）           </w:t>
      </w:r>
      <w:r>
        <w:rPr>
          <w:rFonts w:hint="eastAsia" w:ascii="宋体" w:hAnsi="宋体"/>
          <w:highlight w:val="none"/>
          <w:u w:val="single"/>
          <w:lang w:val="en-US" w:eastAsia="zh-CN"/>
        </w:rPr>
        <w:t xml:space="preserve">   </w:t>
      </w:r>
      <w:r>
        <w:rPr>
          <w:rFonts w:hint="eastAsia" w:ascii="宋体" w:hAnsi="宋体"/>
          <w:highlight w:val="none"/>
        </w:rPr>
        <w:t>经正式授权并代表投标人</w:t>
      </w:r>
      <w:r>
        <w:rPr>
          <w:rFonts w:hint="eastAsia" w:ascii="宋体" w:hAnsi="宋体"/>
          <w:highlight w:val="none"/>
          <w:u w:val="single"/>
        </w:rPr>
        <w:t>（投标人名称、地址）</w:t>
      </w:r>
    </w:p>
    <w:p>
      <w:pPr>
        <w:numPr>
          <w:ilvl w:val="0"/>
          <w:numId w:val="0"/>
        </w:numPr>
        <w:rPr>
          <w:rFonts w:hint="eastAsia" w:ascii="宋体" w:hAnsi="宋体"/>
          <w:highlight w:val="none"/>
        </w:rPr>
      </w:pP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rPr>
        <w:t>提交下述文件：</w:t>
      </w:r>
    </w:p>
    <w:p>
      <w:pPr>
        <w:rPr>
          <w:rFonts w:ascii="宋体" w:hAnsi="宋体"/>
          <w:highlight w:val="none"/>
        </w:rPr>
      </w:pPr>
      <w:r>
        <w:rPr>
          <w:rFonts w:hint="eastAsia" w:ascii="宋体" w:hAnsi="宋体"/>
          <w:b/>
          <w:highlight w:val="none"/>
        </w:rPr>
        <w:t>标书</w:t>
      </w:r>
      <w:r>
        <w:rPr>
          <w:rFonts w:hint="eastAsia" w:ascii="宋体" w:hAnsi="宋体"/>
          <w:highlight w:val="none"/>
        </w:rPr>
        <w:t>（正本</w:t>
      </w:r>
      <w:r>
        <w:rPr>
          <w:rFonts w:hint="eastAsia" w:ascii="宋体" w:hAnsi="宋体"/>
          <w:highlight w:val="none"/>
          <w:u w:val="single"/>
        </w:rPr>
        <w:t>1</w:t>
      </w:r>
      <w:r>
        <w:rPr>
          <w:rFonts w:hint="eastAsia" w:ascii="宋体" w:hAnsi="宋体"/>
          <w:highlight w:val="none"/>
        </w:rPr>
        <w:t>份和副本一式</w:t>
      </w:r>
      <w:r>
        <w:rPr>
          <w:rFonts w:hint="eastAsia" w:ascii="宋体" w:hAnsi="宋体"/>
          <w:highlight w:val="none"/>
          <w:u w:val="single"/>
          <w:lang w:val="en-US" w:eastAsia="zh-CN"/>
        </w:rPr>
        <w:t>3</w:t>
      </w:r>
      <w:r>
        <w:rPr>
          <w:rFonts w:hint="eastAsia" w:ascii="宋体" w:hAnsi="宋体"/>
          <w:highlight w:val="none"/>
        </w:rPr>
        <w:t>份）</w:t>
      </w:r>
    </w:p>
    <w:p>
      <w:pPr>
        <w:rPr>
          <w:rFonts w:ascii="宋体" w:hAnsi="宋体"/>
        </w:rPr>
      </w:pPr>
      <w:r>
        <w:rPr>
          <w:rFonts w:hint="eastAsia" w:ascii="宋体" w:hAnsi="宋体"/>
          <w:b/>
        </w:rPr>
        <w:t>开标一览表</w:t>
      </w:r>
      <w:r>
        <w:rPr>
          <w:rFonts w:hint="eastAsia" w:ascii="宋体" w:hAnsi="宋体"/>
        </w:rPr>
        <w:t>（2份）</w:t>
      </w:r>
    </w:p>
    <w:p>
      <w:pPr>
        <w:rPr>
          <w:rFonts w:ascii="宋体" w:hAnsi="宋体"/>
        </w:rPr>
      </w:pPr>
      <w:r>
        <w:rPr>
          <w:rFonts w:hint="eastAsia" w:ascii="宋体" w:hAnsi="宋体"/>
          <w:b/>
        </w:rPr>
        <w:t>资质证明文件</w:t>
      </w:r>
      <w:r>
        <w:rPr>
          <w:rFonts w:hint="eastAsia" w:ascii="宋体" w:hAnsi="宋体"/>
        </w:rPr>
        <w:t>（2份）</w:t>
      </w:r>
    </w:p>
    <w:p>
      <w:pPr>
        <w:rPr>
          <w:rFonts w:ascii="宋体" w:hAnsi="宋体"/>
          <w:highlight w:val="none"/>
        </w:rPr>
      </w:pPr>
      <w:r>
        <w:rPr>
          <w:rFonts w:hint="eastAsia" w:ascii="宋体" w:hAnsi="宋体"/>
          <w:highlight w:val="none"/>
        </w:rPr>
        <w:t>据此，签字代表宣布同意如下：</w:t>
      </w:r>
    </w:p>
    <w:p>
      <w:pPr>
        <w:numPr>
          <w:ilvl w:val="0"/>
          <w:numId w:val="1"/>
        </w:numPr>
        <w:rPr>
          <w:rFonts w:ascii="宋体" w:hAnsi="宋体"/>
          <w:highlight w:val="none"/>
          <w:u w:val="single"/>
        </w:rPr>
      </w:pPr>
      <w:r>
        <w:rPr>
          <w:rFonts w:hint="eastAsia" w:ascii="宋体" w:hAnsi="宋体"/>
          <w:highlight w:val="none"/>
        </w:rPr>
        <w:t>所附投标报价表中规定的报价</w:t>
      </w:r>
      <w:r>
        <w:rPr>
          <w:rFonts w:hint="eastAsia" w:ascii="宋体" w:hAnsi="宋体"/>
          <w:highlight w:val="none"/>
          <w:u w:val="single"/>
        </w:rPr>
        <w:t>币种    。</w:t>
      </w:r>
    </w:p>
    <w:p>
      <w:pPr>
        <w:numPr>
          <w:ilvl w:val="0"/>
          <w:numId w:val="1"/>
        </w:numPr>
        <w:rPr>
          <w:rFonts w:ascii="宋体" w:hAnsi="宋体"/>
          <w:highlight w:val="none"/>
        </w:rPr>
      </w:pPr>
      <w:r>
        <w:rPr>
          <w:rFonts w:hint="eastAsia" w:ascii="宋体" w:hAnsi="宋体"/>
          <w:highlight w:val="none"/>
        </w:rPr>
        <w:t>投标人将按招标文件的规定履行合同责任和义务。</w:t>
      </w:r>
    </w:p>
    <w:p>
      <w:pPr>
        <w:numPr>
          <w:ilvl w:val="0"/>
          <w:numId w:val="1"/>
        </w:numPr>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1"/>
        </w:numPr>
        <w:rPr>
          <w:rFonts w:ascii="宋体" w:hAnsi="宋体"/>
          <w:highlight w:val="none"/>
        </w:rPr>
      </w:pPr>
      <w:r>
        <w:rPr>
          <w:rFonts w:hint="eastAsia"/>
          <w:szCs w:val="21"/>
          <w:highlight w:val="none"/>
        </w:rPr>
        <w:t>投标有效期：自投标截止之日起90个自然天内有效</w:t>
      </w:r>
      <w:r>
        <w:rPr>
          <w:rFonts w:hint="eastAsia" w:ascii="宋体" w:hAnsi="宋体"/>
          <w:szCs w:val="21"/>
          <w:highlight w:val="none"/>
        </w:rPr>
        <w:t>。</w:t>
      </w:r>
    </w:p>
    <w:p>
      <w:pPr>
        <w:numPr>
          <w:ilvl w:val="0"/>
          <w:numId w:val="1"/>
        </w:numPr>
        <w:rPr>
          <w:rFonts w:ascii="宋体" w:hAnsi="宋体"/>
          <w:highlight w:val="none"/>
        </w:rPr>
      </w:pPr>
      <w:r>
        <w:rPr>
          <w:rFonts w:hint="eastAsia" w:ascii="宋体" w:hAnsi="宋体"/>
          <w:highlight w:val="none"/>
        </w:rPr>
        <w:t>投标人同意提供贵方要求的可能与投标有关的一切数据和资料</w:t>
      </w:r>
      <w:r>
        <w:rPr>
          <w:rFonts w:hint="eastAsia" w:ascii="宋体" w:hAnsi="宋体"/>
          <w:highlight w:val="none"/>
          <w:lang w:eastAsia="zh-CN"/>
        </w:rPr>
        <w:t>。</w:t>
      </w:r>
    </w:p>
    <w:p>
      <w:pPr>
        <w:numPr>
          <w:ilvl w:val="0"/>
          <w:numId w:val="1"/>
        </w:numPr>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1"/>
        </w:numPr>
        <w:rPr>
          <w:rFonts w:ascii="宋体" w:hAnsi="宋体"/>
          <w:highlight w:val="none"/>
        </w:rPr>
      </w:pPr>
      <w:r>
        <w:rPr>
          <w:rFonts w:hint="eastAsia" w:ascii="宋体" w:hAnsi="宋体"/>
          <w:highlight w:val="none"/>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ind w:left="795"/>
      </w:pPr>
      <w:r>
        <w:rPr>
          <w:rFonts w:hint="eastAsia"/>
        </w:rPr>
        <w:t>投标人授权代表签字：                 职务：                 日期：</w:t>
      </w:r>
    </w:p>
    <w:p>
      <w:pPr>
        <w:ind w:left="795"/>
      </w:pPr>
      <w:r>
        <w:rPr>
          <w:rFonts w:hint="eastAsia"/>
        </w:rPr>
        <w:t>投标人授权代表姓名、职务（印刷体）：</w:t>
      </w:r>
    </w:p>
    <w:p>
      <w:pPr>
        <w:ind w:left="795"/>
      </w:pPr>
      <w:r>
        <w:rPr>
          <w:rFonts w:hint="eastAsia"/>
        </w:rPr>
        <w:t>投标人名称（及公章）：</w:t>
      </w:r>
    </w:p>
    <w:p>
      <w:pPr>
        <w:ind w:left="795"/>
      </w:pPr>
      <w:r>
        <w:rPr>
          <w:rFonts w:hint="eastAsia"/>
        </w:rPr>
        <w:t>日期：        年       月       日</w:t>
      </w:r>
    </w:p>
    <w:p>
      <w:pPr>
        <w:pStyle w:val="4"/>
        <w:spacing w:line="360" w:lineRule="auto"/>
        <w:rPr>
          <w:rFonts w:hint="default" w:ascii="宋体" w:hAnsi="宋体"/>
          <w:u w:val="single"/>
          <w:lang w:val="en-US" w:eastAsia="zh-CN"/>
        </w:rPr>
      </w:pPr>
    </w:p>
    <w:p>
      <w:pPr>
        <w:pStyle w:val="4"/>
        <w:spacing w:line="360" w:lineRule="auto"/>
        <w:rPr>
          <w:rFonts w:hint="default" w:ascii="宋体" w:hAnsi="宋体"/>
          <w:u w:val="single"/>
          <w:lang w:val="en-US" w:eastAsia="zh-CN"/>
        </w:rPr>
      </w:pPr>
    </w:p>
    <w:p>
      <w:pPr>
        <w:pStyle w:val="4"/>
        <w:spacing w:line="360" w:lineRule="auto"/>
        <w:rPr>
          <w:rFonts w:hint="default" w:ascii="宋体" w:hAnsi="宋体"/>
          <w:u w:val="single"/>
          <w:lang w:val="en-US" w:eastAsia="zh-CN"/>
        </w:rPr>
      </w:pPr>
    </w:p>
    <w:p>
      <w:pPr>
        <w:pStyle w:val="4"/>
        <w:spacing w:line="360" w:lineRule="auto"/>
        <w:rPr>
          <w:rFonts w:hint="default" w:ascii="宋体" w:hAnsi="宋体"/>
          <w:u w:val="single"/>
          <w:lang w:val="en-US" w:eastAsia="zh-CN"/>
        </w:rPr>
      </w:pPr>
    </w:p>
    <w:p>
      <w:pPr>
        <w:pStyle w:val="4"/>
        <w:spacing w:line="360" w:lineRule="auto"/>
        <w:rPr>
          <w:rFonts w:hint="default" w:ascii="宋体" w:hAnsi="宋体"/>
          <w:u w:val="single"/>
          <w:lang w:val="en-US" w:eastAsia="zh-CN"/>
        </w:rPr>
      </w:pPr>
    </w:p>
    <w:p>
      <w:pPr>
        <w:pStyle w:val="4"/>
        <w:spacing w:line="360" w:lineRule="auto"/>
        <w:rPr>
          <w:rFonts w:hint="default" w:ascii="宋体" w:hAnsi="宋体"/>
          <w:u w:val="single"/>
          <w:lang w:val="en-US" w:eastAsia="zh-CN"/>
        </w:rPr>
      </w:pPr>
    </w:p>
    <w:p>
      <w:pPr>
        <w:pStyle w:val="4"/>
        <w:spacing w:line="360" w:lineRule="auto"/>
        <w:rPr>
          <w:rFonts w:hint="default" w:ascii="宋体" w:hAnsi="宋体"/>
          <w:u w:val="single"/>
          <w:lang w:val="en-US" w:eastAsia="zh-CN"/>
        </w:rPr>
      </w:pPr>
    </w:p>
    <w:p>
      <w:pPr>
        <w:pStyle w:val="4"/>
        <w:spacing w:line="360" w:lineRule="auto"/>
        <w:rPr>
          <w:rFonts w:hint="default" w:ascii="宋体" w:hAnsi="宋体"/>
          <w:u w:val="single"/>
          <w:lang w:val="en-US" w:eastAsia="zh-CN"/>
        </w:rPr>
      </w:pPr>
    </w:p>
    <w:p>
      <w:pPr>
        <w:pStyle w:val="4"/>
        <w:spacing w:line="360" w:lineRule="auto"/>
        <w:rPr>
          <w:rFonts w:hint="default" w:ascii="宋体" w:hAnsi="宋体"/>
          <w:u w:val="single"/>
          <w:lang w:val="en-US" w:eastAsia="zh-CN"/>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3</w:t>
      </w:r>
    </w:p>
    <w:p>
      <w:pPr>
        <w:jc w:val="both"/>
        <w:rPr>
          <w:rFonts w:hint="eastAsia" w:ascii="宋体" w:hAnsi="宋体"/>
          <w:u w:val="single"/>
        </w:rPr>
      </w:pPr>
      <w:r>
        <w:rPr>
          <w:rFonts w:hint="eastAsia" w:ascii="宋体" w:hAnsi="宋体"/>
        </w:rPr>
        <w:t>项目名称：</w:t>
      </w:r>
      <w:r>
        <w:rPr>
          <w:rFonts w:hint="eastAsia"/>
          <w:sz w:val="24"/>
          <w:szCs w:val="24"/>
          <w:lang w:val="en-US" w:eastAsia="zh-CN"/>
        </w:rPr>
        <w:t>可燃气体探测器到期更换项目</w:t>
      </w:r>
    </w:p>
    <w:p>
      <w:pPr>
        <w:pStyle w:val="4"/>
        <w:spacing w:line="360" w:lineRule="auto"/>
        <w:rPr>
          <w:rFonts w:hint="eastAsia" w:hAnsi="宋体"/>
          <w:u w:val="none"/>
          <w:lang w:val="en-US" w:eastAsia="zh-CN"/>
        </w:rPr>
      </w:pPr>
      <w:r>
        <w:rPr>
          <w:rFonts w:hint="eastAsia" w:hAnsi="宋体"/>
          <w:u w:val="none"/>
          <w:lang w:val="en-US" w:eastAsia="zh-CN"/>
        </w:rPr>
        <w:t>日期：            年     月     日</w:t>
      </w:r>
    </w:p>
    <w:p>
      <w:pPr>
        <w:jc w:val="center"/>
        <w:rPr>
          <w:rFonts w:hint="eastAsia" w:eastAsia="黑体"/>
          <w:b/>
          <w:bCs/>
          <w:sz w:val="28"/>
        </w:rPr>
      </w:pPr>
      <w:r>
        <w:rPr>
          <w:rFonts w:hint="eastAsia" w:eastAsia="黑体"/>
          <w:b/>
          <w:bCs/>
          <w:sz w:val="28"/>
        </w:rPr>
        <w:t>法人授权委托书</w:t>
      </w:r>
    </w:p>
    <w:p>
      <w:pPr>
        <w:rPr>
          <w:rFonts w:hint="eastAsia" w:ascii="宋体" w:hAnsi="宋体"/>
          <w:u w:val="single"/>
        </w:rPr>
      </w:pPr>
      <w:r>
        <w:rPr>
          <w:rFonts w:hint="eastAsia" w:ascii="宋体" w:hAnsi="宋体"/>
        </w:rPr>
        <w:t>致</w:t>
      </w:r>
      <w:r>
        <w:rPr>
          <w:rFonts w:hint="eastAsia" w:ascii="宋体" w:hAnsi="宋体"/>
          <w:u w:val="single"/>
          <w:lang w:val="en-US" w:eastAsia="zh-CN"/>
        </w:rPr>
        <w:t>中国重汽集团济宁商用车有限公司</w:t>
      </w:r>
      <w:r>
        <w:rPr>
          <w:rFonts w:hint="eastAsia" w:ascii="宋体" w:hAnsi="宋体"/>
          <w:u w:val="single"/>
        </w:rPr>
        <w:t>：</w:t>
      </w:r>
    </w:p>
    <w:p>
      <w:pPr>
        <w:jc w:val="center"/>
        <w:rPr>
          <w:rFonts w:ascii="宋体" w:hAnsi="宋体"/>
          <w:u w:val="single"/>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kern w:val="0"/>
          <w:szCs w:val="21"/>
          <w:u w:val="single"/>
          <w:lang w:val="en-US" w:eastAsia="zh-CN"/>
        </w:rPr>
        <w:t>可燃气体探测器到期更换项目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hint="eastAsia" w:ascii="宋体"/>
          <w:kern w:val="0"/>
          <w:szCs w:val="21"/>
        </w:rPr>
      </w:pPr>
      <w:r>
        <w:rPr>
          <w:rFonts w:hint="eastAsia" w:ascii="宋体" w:hAnsi="宋体"/>
          <w:kern w:val="0"/>
          <w:szCs w:val="21"/>
        </w:rPr>
        <w:t>法定代表人：（签字）</w:t>
      </w:r>
    </w:p>
    <w:p>
      <w:pPr>
        <w:spacing w:line="360" w:lineRule="auto"/>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4</w:t>
      </w:r>
    </w:p>
    <w:p>
      <w:pPr>
        <w:jc w:val="both"/>
        <w:rPr>
          <w:rFonts w:hint="eastAsia" w:ascii="宋体" w:hAnsi="宋体"/>
          <w:u w:val="single"/>
          <w:lang w:val="en-US" w:eastAsia="zh-CN"/>
        </w:rPr>
      </w:pPr>
      <w:r>
        <w:rPr>
          <w:rFonts w:hint="eastAsia" w:ascii="宋体" w:hAnsi="宋体"/>
        </w:rPr>
        <w:t>项目名称：</w:t>
      </w:r>
      <w:r>
        <w:rPr>
          <w:rFonts w:hint="eastAsia" w:ascii="宋体" w:hAnsi="宋体"/>
          <w:u w:val="single"/>
          <w:lang w:val="en-US" w:eastAsia="zh-CN"/>
        </w:rPr>
        <w:t>可燃气体探测器到期更换项目</w:t>
      </w:r>
    </w:p>
    <w:p>
      <w:pPr>
        <w:pStyle w:val="4"/>
        <w:spacing w:line="360" w:lineRule="auto"/>
        <w:rPr>
          <w:rFonts w:ascii="宋体" w:hAnsi="宋体"/>
          <w:szCs w:val="21"/>
        </w:rPr>
      </w:pPr>
      <w:r>
        <w:rPr>
          <w:rFonts w:hint="eastAsia" w:ascii="宋体" w:hAnsi="宋体"/>
          <w:szCs w:val="21"/>
        </w:rPr>
        <w:t>日期：  年   月   日</w:t>
      </w:r>
    </w:p>
    <w:p>
      <w:pPr>
        <w:jc w:val="center"/>
        <w:rPr>
          <w:rFonts w:ascii="黑体" w:eastAsia="黑体"/>
          <w:sz w:val="30"/>
        </w:rPr>
      </w:pPr>
      <w:r>
        <w:rPr>
          <w:rFonts w:hint="eastAsia" w:ascii="黑体" w:eastAsia="黑体"/>
          <w:sz w:val="30"/>
        </w:rPr>
        <w:t>投标文件目录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szCs w:val="21"/>
              </w:rPr>
            </w:pPr>
            <w:r>
              <w:rPr>
                <w:rFonts w:hint="eastAsia"/>
                <w:szCs w:val="21"/>
              </w:rPr>
              <w:t>序号</w:t>
            </w:r>
          </w:p>
        </w:tc>
        <w:tc>
          <w:tcPr>
            <w:tcW w:w="6520" w:type="dxa"/>
            <w:noWrap w:val="0"/>
            <w:vAlign w:val="center"/>
          </w:tcPr>
          <w:p>
            <w:pPr>
              <w:jc w:val="center"/>
              <w:rPr>
                <w:szCs w:val="21"/>
              </w:rPr>
            </w:pPr>
            <w:r>
              <w:rPr>
                <w:rFonts w:hint="eastAsia"/>
                <w:szCs w:val="21"/>
              </w:rPr>
              <w:t>主要内容</w:t>
            </w:r>
          </w:p>
        </w:tc>
        <w:tc>
          <w:tcPr>
            <w:tcW w:w="1276" w:type="dxa"/>
            <w:noWrap w:val="0"/>
            <w:vAlign w:val="center"/>
          </w:tcPr>
          <w:p>
            <w:pPr>
              <w:jc w:val="center"/>
              <w:rPr>
                <w:szCs w:val="21"/>
              </w:rPr>
            </w:pPr>
            <w:r>
              <w:rPr>
                <w:rFonts w:hint="eastAsia"/>
                <w:szCs w:val="21"/>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pPr>
          </w:p>
        </w:tc>
        <w:tc>
          <w:tcPr>
            <w:tcW w:w="6520" w:type="dxa"/>
            <w:noWrap w:val="0"/>
            <w:vAlign w:val="center"/>
          </w:tcPr>
          <w:p>
            <w:pPr>
              <w:jc w:val="center"/>
            </w:pPr>
          </w:p>
        </w:tc>
        <w:tc>
          <w:tcPr>
            <w:tcW w:w="1276" w:type="dxa"/>
            <w:noWrap w:val="0"/>
            <w:vAlign w:val="center"/>
          </w:tcPr>
          <w:p>
            <w:pPr>
              <w:jc w:val="center"/>
            </w:pPr>
          </w:p>
        </w:tc>
      </w:tr>
    </w:tbl>
    <w:p>
      <w:pPr>
        <w:rPr>
          <w:rFonts w:ascii="宋体" w:hAnsi="宋体"/>
          <w:sz w:val="24"/>
          <w:szCs w:val="24"/>
        </w:rPr>
      </w:pPr>
    </w:p>
    <w:p>
      <w:pPr>
        <w:rPr>
          <w:rFonts w:ascii="宋体" w:hAnsi="宋体"/>
          <w:szCs w:val="21"/>
        </w:rPr>
      </w:pPr>
      <w:r>
        <w:rPr>
          <w:rFonts w:hint="eastAsia" w:ascii="宋体" w:hAnsi="宋体"/>
          <w:szCs w:val="21"/>
        </w:rPr>
        <w:t>投标人名称（盖章）：              法定代表人或授权代表签字：</w:t>
      </w:r>
    </w:p>
    <w:p>
      <w:pPr>
        <w:rPr>
          <w:rFonts w:ascii="宋体" w:hAnsi="宋体"/>
          <w:sz w:val="24"/>
        </w:rPr>
      </w:pPr>
    </w:p>
    <w:p>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pPr>
        <w:ind w:firstLine="480"/>
        <w:rPr>
          <w:rFonts w:hint="eastAsia" w:ascii="宋体" w:hAnsi="宋体"/>
          <w:szCs w:val="21"/>
        </w:rPr>
      </w:pPr>
      <w:r>
        <w:rPr>
          <w:rFonts w:hint="eastAsia" w:ascii="宋体" w:hAnsi="宋体"/>
          <w:szCs w:val="21"/>
        </w:rPr>
        <w:t>2．“索引”一栏填写该主要内容对应于投标文件的“条款号/页号”。</w:t>
      </w:r>
    </w:p>
    <w:p>
      <w:pPr>
        <w:pStyle w:val="4"/>
        <w:spacing w:line="360" w:lineRule="auto"/>
        <w:rPr>
          <w:rFonts w:hint="default" w:hAnsi="宋体"/>
          <w:u w:val="none"/>
          <w:lang w:val="en-US" w:eastAsia="zh-CN"/>
        </w:rPr>
      </w:pPr>
    </w:p>
    <w:p>
      <w:pPr>
        <w:rPr>
          <w:rFonts w:hint="eastAsia" w:ascii="宋体" w:hAnsi="宋体" w:eastAsia="黑体"/>
          <w:szCs w:val="21"/>
          <w:lang w:eastAsia="zh-CN"/>
        </w:rPr>
      </w:pPr>
      <w:r>
        <w:rPr>
          <w:rFonts w:hint="eastAsia" w:eastAsia="黑体"/>
          <w:b/>
          <w:bCs/>
          <w:sz w:val="28"/>
        </w:rPr>
        <w:t>附件</w:t>
      </w:r>
      <w:r>
        <w:rPr>
          <w:rFonts w:hint="eastAsia" w:eastAsia="黑体"/>
          <w:b/>
          <w:bCs/>
          <w:sz w:val="28"/>
          <w:lang w:val="en-US" w:eastAsia="zh-CN"/>
        </w:rPr>
        <w:t>5</w:t>
      </w:r>
    </w:p>
    <w:p>
      <w:pPr>
        <w:jc w:val="both"/>
        <w:rPr>
          <w:rFonts w:hint="eastAsia" w:ascii="宋体" w:hAnsi="宋体"/>
          <w:u w:val="single"/>
          <w:lang w:val="en-US" w:eastAsia="zh-CN"/>
        </w:rPr>
      </w:pPr>
      <w:r>
        <w:rPr>
          <w:rFonts w:hint="eastAsia" w:ascii="宋体" w:hAnsi="宋体"/>
        </w:rPr>
        <w:t>项目名称：</w:t>
      </w:r>
      <w:r>
        <w:rPr>
          <w:rFonts w:hint="eastAsia" w:ascii="宋体" w:hAnsi="宋体"/>
          <w:u w:val="single"/>
          <w:lang w:val="en-US" w:eastAsia="zh-CN"/>
        </w:rPr>
        <w:t>可燃气体探测器到期更换项目</w:t>
      </w:r>
    </w:p>
    <w:p>
      <w:pPr>
        <w:pStyle w:val="4"/>
        <w:spacing w:line="360" w:lineRule="auto"/>
        <w:rPr>
          <w:rFonts w:hint="eastAsia" w:ascii="宋体" w:hAnsi="宋体"/>
          <w:u w:val="single"/>
        </w:rPr>
      </w:pPr>
    </w:p>
    <w:p>
      <w:pPr>
        <w:rPr>
          <w:rFonts w:ascii="宋体" w:hAnsi="宋体"/>
          <w:szCs w:val="21"/>
        </w:rPr>
      </w:pPr>
      <w:r>
        <w:rPr>
          <w:rFonts w:hint="eastAsia" w:ascii="宋体" w:hAnsi="宋体"/>
          <w:szCs w:val="21"/>
        </w:rPr>
        <w:t>日期：  年   月   日</w:t>
      </w:r>
    </w:p>
    <w:tbl>
      <w:tblPr>
        <w:tblStyle w:val="8"/>
        <w:tblW w:w="5000" w:type="pct"/>
        <w:tblInd w:w="0" w:type="dxa"/>
        <w:tblLayout w:type="fixed"/>
        <w:tblCellMar>
          <w:top w:w="0" w:type="dxa"/>
          <w:left w:w="108" w:type="dxa"/>
          <w:bottom w:w="0" w:type="dxa"/>
          <w:right w:w="108" w:type="dxa"/>
        </w:tblCellMar>
      </w:tblPr>
      <w:tblGrid>
        <w:gridCol w:w="360"/>
        <w:gridCol w:w="812"/>
        <w:gridCol w:w="1194"/>
        <w:gridCol w:w="1442"/>
        <w:gridCol w:w="365"/>
        <w:gridCol w:w="677"/>
        <w:gridCol w:w="646"/>
        <w:gridCol w:w="457"/>
        <w:gridCol w:w="436"/>
        <w:gridCol w:w="822"/>
        <w:gridCol w:w="822"/>
        <w:gridCol w:w="489"/>
      </w:tblGrid>
      <w:tr>
        <w:tblPrEx>
          <w:tblCellMar>
            <w:top w:w="0" w:type="dxa"/>
            <w:left w:w="108" w:type="dxa"/>
            <w:bottom w:w="0" w:type="dxa"/>
            <w:right w:w="108" w:type="dxa"/>
          </w:tblCellMar>
        </w:tblPrEx>
        <w:trPr>
          <w:trHeight w:val="560" w:hRule="atLeast"/>
        </w:trPr>
        <w:tc>
          <w:tcPr>
            <w:tcW w:w="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序号</w:t>
            </w:r>
          </w:p>
        </w:tc>
        <w:tc>
          <w:tcPr>
            <w:tcW w:w="476" w:type="pct"/>
            <w:tcBorders>
              <w:top w:val="single" w:color="auto" w:sz="4" w:space="0"/>
              <w:left w:val="nil"/>
              <w:bottom w:val="single" w:color="auto" w:sz="4" w:space="0"/>
              <w:right w:val="single" w:color="auto" w:sz="4" w:space="0"/>
            </w:tcBorders>
            <w:shd w:val="clear" w:color="000000" w:fill="FFFF0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物资/设备/...名称</w:t>
            </w:r>
          </w:p>
        </w:tc>
        <w:tc>
          <w:tcPr>
            <w:tcW w:w="700" w:type="pct"/>
            <w:tcBorders>
              <w:top w:val="single" w:color="auto" w:sz="4" w:space="0"/>
              <w:left w:val="nil"/>
              <w:bottom w:val="single" w:color="auto" w:sz="4" w:space="0"/>
              <w:right w:val="single" w:color="auto" w:sz="4" w:space="0"/>
            </w:tcBorders>
            <w:shd w:val="clear" w:color="000000" w:fill="FFFF0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规格型号</w:t>
            </w:r>
          </w:p>
        </w:tc>
        <w:tc>
          <w:tcPr>
            <w:tcW w:w="846" w:type="pct"/>
            <w:tcBorders>
              <w:top w:val="single" w:color="auto" w:sz="4" w:space="0"/>
              <w:left w:val="nil"/>
              <w:bottom w:val="single" w:color="auto" w:sz="4" w:space="0"/>
              <w:right w:val="single" w:color="auto" w:sz="4" w:space="0"/>
            </w:tcBorders>
            <w:shd w:val="clear" w:color="000000" w:fill="FFFF0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具体参数</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（规格型号的描述）</w:t>
            </w:r>
          </w:p>
        </w:tc>
        <w:tc>
          <w:tcPr>
            <w:tcW w:w="214" w:type="pct"/>
            <w:tcBorders>
              <w:top w:val="single" w:color="auto" w:sz="4" w:space="0"/>
              <w:left w:val="nil"/>
              <w:bottom w:val="single" w:color="auto" w:sz="4" w:space="0"/>
              <w:right w:val="single" w:color="auto" w:sz="4" w:space="0"/>
            </w:tcBorders>
            <w:shd w:val="clear" w:color="000000" w:fill="FFFF0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品牌</w:t>
            </w:r>
          </w:p>
        </w:tc>
        <w:tc>
          <w:tcPr>
            <w:tcW w:w="397" w:type="pct"/>
            <w:tcBorders>
              <w:top w:val="single" w:color="auto" w:sz="4" w:space="0"/>
              <w:left w:val="nil"/>
              <w:bottom w:val="single" w:color="auto" w:sz="4" w:space="0"/>
              <w:right w:val="single" w:color="auto" w:sz="4" w:space="0"/>
            </w:tcBorders>
            <w:shd w:val="clear" w:color="000000" w:fill="FFFF0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未税单价</w:t>
            </w:r>
          </w:p>
        </w:tc>
        <w:tc>
          <w:tcPr>
            <w:tcW w:w="379" w:type="pct"/>
            <w:tcBorders>
              <w:top w:val="single" w:color="auto" w:sz="4" w:space="0"/>
              <w:left w:val="nil"/>
              <w:bottom w:val="single" w:color="auto" w:sz="4" w:space="0"/>
              <w:right w:val="single" w:color="auto" w:sz="4" w:space="0"/>
            </w:tcBorders>
            <w:shd w:val="clear" w:color="000000" w:fill="FFFF0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含税单价</w:t>
            </w:r>
          </w:p>
        </w:tc>
        <w:tc>
          <w:tcPr>
            <w:tcW w:w="268" w:type="pct"/>
            <w:tcBorders>
              <w:top w:val="single" w:color="auto" w:sz="4" w:space="0"/>
              <w:left w:val="nil"/>
              <w:bottom w:val="single" w:color="auto" w:sz="4" w:space="0"/>
              <w:right w:val="single" w:color="auto" w:sz="4" w:space="0"/>
            </w:tcBorders>
            <w:shd w:val="clear" w:color="000000" w:fill="FFFF0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计量单位</w:t>
            </w:r>
          </w:p>
        </w:tc>
        <w:tc>
          <w:tcPr>
            <w:tcW w:w="255" w:type="pct"/>
            <w:tcBorders>
              <w:top w:val="single" w:color="auto" w:sz="4" w:space="0"/>
              <w:left w:val="nil"/>
              <w:bottom w:val="single" w:color="auto" w:sz="4" w:space="0"/>
              <w:right w:val="single" w:color="auto" w:sz="4" w:space="0"/>
            </w:tcBorders>
            <w:shd w:val="clear" w:color="000000" w:fill="FFFF0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数量</w:t>
            </w:r>
          </w:p>
        </w:tc>
        <w:tc>
          <w:tcPr>
            <w:tcW w:w="482" w:type="pct"/>
            <w:tcBorders>
              <w:top w:val="single" w:color="auto" w:sz="4" w:space="0"/>
              <w:left w:val="nil"/>
              <w:bottom w:val="single" w:color="auto" w:sz="4" w:space="0"/>
              <w:right w:val="single" w:color="auto" w:sz="4" w:space="0"/>
            </w:tcBorders>
            <w:shd w:val="clear" w:color="000000" w:fill="FFFF0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未税总价</w:t>
            </w:r>
          </w:p>
        </w:tc>
        <w:tc>
          <w:tcPr>
            <w:tcW w:w="482" w:type="pct"/>
            <w:tcBorders>
              <w:top w:val="single" w:color="auto" w:sz="4" w:space="0"/>
              <w:left w:val="nil"/>
              <w:bottom w:val="single" w:color="auto" w:sz="4" w:space="0"/>
              <w:right w:val="single" w:color="auto" w:sz="4" w:space="0"/>
            </w:tcBorders>
            <w:shd w:val="clear" w:color="000000" w:fill="FFFF0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含税总价</w:t>
            </w:r>
          </w:p>
        </w:tc>
        <w:tc>
          <w:tcPr>
            <w:tcW w:w="28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备注</w:t>
            </w:r>
          </w:p>
        </w:tc>
      </w:tr>
      <w:tr>
        <w:tblPrEx>
          <w:tblCellMar>
            <w:top w:w="0" w:type="dxa"/>
            <w:left w:w="108" w:type="dxa"/>
            <w:bottom w:w="0" w:type="dxa"/>
            <w:right w:w="108" w:type="dxa"/>
          </w:tblCellMar>
        </w:tblPrEx>
        <w:trPr>
          <w:trHeight w:val="1427"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可燃气体探测器</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GTYQ-GST006M</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检测原理：催化燃烧式（可燃）</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检测气体：甲烷（天然气）</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采样方式：扩散式</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操作方式：红外遥控器</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测量范围：3%LEL~100%LEL（可燃）</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示值误差：±5%LEL</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低限报警值：25%LEL（可燃）</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高限报警值：50%LEL（可燃）</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响应时间（T90） ≤30秒</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工作电压：DC24V</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功耗 ≤2.5W</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显示方式 4个LED指示灯+数码管浓度显示，可外接声光报警器</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信号输出：LBUS四总线</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通讯距离：≤1000m（屏蔽线4×1.5mm²）</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报警输出：报警继电器（无源常开触点输出，触点容量：3A@30VDC、3A@250VAC）有源声光报警器输出（200mA@24VDC）</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防爆等级：ExdbⅡCT6 Gb，ExtbⅢCT80℃ Db</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防护等级：IP66</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海湾</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台</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70</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r>
      <w:tr>
        <w:tblPrEx>
          <w:tblCellMar>
            <w:top w:w="0" w:type="dxa"/>
            <w:left w:w="108" w:type="dxa"/>
            <w:bottom w:w="0" w:type="dxa"/>
            <w:right w:w="108" w:type="dxa"/>
          </w:tblCellMar>
        </w:tblPrEx>
        <w:trPr>
          <w:trHeight w:val="168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2</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可燃气体探测器</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检测气体：可燃气体</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采样方式：扩散式</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工作电压：DC24V</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功耗 ≤2.5W</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防爆等级：ExdbⅡCT6 Gb</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防护等级：IP64</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海湾/保时安/欧泰威尔/上海翼捷</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台</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6</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调漆间</w:t>
            </w:r>
          </w:p>
        </w:tc>
      </w:tr>
      <w:tr>
        <w:tblPrEx>
          <w:tblCellMar>
            <w:top w:w="0" w:type="dxa"/>
            <w:left w:w="108" w:type="dxa"/>
            <w:bottom w:w="0" w:type="dxa"/>
            <w:right w:w="108" w:type="dxa"/>
          </w:tblCellMar>
        </w:tblPrEx>
        <w:trPr>
          <w:trHeight w:val="168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3</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有毒有害气体探测器</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检测气体：二甲苯</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采样方式：扩散式</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工作电压：DC24V</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功耗 ≤2.5W</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防爆等级：ExdbⅡCT6 Gb</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防护等级：IP65</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海湾/保时安/欧泰威尔/上海翼捷</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台</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6</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储漆间</w:t>
            </w:r>
          </w:p>
        </w:tc>
      </w:tr>
      <w:tr>
        <w:tblPrEx>
          <w:tblCellMar>
            <w:top w:w="0" w:type="dxa"/>
            <w:left w:w="108" w:type="dxa"/>
            <w:bottom w:w="0" w:type="dxa"/>
            <w:right w:w="108" w:type="dxa"/>
          </w:tblCellMar>
        </w:tblPrEx>
        <w:trPr>
          <w:trHeight w:val="2865"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4</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氧含量气体探测器</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检测气体：氧气</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采样方式：扩散式</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工作电压：DC24V</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功耗 ≤2.5W</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防爆等级：ExdbⅡCT6 Gb</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防护等级：IP66</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海湾/保时安/欧泰威尔/上海翼捷</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台</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5</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储漆间外间2个；二氧化碳室2个；总装部门3个</w:t>
            </w:r>
          </w:p>
        </w:tc>
      </w:tr>
      <w:tr>
        <w:tblPrEx>
          <w:tblCellMar>
            <w:top w:w="0" w:type="dxa"/>
            <w:left w:w="108" w:type="dxa"/>
            <w:bottom w:w="0" w:type="dxa"/>
            <w:right w:w="108" w:type="dxa"/>
          </w:tblCellMar>
        </w:tblPrEx>
        <w:trPr>
          <w:trHeight w:val="196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5</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独立式可燃气体探测器</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检测气体：可燃气体（甲烷）</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采样方式：扩散式</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工作电压：DC24V</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功耗 ≤2.5W</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联网方式：4G</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防爆等级：ExdbⅡCT6 Gb</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防护等级：IP66</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海湾/保时安/欧泰威尔</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台</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4</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一餐2个；三餐一个；补漆车间一个</w:t>
            </w:r>
          </w:p>
        </w:tc>
      </w:tr>
      <w:tr>
        <w:tblPrEx>
          <w:tblCellMar>
            <w:top w:w="0" w:type="dxa"/>
            <w:left w:w="108" w:type="dxa"/>
            <w:bottom w:w="0" w:type="dxa"/>
            <w:right w:w="108" w:type="dxa"/>
          </w:tblCellMar>
        </w:tblPrEx>
        <w:trPr>
          <w:trHeight w:val="467"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6</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有毒有害气体探测器</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GTYQ-DX102</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检测气体：有毒有害气体</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采样方式：扩散式</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响应时间（T90） ≤30秒</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工作电压：DC24V</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功耗 ≤2.5W</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防爆等级：ExdbⅡCT6 Gb</w:t>
            </w:r>
            <w:r>
              <w:rPr>
                <w:rFonts w:hint="eastAsia" w:ascii="等线" w:hAnsi="等线" w:eastAsia="等线" w:cs="宋体"/>
                <w:color w:val="000000"/>
                <w:kern w:val="0"/>
                <w:sz w:val="13"/>
                <w:szCs w:val="15"/>
              </w:rPr>
              <w:br w:type="textWrapping"/>
            </w:r>
            <w:r>
              <w:rPr>
                <w:rFonts w:hint="eastAsia" w:ascii="等线" w:hAnsi="等线" w:eastAsia="等线" w:cs="宋体"/>
                <w:color w:val="000000"/>
                <w:kern w:val="0"/>
                <w:sz w:val="13"/>
                <w:szCs w:val="15"/>
              </w:rPr>
              <w:t>防护等级：IP66</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海湾/保时安/鑫豪斯/</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台</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4</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危废库使用</w:t>
            </w:r>
          </w:p>
        </w:tc>
      </w:tr>
      <w:tr>
        <w:tblPrEx>
          <w:tblCellMar>
            <w:top w:w="0" w:type="dxa"/>
            <w:left w:w="108" w:type="dxa"/>
            <w:bottom w:w="0" w:type="dxa"/>
            <w:right w:w="108" w:type="dxa"/>
          </w:tblCellMar>
        </w:tblPrEx>
        <w:trPr>
          <w:trHeight w:val="28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7</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探测主机</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BH-50</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4路主机、带声光报警、支持485通讯</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海湾/保时安/鑫豪斯/</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台</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1</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危废库</w:t>
            </w:r>
          </w:p>
        </w:tc>
      </w:tr>
      <w:tr>
        <w:tblPrEx>
          <w:tblCellMar>
            <w:top w:w="0" w:type="dxa"/>
            <w:left w:w="108" w:type="dxa"/>
            <w:bottom w:w="0" w:type="dxa"/>
            <w:right w:w="108" w:type="dxa"/>
          </w:tblCellMar>
        </w:tblPrEx>
        <w:trPr>
          <w:trHeight w:val="56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8</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探测主机</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BH-50</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16路主机、带声光报警、支持486通讯</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海湾/保时安/鑫豪斯/</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台</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1</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涂装车间入口</w:t>
            </w:r>
          </w:p>
        </w:tc>
      </w:tr>
      <w:tr>
        <w:tblPrEx>
          <w:tblCellMar>
            <w:top w:w="0" w:type="dxa"/>
            <w:left w:w="108" w:type="dxa"/>
            <w:bottom w:w="0" w:type="dxa"/>
            <w:right w:w="108" w:type="dxa"/>
          </w:tblCellMar>
        </w:tblPrEx>
        <w:trPr>
          <w:trHeight w:val="28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9</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防爆通讯箱</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防爆箱</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300*400*200</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国标</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个</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1</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危废库</w:t>
            </w:r>
          </w:p>
        </w:tc>
      </w:tr>
      <w:tr>
        <w:tblPrEx>
          <w:tblCellMar>
            <w:top w:w="0" w:type="dxa"/>
            <w:left w:w="108" w:type="dxa"/>
            <w:bottom w:w="0" w:type="dxa"/>
            <w:right w:w="108" w:type="dxa"/>
          </w:tblCellMar>
        </w:tblPrEx>
        <w:trPr>
          <w:trHeight w:val="112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10</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通讯箱</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通讯箱</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300*400*200</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国标</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个</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4</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车身值班室、车架部、车身车间入口</w:t>
            </w:r>
          </w:p>
        </w:tc>
      </w:tr>
      <w:tr>
        <w:tblPrEx>
          <w:tblCellMar>
            <w:top w:w="0" w:type="dxa"/>
            <w:left w:w="108" w:type="dxa"/>
            <w:bottom w:w="0" w:type="dxa"/>
            <w:right w:w="108" w:type="dxa"/>
          </w:tblCellMar>
        </w:tblPrEx>
        <w:trPr>
          <w:trHeight w:val="28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11</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通讯模块</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YW-DTU-485</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4G通讯</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华允</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个</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5</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r>
      <w:tr>
        <w:tblPrEx>
          <w:tblCellMar>
            <w:top w:w="0" w:type="dxa"/>
            <w:left w:w="108" w:type="dxa"/>
            <w:bottom w:w="0" w:type="dxa"/>
            <w:right w:w="108" w:type="dxa"/>
          </w:tblCellMar>
        </w:tblPrEx>
        <w:trPr>
          <w:trHeight w:val="56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12</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接口卡</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专用接口卡</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JB-KR-GSTN004可燃气体报警控制器接口卡</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海湾</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个</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2</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车架、车身主机通讯</w:t>
            </w:r>
          </w:p>
        </w:tc>
      </w:tr>
      <w:tr>
        <w:tblPrEx>
          <w:tblCellMar>
            <w:top w:w="0" w:type="dxa"/>
            <w:left w:w="108" w:type="dxa"/>
            <w:bottom w:w="0" w:type="dxa"/>
            <w:right w:w="108" w:type="dxa"/>
          </w:tblCellMar>
        </w:tblPrEx>
        <w:trPr>
          <w:trHeight w:val="28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13</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安装辅材</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安装辅材</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支架、螺丝、转接头、485线等</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国标</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套</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95</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r>
      <w:tr>
        <w:tblPrEx>
          <w:tblCellMar>
            <w:top w:w="0" w:type="dxa"/>
            <w:left w:w="108" w:type="dxa"/>
            <w:bottom w:w="0" w:type="dxa"/>
            <w:right w:w="108" w:type="dxa"/>
          </w:tblCellMar>
        </w:tblPrEx>
        <w:trPr>
          <w:trHeight w:val="31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14</w:t>
            </w:r>
          </w:p>
        </w:tc>
        <w:tc>
          <w:tcPr>
            <w:tcW w:w="476"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kern w:val="0"/>
                <w:sz w:val="15"/>
                <w:szCs w:val="15"/>
              </w:rPr>
            </w:pPr>
            <w:r>
              <w:rPr>
                <w:rFonts w:hint="eastAsia" w:ascii="等线" w:hAnsi="等线" w:eastAsia="等线" w:cs="宋体"/>
                <w:kern w:val="0"/>
                <w:sz w:val="15"/>
                <w:szCs w:val="15"/>
              </w:rPr>
              <w:t>电缆</w:t>
            </w:r>
          </w:p>
        </w:tc>
        <w:tc>
          <w:tcPr>
            <w:tcW w:w="700"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kern w:val="0"/>
                <w:sz w:val="15"/>
                <w:szCs w:val="15"/>
              </w:rPr>
            </w:pPr>
            <w:r>
              <w:rPr>
                <w:rFonts w:hint="eastAsia" w:ascii="等线" w:hAnsi="等线" w:eastAsia="等线" w:cs="宋体"/>
                <w:kern w:val="0"/>
                <w:sz w:val="15"/>
                <w:szCs w:val="15"/>
              </w:rPr>
              <w:t>RVV2*1.5</w:t>
            </w:r>
          </w:p>
        </w:tc>
        <w:tc>
          <w:tcPr>
            <w:tcW w:w="846"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kern w:val="0"/>
                <w:sz w:val="15"/>
                <w:szCs w:val="15"/>
              </w:rPr>
            </w:pPr>
            <w:r>
              <w:rPr>
                <w:rFonts w:hint="eastAsia" w:ascii="等线" w:hAnsi="等线" w:eastAsia="等线" w:cs="宋体"/>
                <w:kern w:val="0"/>
                <w:sz w:val="15"/>
                <w:szCs w:val="15"/>
              </w:rPr>
              <w:t>RVV2*1.5</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国标</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米</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400</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车身喷漆房、危废库、储漆间调漆间使用</w:t>
            </w:r>
          </w:p>
        </w:tc>
      </w:tr>
      <w:tr>
        <w:tblPrEx>
          <w:tblCellMar>
            <w:top w:w="0" w:type="dxa"/>
            <w:left w:w="108" w:type="dxa"/>
            <w:bottom w:w="0" w:type="dxa"/>
            <w:right w:w="108" w:type="dxa"/>
          </w:tblCellMar>
        </w:tblPrEx>
        <w:trPr>
          <w:trHeight w:val="31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15</w:t>
            </w:r>
          </w:p>
        </w:tc>
        <w:tc>
          <w:tcPr>
            <w:tcW w:w="476"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kern w:val="0"/>
                <w:sz w:val="15"/>
                <w:szCs w:val="15"/>
              </w:rPr>
            </w:pPr>
            <w:r>
              <w:rPr>
                <w:rFonts w:hint="eastAsia" w:ascii="等线" w:hAnsi="等线" w:eastAsia="等线" w:cs="宋体"/>
                <w:kern w:val="0"/>
                <w:sz w:val="15"/>
                <w:szCs w:val="15"/>
              </w:rPr>
              <w:t>双绞线</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NH-RVS2*1.5</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NH-RVS2*1.5</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国标</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米</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400</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p>
        </w:tc>
      </w:tr>
      <w:tr>
        <w:tblPrEx>
          <w:tblCellMar>
            <w:top w:w="0" w:type="dxa"/>
            <w:left w:w="108" w:type="dxa"/>
            <w:bottom w:w="0" w:type="dxa"/>
            <w:right w:w="108" w:type="dxa"/>
          </w:tblCellMar>
        </w:tblPrEx>
        <w:trPr>
          <w:trHeight w:val="31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16</w:t>
            </w:r>
          </w:p>
        </w:tc>
        <w:tc>
          <w:tcPr>
            <w:tcW w:w="476"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kern w:val="0"/>
                <w:sz w:val="15"/>
                <w:szCs w:val="15"/>
              </w:rPr>
            </w:pPr>
            <w:r>
              <w:rPr>
                <w:rFonts w:hint="eastAsia" w:ascii="等线" w:hAnsi="等线" w:eastAsia="等线" w:cs="宋体"/>
                <w:kern w:val="0"/>
                <w:sz w:val="15"/>
                <w:szCs w:val="15"/>
              </w:rPr>
              <w:t>防爆管</w:t>
            </w:r>
          </w:p>
        </w:tc>
        <w:tc>
          <w:tcPr>
            <w:tcW w:w="700"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kern w:val="0"/>
                <w:sz w:val="15"/>
                <w:szCs w:val="15"/>
              </w:rPr>
            </w:pPr>
            <w:r>
              <w:rPr>
                <w:rFonts w:hint="eastAsia" w:ascii="等线" w:hAnsi="等线" w:eastAsia="等线" w:cs="宋体"/>
                <w:kern w:val="0"/>
                <w:sz w:val="15"/>
                <w:szCs w:val="15"/>
              </w:rPr>
              <w:t>Φ40*1.2mm</w:t>
            </w:r>
          </w:p>
        </w:tc>
        <w:tc>
          <w:tcPr>
            <w:tcW w:w="846"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kern w:val="0"/>
                <w:sz w:val="15"/>
                <w:szCs w:val="15"/>
              </w:rPr>
            </w:pPr>
            <w:r>
              <w:rPr>
                <w:rFonts w:hint="eastAsia" w:ascii="等线" w:hAnsi="等线" w:eastAsia="等线" w:cs="宋体"/>
                <w:kern w:val="0"/>
                <w:sz w:val="15"/>
                <w:szCs w:val="15"/>
              </w:rPr>
              <w:t>Φ40*1.2mm</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国标</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米</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400</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86" w:type="pct"/>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p>
        </w:tc>
      </w:tr>
      <w:tr>
        <w:tblPrEx>
          <w:tblCellMar>
            <w:top w:w="0" w:type="dxa"/>
            <w:left w:w="108" w:type="dxa"/>
            <w:bottom w:w="0" w:type="dxa"/>
            <w:right w:w="108" w:type="dxa"/>
          </w:tblCellMar>
        </w:tblPrEx>
        <w:trPr>
          <w:trHeight w:val="31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17</w:t>
            </w:r>
          </w:p>
        </w:tc>
        <w:tc>
          <w:tcPr>
            <w:tcW w:w="476"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kern w:val="0"/>
                <w:sz w:val="15"/>
                <w:szCs w:val="15"/>
              </w:rPr>
            </w:pPr>
            <w:r>
              <w:rPr>
                <w:rFonts w:hint="eastAsia" w:ascii="等线" w:hAnsi="等线" w:eastAsia="等线" w:cs="宋体"/>
                <w:kern w:val="0"/>
                <w:sz w:val="15"/>
                <w:szCs w:val="15"/>
              </w:rPr>
              <w:t>防爆软管</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BNG防爆挠性管</w:t>
            </w:r>
          </w:p>
        </w:tc>
        <w:tc>
          <w:tcPr>
            <w:tcW w:w="846"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kern w:val="0"/>
                <w:sz w:val="15"/>
                <w:szCs w:val="15"/>
              </w:rPr>
            </w:pPr>
            <w:r>
              <w:rPr>
                <w:rFonts w:hint="eastAsia" w:ascii="等线" w:hAnsi="等线" w:eastAsia="等线" w:cs="宋体"/>
                <w:kern w:val="0"/>
                <w:sz w:val="15"/>
                <w:szCs w:val="15"/>
              </w:rPr>
              <w:t>　</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国标</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根</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34</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p>
        </w:tc>
      </w:tr>
      <w:tr>
        <w:tblPrEx>
          <w:tblCellMar>
            <w:top w:w="0" w:type="dxa"/>
            <w:left w:w="108" w:type="dxa"/>
            <w:bottom w:w="0" w:type="dxa"/>
            <w:right w:w="108" w:type="dxa"/>
          </w:tblCellMar>
        </w:tblPrEx>
        <w:trPr>
          <w:trHeight w:val="28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18</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登高车</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登高车</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12米登高车</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国标</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台班</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7</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r>
      <w:tr>
        <w:tblPrEx>
          <w:tblCellMar>
            <w:top w:w="0" w:type="dxa"/>
            <w:left w:w="108" w:type="dxa"/>
            <w:bottom w:w="0" w:type="dxa"/>
            <w:right w:w="108" w:type="dxa"/>
          </w:tblCellMar>
        </w:tblPrEx>
        <w:trPr>
          <w:trHeight w:val="28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19</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施工安装</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施工安装</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原设备拆除、新设备安装调试</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国标</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人/日</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30</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r>
      <w:tr>
        <w:tblPrEx>
          <w:tblCellMar>
            <w:top w:w="0" w:type="dxa"/>
            <w:left w:w="108" w:type="dxa"/>
            <w:bottom w:w="0" w:type="dxa"/>
            <w:right w:w="108" w:type="dxa"/>
          </w:tblCellMar>
        </w:tblPrEx>
        <w:trPr>
          <w:trHeight w:val="30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20</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设备年检</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设备年检</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eastAsia="宋体" w:cs="宋体"/>
                <w:color w:val="000000"/>
                <w:kern w:val="0"/>
                <w:sz w:val="15"/>
                <w:szCs w:val="15"/>
              </w:rPr>
            </w:pPr>
            <w:r>
              <w:rPr>
                <w:rFonts w:hint="eastAsia" w:ascii="宋体" w:hAnsi="宋体" w:eastAsia="宋体" w:cs="宋体"/>
                <w:color w:val="000000"/>
                <w:kern w:val="0"/>
                <w:sz w:val="15"/>
                <w:szCs w:val="15"/>
              </w:rPr>
              <w:t>提供</w:t>
            </w:r>
            <w:r>
              <w:rPr>
                <w:rFonts w:hint="eastAsia" w:ascii="宋体" w:hAnsi="宋体" w:eastAsia="宋体" w:cs="宋体"/>
                <w:color w:val="000000"/>
                <w:kern w:val="0"/>
                <w:sz w:val="15"/>
                <w:szCs w:val="15"/>
                <w:lang w:val="en-US" w:eastAsia="zh-CN"/>
              </w:rPr>
              <w:t>安装当</w:t>
            </w:r>
            <w:r>
              <w:rPr>
                <w:rFonts w:hint="eastAsia" w:ascii="宋体" w:hAnsi="宋体" w:eastAsia="宋体" w:cs="宋体"/>
                <w:color w:val="000000"/>
                <w:kern w:val="0"/>
                <w:sz w:val="15"/>
                <w:szCs w:val="15"/>
              </w:rPr>
              <w:t>年的探头检测、传感器检测</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eastAsia="宋体" w:cs="宋体"/>
                <w:color w:val="000000"/>
                <w:kern w:val="0"/>
                <w:sz w:val="15"/>
                <w:szCs w:val="15"/>
              </w:rPr>
            </w:pPr>
            <w:r>
              <w:rPr>
                <w:rFonts w:hint="eastAsia" w:ascii="宋体" w:hAnsi="宋体" w:eastAsia="宋体" w:cs="宋体"/>
                <w:color w:val="000000"/>
                <w:kern w:val="0"/>
                <w:sz w:val="15"/>
                <w:szCs w:val="15"/>
              </w:rPr>
              <w:t>国标</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项</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95</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r>
      <w:tr>
        <w:tblPrEx>
          <w:tblCellMar>
            <w:top w:w="0" w:type="dxa"/>
            <w:left w:w="108" w:type="dxa"/>
            <w:bottom w:w="0" w:type="dxa"/>
            <w:right w:w="108" w:type="dxa"/>
          </w:tblCellMar>
        </w:tblPrEx>
        <w:trPr>
          <w:trHeight w:val="60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21</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值守终端</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中控室值守终端</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eastAsia="宋体" w:cs="宋体"/>
                <w:color w:val="000000"/>
                <w:kern w:val="0"/>
                <w:sz w:val="15"/>
                <w:szCs w:val="15"/>
              </w:rPr>
            </w:pPr>
            <w:r>
              <w:rPr>
                <w:rFonts w:hint="eastAsia" w:ascii="宋体" w:hAnsi="宋体" w:eastAsia="宋体" w:cs="宋体"/>
                <w:color w:val="000000"/>
                <w:kern w:val="0"/>
                <w:sz w:val="15"/>
                <w:szCs w:val="15"/>
              </w:rPr>
              <w:t>i5/i7处理器，8GB/16GB内存，256GB/512GB SSD硬盘，千兆网卡</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联想</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台</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1</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r>
      <w:tr>
        <w:tblPrEx>
          <w:tblCellMar>
            <w:top w:w="0" w:type="dxa"/>
            <w:left w:w="108" w:type="dxa"/>
            <w:bottom w:w="0" w:type="dxa"/>
            <w:right w:w="108" w:type="dxa"/>
          </w:tblCellMar>
        </w:tblPrEx>
        <w:trPr>
          <w:trHeight w:val="90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22</w:t>
            </w:r>
          </w:p>
        </w:tc>
        <w:tc>
          <w:tcPr>
            <w:tcW w:w="47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软件及调试</w:t>
            </w:r>
          </w:p>
        </w:tc>
        <w:tc>
          <w:tcPr>
            <w:tcW w:w="70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软件及调试</w:t>
            </w:r>
          </w:p>
        </w:tc>
        <w:tc>
          <w:tcPr>
            <w:tcW w:w="84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eastAsia="宋体" w:cs="宋体"/>
                <w:color w:val="000000"/>
                <w:kern w:val="0"/>
                <w:sz w:val="15"/>
                <w:szCs w:val="15"/>
              </w:rPr>
            </w:pPr>
            <w:r>
              <w:rPr>
                <w:rFonts w:hint="eastAsia" w:ascii="宋体" w:hAnsi="宋体" w:eastAsia="宋体" w:cs="宋体"/>
                <w:color w:val="000000"/>
                <w:kern w:val="0"/>
                <w:sz w:val="15"/>
                <w:szCs w:val="15"/>
              </w:rPr>
              <w:t>实现全局状态显示、精准定位报警及声光警示，构建一套完整、可靠的可燃气体集中监控系统</w:t>
            </w:r>
          </w:p>
        </w:tc>
        <w:tc>
          <w:tcPr>
            <w:tcW w:w="2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定制</w:t>
            </w:r>
          </w:p>
        </w:tc>
        <w:tc>
          <w:tcPr>
            <w:tcW w:w="397"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68"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项</w:t>
            </w:r>
          </w:p>
        </w:tc>
        <w:tc>
          <w:tcPr>
            <w:tcW w:w="25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1</w:t>
            </w: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p>
        </w:tc>
        <w:tc>
          <w:tcPr>
            <w:tcW w:w="28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r>
      <w:tr>
        <w:tblPrEx>
          <w:tblCellMar>
            <w:top w:w="0" w:type="dxa"/>
            <w:left w:w="108" w:type="dxa"/>
            <w:bottom w:w="0" w:type="dxa"/>
            <w:right w:w="108" w:type="dxa"/>
          </w:tblCellMar>
        </w:tblPrEx>
        <w:trPr>
          <w:trHeight w:val="280" w:hRule="atLeast"/>
        </w:trPr>
        <w:tc>
          <w:tcPr>
            <w:tcW w:w="3748" w:type="pct"/>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合计</w:t>
            </w:r>
          </w:p>
        </w:tc>
        <w:tc>
          <w:tcPr>
            <w:tcW w:w="482"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等线" w:hAnsi="等线" w:eastAsia="等线"/>
                <w:color w:val="000000"/>
                <w:sz w:val="13"/>
                <w:szCs w:val="15"/>
              </w:rPr>
            </w:pPr>
          </w:p>
        </w:tc>
        <w:tc>
          <w:tcPr>
            <w:tcW w:w="482"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等线" w:hAnsi="等线" w:eastAsia="等线"/>
                <w:color w:val="000000"/>
                <w:sz w:val="13"/>
                <w:szCs w:val="15"/>
              </w:rPr>
            </w:pPr>
            <w:r>
              <w:rPr>
                <w:rFonts w:hint="eastAsia" w:ascii="等线" w:hAnsi="等线" w:eastAsia="等线"/>
                <w:color w:val="000000"/>
                <w:sz w:val="13"/>
                <w:szCs w:val="15"/>
              </w:rPr>
              <w:t xml:space="preserve"> </w:t>
            </w:r>
          </w:p>
        </w:tc>
        <w:tc>
          <w:tcPr>
            <w:tcW w:w="286"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等线" w:hAnsi="等线" w:eastAsia="等线" w:cs="宋体"/>
                <w:color w:val="000000"/>
                <w:kern w:val="0"/>
                <w:sz w:val="13"/>
                <w:szCs w:val="15"/>
              </w:rPr>
            </w:pPr>
            <w:r>
              <w:rPr>
                <w:rFonts w:hint="eastAsia" w:ascii="等线" w:hAnsi="等线" w:eastAsia="等线" w:cs="宋体"/>
                <w:color w:val="000000"/>
                <w:kern w:val="0"/>
                <w:sz w:val="13"/>
                <w:szCs w:val="15"/>
              </w:rPr>
              <w:t>　</w:t>
            </w:r>
          </w:p>
        </w:tc>
      </w:tr>
    </w:tbl>
    <w:p>
      <w:pPr>
        <w:rPr>
          <w:rFonts w:hint="eastAsia"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r>
        <w:rPr>
          <w:rFonts w:hint="eastAsia" w:ascii="宋体" w:hAnsi="宋体"/>
          <w:b/>
          <w:bCs/>
        </w:rPr>
        <w:t>注：1、此表中的报价必须与相应的报价明细表中的报价一致。</w:t>
      </w:r>
    </w:p>
    <w:p>
      <w:pPr>
        <w:rPr>
          <w:rFonts w:hint="eastAsia" w:ascii="宋体" w:hAnsi="宋体"/>
          <w:b/>
          <w:bCs/>
          <w:lang w:val="en-US" w:eastAsia="zh-CN"/>
        </w:rPr>
      </w:pPr>
      <w:r>
        <w:rPr>
          <w:rFonts w:hint="eastAsia" w:ascii="宋体" w:hAnsi="宋体"/>
          <w:b/>
          <w:bCs/>
          <w:lang w:val="en-US" w:eastAsia="zh-CN"/>
        </w:rPr>
        <w:t>2、本次报价税率为9%。</w:t>
      </w:r>
    </w:p>
    <w:p>
      <w:pPr>
        <w:rPr>
          <w:rFonts w:hint="default" w:ascii="宋体" w:hAnsi="宋体"/>
          <w:b/>
          <w:bCs/>
          <w:lang w:val="en-US" w:eastAsia="zh-CN"/>
        </w:rPr>
      </w:pPr>
      <w:r>
        <w:rPr>
          <w:rFonts w:hint="eastAsia" w:ascii="宋体" w:hAnsi="宋体"/>
          <w:b/>
          <w:bCs/>
          <w:lang w:val="en-US" w:eastAsia="zh-CN"/>
        </w:rPr>
        <w:t>3、本次报价包含项目实施的一切费用。</w:t>
      </w: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pStyle w:val="4"/>
        <w:spacing w:line="360" w:lineRule="auto"/>
        <w:rPr>
          <w:rFonts w:hint="default" w:hAnsi="宋体"/>
          <w:u w:val="none"/>
          <w:lang w:val="en-US" w:eastAsia="zh-CN"/>
        </w:rPr>
      </w:pPr>
    </w:p>
    <w:p>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6</w:t>
      </w:r>
    </w:p>
    <w:p>
      <w:pPr>
        <w:jc w:val="both"/>
        <w:rPr>
          <w:rFonts w:hint="eastAsia" w:ascii="宋体" w:hAnsi="宋体"/>
          <w:u w:val="single"/>
        </w:rPr>
      </w:pPr>
      <w:r>
        <w:rPr>
          <w:rFonts w:hint="eastAsia" w:ascii="宋体" w:hAnsi="宋体"/>
        </w:rPr>
        <w:t>项目名称：</w:t>
      </w:r>
      <w:r>
        <w:rPr>
          <w:rFonts w:hint="eastAsia" w:ascii="宋体" w:hAnsi="宋体"/>
          <w:u w:val="single"/>
          <w:lang w:val="en-US" w:eastAsia="zh-CN"/>
        </w:rPr>
        <w:t>可燃气体探测器到期更换项目</w:t>
      </w: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相关条款偏离表（含商务偏离及技术偏离）</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ascii="宋体" w:hAnsi="宋体"/>
                <w:szCs w:val="21"/>
              </w:rPr>
            </w:pPr>
            <w:r>
              <w:rPr>
                <w:rFonts w:hint="eastAsia" w:ascii="宋体" w:hAnsi="宋体"/>
                <w:szCs w:val="21"/>
              </w:rPr>
              <w:t>序号</w:t>
            </w:r>
          </w:p>
        </w:tc>
        <w:tc>
          <w:tcPr>
            <w:tcW w:w="4140" w:type="dxa"/>
            <w:gridSpan w:val="2"/>
            <w:noWrap w:val="0"/>
            <w:vAlign w:val="center"/>
          </w:tcPr>
          <w:p>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pPr>
              <w:jc w:val="center"/>
              <w:rPr>
                <w:rFonts w:ascii="宋体" w:hAnsi="宋体"/>
                <w:szCs w:val="21"/>
              </w:rPr>
            </w:pPr>
            <w:r>
              <w:rPr>
                <w:rFonts w:hint="eastAsia" w:ascii="宋体" w:hAnsi="宋体"/>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ascii="宋体" w:hAnsi="宋体"/>
                <w:szCs w:val="21"/>
              </w:rPr>
            </w:pPr>
          </w:p>
        </w:tc>
        <w:tc>
          <w:tcPr>
            <w:tcW w:w="1080" w:type="dxa"/>
            <w:noWrap w:val="0"/>
            <w:vAlign w:val="center"/>
          </w:tcPr>
          <w:p>
            <w:pPr>
              <w:jc w:val="center"/>
              <w:rPr>
                <w:rFonts w:ascii="宋体" w:hAnsi="宋体"/>
                <w:szCs w:val="21"/>
              </w:rPr>
            </w:pPr>
            <w:r>
              <w:rPr>
                <w:rFonts w:hint="eastAsia" w:ascii="宋体" w:hAnsi="宋体"/>
                <w:szCs w:val="21"/>
              </w:rPr>
              <w:t>条款号</w:t>
            </w:r>
          </w:p>
        </w:tc>
        <w:tc>
          <w:tcPr>
            <w:tcW w:w="3060" w:type="dxa"/>
            <w:noWrap w:val="0"/>
            <w:vAlign w:val="center"/>
          </w:tcPr>
          <w:p>
            <w:pPr>
              <w:jc w:val="center"/>
              <w:rPr>
                <w:rFonts w:ascii="宋体" w:hAnsi="宋体"/>
                <w:szCs w:val="21"/>
              </w:rPr>
            </w:pPr>
            <w:r>
              <w:rPr>
                <w:rFonts w:hint="eastAsia" w:ascii="宋体" w:hAnsi="宋体"/>
                <w:szCs w:val="21"/>
              </w:rPr>
              <w:t>条款要求</w:t>
            </w:r>
          </w:p>
        </w:tc>
        <w:tc>
          <w:tcPr>
            <w:tcW w:w="3554" w:type="dxa"/>
            <w:vMerge w:val="continue"/>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Cs w:val="21"/>
              </w:rPr>
            </w:pPr>
            <w:r>
              <w:rPr>
                <w:rFonts w:hint="eastAsia" w:ascii="宋体" w:hAnsi="宋体"/>
                <w:szCs w:val="21"/>
              </w:rPr>
              <w:t>1</w:t>
            </w:r>
          </w:p>
        </w:tc>
        <w:tc>
          <w:tcPr>
            <w:tcW w:w="1080" w:type="dxa"/>
            <w:noWrap w:val="0"/>
            <w:vAlign w:val="center"/>
          </w:tcPr>
          <w:p>
            <w:pPr>
              <w:rPr>
                <w:rFonts w:ascii="宋体" w:hAnsi="宋体"/>
                <w:szCs w:val="21"/>
              </w:rPr>
            </w:pPr>
          </w:p>
        </w:tc>
        <w:tc>
          <w:tcPr>
            <w:tcW w:w="3060" w:type="dxa"/>
            <w:noWrap w:val="0"/>
            <w:vAlign w:val="center"/>
          </w:tcPr>
          <w:p>
            <w:pPr>
              <w:rPr>
                <w:rFonts w:ascii="宋体" w:hAnsi="宋体"/>
                <w:szCs w:val="21"/>
              </w:rPr>
            </w:pPr>
          </w:p>
        </w:tc>
        <w:tc>
          <w:tcPr>
            <w:tcW w:w="3554" w:type="dxa"/>
            <w:noWrap w:val="0"/>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2</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3</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4</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5</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6</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7</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8</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9</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10</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pPr>
        <w:tabs>
          <w:tab w:val="left" w:pos="3426"/>
        </w:tabs>
        <w:bidi w:val="0"/>
        <w:jc w:val="left"/>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7</w:t>
      </w:r>
    </w:p>
    <w:p>
      <w:pPr>
        <w:pStyle w:val="4"/>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可燃气体探测器到期更换项目</w:t>
      </w: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企业情况及服务承诺一览表</w:t>
      </w:r>
    </w:p>
    <w:p>
      <w:pPr>
        <w:jc w:val="center"/>
        <w:rPr>
          <w:rFonts w:ascii="黑体" w:eastAsia="黑体"/>
          <w:sz w:val="30"/>
        </w:rPr>
      </w:pPr>
      <w:r>
        <w:rPr>
          <w:rFonts w:hint="eastAsia" w:ascii="黑体" w:eastAsia="黑体"/>
          <w:sz w:val="30"/>
        </w:rPr>
        <w:t>（模板，信息仅供参考，项目需求单位根据项目实际情况自拟格式和内容）</w:t>
      </w:r>
    </w:p>
    <w:tbl>
      <w:tblPr>
        <w:tblStyle w:val="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396"/>
        <w:gridCol w:w="612"/>
        <w:gridCol w:w="1288"/>
        <w:gridCol w:w="1249"/>
        <w:gridCol w:w="1400"/>
        <w:gridCol w:w="1942"/>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jc w:val="center"/>
              <w:rPr>
                <w:rFonts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sz w:val="24"/>
              </w:rPr>
            </w:pPr>
            <w:r>
              <w:rPr>
                <w:rFonts w:hint="eastAsia" w:ascii="宋体" w:hAnsi="宋体"/>
                <w:sz w:val="24"/>
              </w:rPr>
              <w:t>公司名称</w:t>
            </w:r>
          </w:p>
        </w:tc>
        <w:tc>
          <w:tcPr>
            <w:tcW w:w="1008" w:type="dxa"/>
            <w:gridSpan w:val="2"/>
            <w:vAlign w:val="center"/>
          </w:tcPr>
          <w:p>
            <w:pPr>
              <w:jc w:val="center"/>
              <w:rPr>
                <w:rFonts w:ascii="宋体" w:hAnsi="宋体"/>
                <w:sz w:val="24"/>
              </w:rPr>
            </w:pPr>
          </w:p>
        </w:tc>
        <w:tc>
          <w:tcPr>
            <w:tcW w:w="2537" w:type="dxa"/>
            <w:gridSpan w:val="2"/>
            <w:vAlign w:val="center"/>
          </w:tcPr>
          <w:p>
            <w:pPr>
              <w:rPr>
                <w:rFonts w:ascii="宋体" w:hAnsi="宋体"/>
                <w:sz w:val="24"/>
              </w:rPr>
            </w:pPr>
            <w:r>
              <w:rPr>
                <w:rFonts w:hint="eastAsia" w:ascii="宋体" w:hAnsi="宋体"/>
                <w:sz w:val="24"/>
              </w:rPr>
              <w:t>成立时间</w:t>
            </w:r>
          </w:p>
        </w:tc>
        <w:tc>
          <w:tcPr>
            <w:tcW w:w="1400" w:type="dxa"/>
            <w:vAlign w:val="center"/>
          </w:tcPr>
          <w:p>
            <w:pPr>
              <w:rPr>
                <w:rFonts w:ascii="宋体" w:hAnsi="宋体"/>
                <w:sz w:val="24"/>
              </w:rPr>
            </w:pPr>
          </w:p>
        </w:tc>
        <w:tc>
          <w:tcPr>
            <w:tcW w:w="1942" w:type="dxa"/>
            <w:vAlign w:val="center"/>
          </w:tcPr>
          <w:p>
            <w:pPr>
              <w:rPr>
                <w:rFonts w:ascii="宋体" w:hAnsi="宋体"/>
                <w:sz w:val="24"/>
              </w:rPr>
            </w:pPr>
            <w:r>
              <w:rPr>
                <w:rFonts w:hint="eastAsia" w:ascii="宋体" w:hAnsi="宋体"/>
                <w:sz w:val="24"/>
              </w:rPr>
              <w:t>注册资本</w:t>
            </w:r>
          </w:p>
        </w:tc>
        <w:tc>
          <w:tcPr>
            <w:tcW w:w="1614" w:type="dxa"/>
            <w:vAlign w:val="center"/>
          </w:tcPr>
          <w:p>
            <w:pPr>
              <w:jc w:val="right"/>
              <w:rPr>
                <w:rFonts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3"/>
            <w:vAlign w:val="center"/>
          </w:tcPr>
          <w:p>
            <w:pPr>
              <w:jc w:val="left"/>
              <w:rPr>
                <w:rFonts w:ascii="宋体" w:hAnsi="宋体"/>
                <w:sz w:val="24"/>
              </w:rPr>
            </w:pPr>
            <w:r>
              <w:rPr>
                <w:rFonts w:hint="eastAsia" w:ascii="宋体" w:hAnsi="宋体"/>
                <w:sz w:val="24"/>
              </w:rPr>
              <w:t>公司在册员工人数</w:t>
            </w:r>
          </w:p>
        </w:tc>
        <w:tc>
          <w:tcPr>
            <w:tcW w:w="2537" w:type="dxa"/>
            <w:gridSpan w:val="2"/>
            <w:vAlign w:val="center"/>
          </w:tcPr>
          <w:p>
            <w:pPr>
              <w:jc w:val="right"/>
              <w:rPr>
                <w:rFonts w:ascii="宋体" w:hAnsi="宋体"/>
                <w:sz w:val="24"/>
              </w:rPr>
            </w:pPr>
            <w:r>
              <w:rPr>
                <w:rFonts w:hint="eastAsia" w:ascii="宋体" w:hAnsi="宋体"/>
                <w:sz w:val="24"/>
              </w:rPr>
              <w:t>人</w:t>
            </w:r>
          </w:p>
        </w:tc>
        <w:tc>
          <w:tcPr>
            <w:tcW w:w="3342" w:type="dxa"/>
            <w:gridSpan w:val="2"/>
            <w:vAlign w:val="center"/>
          </w:tcPr>
          <w:p>
            <w:pPr>
              <w:jc w:val="left"/>
              <w:rPr>
                <w:rFonts w:ascii="宋体" w:hAnsi="宋体"/>
                <w:sz w:val="24"/>
              </w:rPr>
            </w:pPr>
            <w:r>
              <w:rPr>
                <w:rFonts w:hint="eastAsia" w:ascii="宋体" w:hAnsi="宋体"/>
                <w:sz w:val="24"/>
              </w:rPr>
              <w:t>从事</w:t>
            </w:r>
            <w:r>
              <w:rPr>
                <w:rFonts w:hint="eastAsia" w:ascii="宋体" w:hAnsi="宋体"/>
                <w:sz w:val="24"/>
                <w:lang w:eastAsia="zh-CN"/>
              </w:rPr>
              <w:t>培训工作</w:t>
            </w:r>
            <w:r>
              <w:rPr>
                <w:rFonts w:hint="eastAsia" w:ascii="宋体" w:hAnsi="宋体"/>
                <w:sz w:val="24"/>
              </w:rPr>
              <w:t>员工人数</w:t>
            </w:r>
          </w:p>
        </w:tc>
        <w:tc>
          <w:tcPr>
            <w:tcW w:w="1614" w:type="dxa"/>
            <w:vAlign w:val="center"/>
          </w:tcPr>
          <w:p>
            <w:pPr>
              <w:jc w:val="right"/>
              <w:rPr>
                <w:rFonts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960" w:type="dxa"/>
            <w:gridSpan w:val="5"/>
            <w:vAlign w:val="center"/>
          </w:tcPr>
          <w:p>
            <w:pPr>
              <w:jc w:val="right"/>
              <w:rPr>
                <w:rFonts w:ascii="宋体" w:hAnsi="宋体"/>
                <w:sz w:val="24"/>
              </w:rPr>
            </w:pPr>
            <w:r>
              <w:rPr>
                <w:rFonts w:hint="eastAsia" w:ascii="宋体" w:hAnsi="宋体"/>
                <w:sz w:val="24"/>
              </w:rPr>
              <w:t>企业所通过的体系认证情况</w:t>
            </w:r>
          </w:p>
        </w:tc>
        <w:tc>
          <w:tcPr>
            <w:tcW w:w="4956" w:type="dxa"/>
            <w:gridSpan w:val="3"/>
            <w:vAlign w:val="center"/>
          </w:tcPr>
          <w:p>
            <w:pPr>
              <w:jc w:val="righ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2423" w:type="dxa"/>
            <w:gridSpan w:val="3"/>
            <w:vAlign w:val="center"/>
          </w:tcPr>
          <w:p>
            <w:pPr>
              <w:jc w:val="center"/>
              <w:rPr>
                <w:rFonts w:ascii="宋体" w:hAnsi="宋体"/>
                <w:sz w:val="24"/>
              </w:rPr>
            </w:pPr>
            <w:r>
              <w:rPr>
                <w:rFonts w:hint="eastAsia" w:ascii="宋体" w:hAnsi="宋体"/>
                <w:sz w:val="24"/>
              </w:rPr>
              <w:t>公司现有主要</w:t>
            </w:r>
            <w:r>
              <w:rPr>
                <w:rFonts w:hint="eastAsia" w:ascii="宋体" w:hAnsi="宋体"/>
                <w:sz w:val="24"/>
                <w:lang w:eastAsia="zh-CN"/>
              </w:rPr>
              <w:t>工作</w:t>
            </w:r>
            <w:r>
              <w:rPr>
                <w:rFonts w:hint="eastAsia" w:ascii="宋体" w:hAnsi="宋体"/>
                <w:sz w:val="24"/>
              </w:rPr>
              <w:t>人员等配置情况</w:t>
            </w:r>
          </w:p>
        </w:tc>
        <w:tc>
          <w:tcPr>
            <w:tcW w:w="7493" w:type="dxa"/>
            <w:gridSpan w:val="5"/>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jc w:val="center"/>
              <w:rPr>
                <w:rFonts w:ascii="宋体" w:hAnsi="宋体"/>
                <w:sz w:val="24"/>
              </w:rPr>
            </w:pPr>
            <w:r>
              <w:rPr>
                <w:rFonts w:hint="eastAsia" w:ascii="宋体" w:hAnsi="宋体"/>
                <w:sz w:val="24"/>
              </w:rPr>
              <w:t>针对本招标项目的方案及承诺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11" w:type="dxa"/>
            <w:gridSpan w:val="2"/>
            <w:vMerge w:val="restart"/>
            <w:vAlign w:val="center"/>
          </w:tcPr>
          <w:p>
            <w:pPr>
              <w:jc w:val="center"/>
              <w:rPr>
                <w:rFonts w:ascii="宋体" w:hAnsi="宋体"/>
                <w:sz w:val="24"/>
              </w:rPr>
            </w:pPr>
            <w:r>
              <w:rPr>
                <w:rFonts w:hint="eastAsia" w:ascii="宋体" w:hAnsi="宋体"/>
                <w:sz w:val="24"/>
              </w:rPr>
              <w:t>可为该项目配备人员、相关设备等情况</w:t>
            </w:r>
          </w:p>
        </w:tc>
        <w:tc>
          <w:tcPr>
            <w:tcW w:w="1900" w:type="dxa"/>
            <w:gridSpan w:val="2"/>
            <w:vAlign w:val="center"/>
          </w:tcPr>
          <w:p>
            <w:pPr>
              <w:jc w:val="center"/>
              <w:rPr>
                <w:rFonts w:ascii="宋体" w:hAnsi="宋体"/>
                <w:sz w:val="24"/>
              </w:rPr>
            </w:pPr>
            <w:r>
              <w:rPr>
                <w:rFonts w:hint="eastAsia" w:ascii="宋体" w:hAnsi="宋体"/>
                <w:sz w:val="24"/>
              </w:rPr>
              <w:t>人员（名）</w:t>
            </w:r>
          </w:p>
        </w:tc>
        <w:tc>
          <w:tcPr>
            <w:tcW w:w="6205" w:type="dxa"/>
            <w:gridSpan w:val="4"/>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pPr>
              <w:jc w:val="center"/>
              <w:rPr>
                <w:rFonts w:ascii="宋体" w:hAnsi="宋体"/>
                <w:sz w:val="24"/>
              </w:rPr>
            </w:pPr>
          </w:p>
        </w:tc>
        <w:tc>
          <w:tcPr>
            <w:tcW w:w="1900" w:type="dxa"/>
            <w:gridSpan w:val="2"/>
            <w:vAlign w:val="center"/>
          </w:tcPr>
          <w:p>
            <w:pPr>
              <w:jc w:val="center"/>
              <w:rPr>
                <w:rFonts w:ascii="宋体" w:hAnsi="宋体"/>
                <w:sz w:val="24"/>
              </w:rPr>
            </w:pPr>
            <w:r>
              <w:rPr>
                <w:rFonts w:hint="eastAsia" w:ascii="宋体" w:hAnsi="宋体"/>
                <w:sz w:val="24"/>
              </w:rPr>
              <w:t>本项目竞争优势</w:t>
            </w:r>
          </w:p>
        </w:tc>
        <w:tc>
          <w:tcPr>
            <w:tcW w:w="6205" w:type="dxa"/>
            <w:gridSpan w:val="4"/>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pPr>
              <w:jc w:val="center"/>
              <w:rPr>
                <w:rFonts w:ascii="宋体" w:hAnsi="宋体"/>
                <w:sz w:val="24"/>
              </w:rPr>
            </w:pPr>
          </w:p>
        </w:tc>
        <w:tc>
          <w:tcPr>
            <w:tcW w:w="1900" w:type="dxa"/>
            <w:gridSpan w:val="2"/>
            <w:vAlign w:val="center"/>
          </w:tcPr>
          <w:p>
            <w:pPr>
              <w:jc w:val="center"/>
              <w:rPr>
                <w:rFonts w:ascii="宋体" w:hAnsi="宋体"/>
                <w:sz w:val="24"/>
              </w:rPr>
            </w:pPr>
            <w:r>
              <w:rPr>
                <w:rFonts w:ascii="宋体" w:hAnsi="宋体"/>
                <w:sz w:val="24"/>
              </w:rPr>
              <w:t>……</w:t>
            </w:r>
          </w:p>
        </w:tc>
        <w:tc>
          <w:tcPr>
            <w:tcW w:w="6205" w:type="dxa"/>
            <w:gridSpan w:val="4"/>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pPr>
              <w:jc w:val="center"/>
              <w:rPr>
                <w:rFonts w:ascii="宋体" w:hAnsi="宋体"/>
                <w:sz w:val="24"/>
              </w:rPr>
            </w:pPr>
          </w:p>
        </w:tc>
        <w:tc>
          <w:tcPr>
            <w:tcW w:w="1900" w:type="dxa"/>
            <w:gridSpan w:val="2"/>
            <w:vAlign w:val="center"/>
          </w:tcPr>
          <w:p>
            <w:pPr>
              <w:jc w:val="center"/>
              <w:rPr>
                <w:rFonts w:ascii="宋体" w:hAnsi="宋体"/>
                <w:sz w:val="24"/>
                <w:szCs w:val="24"/>
              </w:rPr>
            </w:pPr>
            <w:r>
              <w:rPr>
                <w:rFonts w:ascii="宋体" w:hAnsi="宋体"/>
                <w:sz w:val="24"/>
              </w:rPr>
              <w:t>……</w:t>
            </w:r>
          </w:p>
        </w:tc>
        <w:tc>
          <w:tcPr>
            <w:tcW w:w="6205" w:type="dxa"/>
            <w:gridSpan w:val="4"/>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pPr>
              <w:jc w:val="center"/>
              <w:rPr>
                <w:rFonts w:ascii="宋体" w:hAnsi="宋体"/>
                <w:sz w:val="24"/>
              </w:rPr>
            </w:pPr>
          </w:p>
        </w:tc>
        <w:tc>
          <w:tcPr>
            <w:tcW w:w="1900" w:type="dxa"/>
            <w:gridSpan w:val="2"/>
            <w:vAlign w:val="center"/>
          </w:tcPr>
          <w:p>
            <w:pPr>
              <w:jc w:val="center"/>
              <w:rPr>
                <w:rFonts w:ascii="宋体" w:hAnsi="宋体"/>
                <w:sz w:val="24"/>
              </w:rPr>
            </w:pPr>
            <w:r>
              <w:rPr>
                <w:rFonts w:ascii="宋体" w:hAnsi="宋体"/>
                <w:sz w:val="24"/>
              </w:rPr>
              <w:t>……</w:t>
            </w:r>
          </w:p>
        </w:tc>
        <w:tc>
          <w:tcPr>
            <w:tcW w:w="6205" w:type="dxa"/>
            <w:gridSpan w:val="4"/>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Align w:val="center"/>
          </w:tcPr>
          <w:p>
            <w:pPr>
              <w:jc w:val="center"/>
              <w:rPr>
                <w:rFonts w:ascii="宋体" w:hAnsi="宋体"/>
                <w:sz w:val="24"/>
              </w:rPr>
            </w:pPr>
            <w:r>
              <w:rPr>
                <w:rFonts w:hint="eastAsia" w:ascii="宋体" w:hAnsi="宋体"/>
                <w:sz w:val="24"/>
              </w:rPr>
              <w:t>其他</w:t>
            </w:r>
          </w:p>
        </w:tc>
        <w:tc>
          <w:tcPr>
            <w:tcW w:w="1900" w:type="dxa"/>
            <w:gridSpan w:val="2"/>
            <w:vAlign w:val="center"/>
          </w:tcPr>
          <w:p>
            <w:pPr>
              <w:jc w:val="center"/>
              <w:rPr>
                <w:rFonts w:ascii="宋体" w:hAnsi="宋体"/>
                <w:sz w:val="24"/>
              </w:rPr>
            </w:pPr>
            <w:r>
              <w:rPr>
                <w:rFonts w:ascii="宋体" w:hAnsi="宋体"/>
                <w:sz w:val="24"/>
              </w:rPr>
              <w:t>……</w:t>
            </w:r>
          </w:p>
        </w:tc>
        <w:tc>
          <w:tcPr>
            <w:tcW w:w="6205" w:type="dxa"/>
            <w:gridSpan w:val="4"/>
            <w:vAlign w:val="center"/>
          </w:tcPr>
          <w:p>
            <w:pPr>
              <w:jc w:val="center"/>
              <w:rPr>
                <w:rFonts w:ascii="宋体" w:hAnsi="宋体"/>
                <w:sz w:val="24"/>
              </w:rPr>
            </w:pPr>
          </w:p>
        </w:tc>
      </w:tr>
    </w:tbl>
    <w:p>
      <w:pPr>
        <w:pStyle w:val="4"/>
        <w:ind w:firstLine="240" w:firstLineChars="100"/>
        <w:rPr>
          <w:rFonts w:ascii="仿宋_GB2312" w:hAnsi="宋体" w:eastAsia="仿宋_GB2312"/>
          <w:sz w:val="24"/>
        </w:rPr>
      </w:pPr>
    </w:p>
    <w:p>
      <w:pPr>
        <w:pStyle w:val="4"/>
        <w:ind w:firstLine="240" w:firstLineChars="100"/>
        <w:rPr>
          <w:rFonts w:hAnsi="宋体"/>
          <w:b/>
          <w:sz w:val="24"/>
          <w:szCs w:val="24"/>
        </w:rPr>
      </w:pPr>
      <w:r>
        <w:rPr>
          <w:rFonts w:hint="eastAsia" w:ascii="仿宋_GB2312" w:hAnsi="宋体" w:eastAsia="仿宋_GB2312"/>
          <w:sz w:val="24"/>
        </w:rPr>
        <w:t>投标人名称（盖章）：              法定代表人或授权代表签字：</w:t>
      </w:r>
    </w:p>
    <w:p>
      <w:pPr>
        <w:pStyle w:val="4"/>
        <w:ind w:left="708" w:leftChars="115" w:hanging="467" w:hangingChars="194"/>
        <w:rPr>
          <w:rFonts w:hAnsi="宋体"/>
          <w:b/>
          <w:sz w:val="24"/>
        </w:rPr>
      </w:pPr>
    </w:p>
    <w:p>
      <w:pPr>
        <w:pStyle w:val="4"/>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pPr>
        <w:pStyle w:val="4"/>
        <w:ind w:left="661" w:leftChars="315"/>
        <w:rPr>
          <w:rFonts w:hAnsi="宋体"/>
          <w:sz w:val="24"/>
        </w:rPr>
      </w:pPr>
      <w:r>
        <w:rPr>
          <w:rFonts w:hint="eastAsia" w:hAnsi="宋体"/>
          <w:sz w:val="24"/>
        </w:rPr>
        <w:t>2.投标人可在上表内容基础上，酌情自行增加相关条目，以便更好的满足项目开展之需要。</w:t>
      </w: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jc w:val="both"/>
        <w:rPr>
          <w:rFonts w:hint="eastAsia" w:ascii="宋体" w:hAnsi="宋体"/>
          <w:szCs w:val="21"/>
          <w:highlight w:val="red"/>
        </w:rPr>
      </w:pPr>
      <w:r>
        <w:rPr>
          <w:rFonts w:hint="eastAsia" w:eastAsia="黑体"/>
          <w:b/>
          <w:bCs/>
          <w:sz w:val="28"/>
        </w:rPr>
        <w:t>附件</w:t>
      </w:r>
      <w:r>
        <w:rPr>
          <w:rFonts w:hint="eastAsia" w:eastAsia="黑体"/>
          <w:b/>
          <w:bCs/>
          <w:sz w:val="28"/>
          <w:highlight w:val="none"/>
          <w:lang w:val="en-US" w:eastAsia="zh-CN"/>
        </w:rPr>
        <w:t>8</w:t>
      </w:r>
    </w:p>
    <w:p>
      <w:pPr>
        <w:jc w:val="both"/>
        <w:rPr>
          <w:rFonts w:ascii="宋体" w:hAnsi="宋体"/>
        </w:rPr>
      </w:pPr>
      <w:r>
        <w:rPr>
          <w:rFonts w:hint="eastAsia" w:ascii="宋体" w:hAnsi="宋体"/>
        </w:rPr>
        <w:t>项目名称：</w:t>
      </w:r>
      <w:r>
        <w:rPr>
          <w:rFonts w:hint="eastAsia" w:ascii="宋体" w:hAnsi="宋体"/>
          <w:u w:val="single"/>
          <w:lang w:val="en-US" w:eastAsia="zh-CN"/>
        </w:rPr>
        <w:t>可燃气体探测器到期更换项目</w:t>
      </w:r>
    </w:p>
    <w:p>
      <w:pPr>
        <w:pStyle w:val="4"/>
        <w:spacing w:line="360" w:lineRule="auto"/>
        <w:rPr>
          <w:rFonts w:hint="eastAsia" w:ascii="宋体" w:hAnsi="宋体"/>
          <w:szCs w:val="21"/>
        </w:rPr>
      </w:pPr>
      <w:r>
        <w:rPr>
          <w:rFonts w:hint="eastAsia" w:ascii="宋体" w:hAnsi="宋体"/>
          <w:szCs w:val="21"/>
        </w:rPr>
        <w:t>日期：  年   月   日</w:t>
      </w:r>
    </w:p>
    <w:p>
      <w:pPr>
        <w:jc w:val="center"/>
        <w:rPr>
          <w:rFonts w:hint="eastAsia" w:ascii="宋体" w:hAnsi="宋体"/>
          <w:szCs w:val="21"/>
          <w:highlight w:val="none"/>
        </w:rPr>
      </w:pPr>
      <w:r>
        <w:rPr>
          <w:rFonts w:hint="eastAsia" w:eastAsia="黑体"/>
          <w:b/>
          <w:bCs/>
          <w:sz w:val="28"/>
          <w:highlight w:val="none"/>
          <w:lang w:val="en-US" w:eastAsia="zh-CN"/>
        </w:rPr>
        <w:t>开标</w:t>
      </w:r>
      <w:r>
        <w:rPr>
          <w:rFonts w:hint="eastAsia" w:eastAsia="黑体"/>
          <w:b/>
          <w:bCs/>
          <w:sz w:val="28"/>
          <w:highlight w:val="none"/>
        </w:rPr>
        <w:t>一览表</w:t>
      </w: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9</w:t>
      </w:r>
    </w:p>
    <w:p>
      <w:pPr>
        <w:pStyle w:val="4"/>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可燃气体探测器到期更换项目</w:t>
      </w: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同类项目业绩一览表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697"/>
        <w:gridCol w:w="1821"/>
        <w:gridCol w:w="190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93" w:type="dxa"/>
            <w:vAlign w:val="center"/>
          </w:tcPr>
          <w:p>
            <w:pPr>
              <w:pStyle w:val="4"/>
              <w:jc w:val="center"/>
              <w:rPr>
                <w:rFonts w:hAnsi="宋体"/>
                <w:b/>
                <w:bCs/>
                <w:szCs w:val="21"/>
              </w:rPr>
            </w:pPr>
            <w:r>
              <w:rPr>
                <w:rFonts w:hint="eastAsia" w:hAnsi="宋体"/>
                <w:bCs/>
                <w:szCs w:val="21"/>
              </w:rPr>
              <w:t>客户名称</w:t>
            </w:r>
          </w:p>
        </w:tc>
        <w:tc>
          <w:tcPr>
            <w:tcW w:w="1697" w:type="dxa"/>
            <w:vAlign w:val="bottom"/>
          </w:tcPr>
          <w:p>
            <w:pPr>
              <w:pStyle w:val="4"/>
              <w:jc w:val="center"/>
              <w:rPr>
                <w:rFonts w:hAnsi="宋体"/>
                <w:bCs/>
                <w:szCs w:val="21"/>
              </w:rPr>
            </w:pPr>
            <w:r>
              <w:rPr>
                <w:rFonts w:hint="eastAsia" w:hAnsi="宋体"/>
                <w:bCs/>
                <w:szCs w:val="21"/>
              </w:rPr>
              <w:t>合同（或订单）</w:t>
            </w:r>
          </w:p>
          <w:p>
            <w:pPr>
              <w:pStyle w:val="4"/>
              <w:jc w:val="center"/>
              <w:rPr>
                <w:rFonts w:hAnsi="宋体"/>
                <w:bCs/>
                <w:szCs w:val="21"/>
              </w:rPr>
            </w:pPr>
            <w:r>
              <w:rPr>
                <w:rFonts w:hint="eastAsia" w:hAnsi="宋体"/>
                <w:bCs/>
                <w:szCs w:val="21"/>
              </w:rPr>
              <w:t>项目</w:t>
            </w:r>
          </w:p>
        </w:tc>
        <w:tc>
          <w:tcPr>
            <w:tcW w:w="1821" w:type="dxa"/>
            <w:vAlign w:val="bottom"/>
          </w:tcPr>
          <w:p>
            <w:pPr>
              <w:pStyle w:val="4"/>
              <w:jc w:val="center"/>
              <w:rPr>
                <w:rFonts w:hAnsi="宋体"/>
                <w:bCs/>
                <w:szCs w:val="21"/>
              </w:rPr>
            </w:pPr>
            <w:r>
              <w:rPr>
                <w:rFonts w:hint="eastAsia" w:hAnsi="宋体"/>
                <w:bCs/>
                <w:szCs w:val="21"/>
              </w:rPr>
              <w:t>合同（或订单）</w:t>
            </w:r>
          </w:p>
          <w:p>
            <w:pPr>
              <w:pStyle w:val="4"/>
              <w:jc w:val="center"/>
              <w:rPr>
                <w:rFonts w:hAnsi="宋体"/>
                <w:bCs/>
                <w:szCs w:val="21"/>
              </w:rPr>
            </w:pPr>
            <w:r>
              <w:rPr>
                <w:rFonts w:hint="eastAsia" w:hAnsi="宋体"/>
                <w:bCs/>
                <w:szCs w:val="21"/>
              </w:rPr>
              <w:t>起止时间</w:t>
            </w:r>
          </w:p>
        </w:tc>
        <w:tc>
          <w:tcPr>
            <w:tcW w:w="1901" w:type="dxa"/>
            <w:vAlign w:val="bottom"/>
          </w:tcPr>
          <w:p>
            <w:pPr>
              <w:pStyle w:val="4"/>
              <w:jc w:val="center"/>
              <w:rPr>
                <w:rFonts w:hAnsi="宋体"/>
                <w:bCs/>
                <w:szCs w:val="21"/>
              </w:rPr>
            </w:pPr>
            <w:r>
              <w:rPr>
                <w:rFonts w:hint="eastAsia" w:hAnsi="宋体"/>
                <w:bCs/>
                <w:szCs w:val="21"/>
              </w:rPr>
              <w:t>合同（或订单）</w:t>
            </w:r>
          </w:p>
          <w:p>
            <w:pPr>
              <w:pStyle w:val="4"/>
              <w:jc w:val="center"/>
              <w:rPr>
                <w:rFonts w:hAnsi="宋体"/>
                <w:bCs/>
                <w:szCs w:val="21"/>
              </w:rPr>
            </w:pPr>
            <w:r>
              <w:rPr>
                <w:rFonts w:hint="eastAsia" w:hAnsi="宋体"/>
                <w:bCs/>
                <w:szCs w:val="21"/>
              </w:rPr>
              <w:t>金额（万元）</w:t>
            </w:r>
          </w:p>
        </w:tc>
        <w:tc>
          <w:tcPr>
            <w:tcW w:w="1710" w:type="dxa"/>
            <w:vAlign w:val="bottom"/>
          </w:tcPr>
          <w:p>
            <w:pPr>
              <w:pStyle w:val="4"/>
              <w:jc w:val="center"/>
              <w:rPr>
                <w:rFonts w:hAnsi="宋体"/>
                <w:bCs/>
                <w:szCs w:val="21"/>
              </w:rPr>
            </w:pPr>
            <w:r>
              <w:rPr>
                <w:rFonts w:hint="eastAsia" w:hAnsi="宋体"/>
                <w:bCs/>
                <w:szCs w:val="21"/>
              </w:rPr>
              <w:t>联系人及</w:t>
            </w:r>
          </w:p>
          <w:p>
            <w:pPr>
              <w:pStyle w:val="4"/>
              <w:jc w:val="center"/>
              <w:rPr>
                <w:rFonts w:hAnsi="宋体"/>
                <w:bCs/>
                <w:szCs w:val="21"/>
              </w:rPr>
            </w:pPr>
            <w:r>
              <w:rPr>
                <w:rFonts w:hint="eastAsia" w:hAnsi="宋体"/>
                <w:bCs/>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4"/>
              <w:jc w:val="center"/>
              <w:rPr>
                <w:rFonts w:hAnsi="宋体"/>
                <w:b/>
                <w:bCs/>
                <w:szCs w:val="21"/>
              </w:rPr>
            </w:pPr>
          </w:p>
        </w:tc>
        <w:tc>
          <w:tcPr>
            <w:tcW w:w="1697" w:type="dxa"/>
            <w:vAlign w:val="center"/>
          </w:tcPr>
          <w:p>
            <w:pPr>
              <w:pStyle w:val="4"/>
              <w:jc w:val="center"/>
              <w:rPr>
                <w:rFonts w:hAnsi="宋体"/>
                <w:b/>
                <w:bCs/>
                <w:szCs w:val="21"/>
              </w:rPr>
            </w:pPr>
          </w:p>
        </w:tc>
        <w:tc>
          <w:tcPr>
            <w:tcW w:w="1821" w:type="dxa"/>
            <w:vAlign w:val="center"/>
          </w:tcPr>
          <w:p>
            <w:pPr>
              <w:pStyle w:val="4"/>
              <w:jc w:val="center"/>
              <w:rPr>
                <w:rFonts w:hAnsi="宋体"/>
                <w:b/>
                <w:bCs/>
                <w:szCs w:val="21"/>
              </w:rPr>
            </w:pPr>
          </w:p>
        </w:tc>
        <w:tc>
          <w:tcPr>
            <w:tcW w:w="1901" w:type="dxa"/>
            <w:vAlign w:val="center"/>
          </w:tcPr>
          <w:p>
            <w:pPr>
              <w:pStyle w:val="4"/>
              <w:jc w:val="center"/>
              <w:rPr>
                <w:rFonts w:hAnsi="宋体"/>
                <w:b/>
                <w:bCs/>
                <w:szCs w:val="21"/>
              </w:rPr>
            </w:pPr>
          </w:p>
        </w:tc>
        <w:tc>
          <w:tcPr>
            <w:tcW w:w="1710" w:type="dxa"/>
            <w:vAlign w:val="center"/>
          </w:tcPr>
          <w:p>
            <w:pPr>
              <w:pStyle w:val="4"/>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4"/>
              <w:jc w:val="center"/>
              <w:rPr>
                <w:rFonts w:hAnsi="宋体"/>
                <w:b/>
                <w:bCs/>
                <w:szCs w:val="21"/>
              </w:rPr>
            </w:pPr>
          </w:p>
        </w:tc>
        <w:tc>
          <w:tcPr>
            <w:tcW w:w="1697" w:type="dxa"/>
            <w:vAlign w:val="center"/>
          </w:tcPr>
          <w:p>
            <w:pPr>
              <w:pStyle w:val="4"/>
              <w:jc w:val="center"/>
              <w:rPr>
                <w:rFonts w:hAnsi="宋体"/>
                <w:b/>
                <w:bCs/>
                <w:szCs w:val="21"/>
              </w:rPr>
            </w:pPr>
          </w:p>
        </w:tc>
        <w:tc>
          <w:tcPr>
            <w:tcW w:w="1821" w:type="dxa"/>
            <w:vAlign w:val="center"/>
          </w:tcPr>
          <w:p>
            <w:pPr>
              <w:pStyle w:val="4"/>
              <w:jc w:val="center"/>
              <w:rPr>
                <w:rFonts w:hAnsi="宋体"/>
                <w:b/>
                <w:bCs/>
                <w:szCs w:val="21"/>
              </w:rPr>
            </w:pPr>
          </w:p>
        </w:tc>
        <w:tc>
          <w:tcPr>
            <w:tcW w:w="1901" w:type="dxa"/>
            <w:vAlign w:val="center"/>
          </w:tcPr>
          <w:p>
            <w:pPr>
              <w:pStyle w:val="4"/>
              <w:jc w:val="center"/>
              <w:rPr>
                <w:rFonts w:hAnsi="宋体"/>
                <w:b/>
                <w:bCs/>
                <w:szCs w:val="21"/>
              </w:rPr>
            </w:pPr>
          </w:p>
        </w:tc>
        <w:tc>
          <w:tcPr>
            <w:tcW w:w="1710" w:type="dxa"/>
            <w:vAlign w:val="center"/>
          </w:tcPr>
          <w:p>
            <w:pPr>
              <w:pStyle w:val="4"/>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4"/>
              <w:jc w:val="center"/>
              <w:rPr>
                <w:rFonts w:hAnsi="宋体"/>
                <w:b/>
                <w:bCs/>
                <w:szCs w:val="21"/>
              </w:rPr>
            </w:pPr>
          </w:p>
        </w:tc>
        <w:tc>
          <w:tcPr>
            <w:tcW w:w="1697" w:type="dxa"/>
            <w:vAlign w:val="center"/>
          </w:tcPr>
          <w:p>
            <w:pPr>
              <w:pStyle w:val="4"/>
              <w:jc w:val="center"/>
              <w:rPr>
                <w:rFonts w:hAnsi="宋体"/>
                <w:b/>
                <w:bCs/>
                <w:szCs w:val="21"/>
              </w:rPr>
            </w:pPr>
          </w:p>
        </w:tc>
        <w:tc>
          <w:tcPr>
            <w:tcW w:w="1821" w:type="dxa"/>
            <w:vAlign w:val="center"/>
          </w:tcPr>
          <w:p>
            <w:pPr>
              <w:pStyle w:val="4"/>
              <w:jc w:val="center"/>
              <w:rPr>
                <w:rFonts w:hAnsi="宋体"/>
                <w:b/>
                <w:bCs/>
                <w:szCs w:val="21"/>
              </w:rPr>
            </w:pPr>
          </w:p>
        </w:tc>
        <w:tc>
          <w:tcPr>
            <w:tcW w:w="1901" w:type="dxa"/>
            <w:vAlign w:val="center"/>
          </w:tcPr>
          <w:p>
            <w:pPr>
              <w:pStyle w:val="4"/>
              <w:jc w:val="center"/>
              <w:rPr>
                <w:rFonts w:hAnsi="宋体"/>
                <w:b/>
                <w:bCs/>
                <w:szCs w:val="21"/>
              </w:rPr>
            </w:pPr>
          </w:p>
        </w:tc>
        <w:tc>
          <w:tcPr>
            <w:tcW w:w="1710" w:type="dxa"/>
            <w:vAlign w:val="center"/>
          </w:tcPr>
          <w:p>
            <w:pPr>
              <w:pStyle w:val="4"/>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4"/>
              <w:jc w:val="center"/>
              <w:rPr>
                <w:rFonts w:hAnsi="宋体"/>
                <w:b/>
                <w:bCs/>
                <w:szCs w:val="21"/>
              </w:rPr>
            </w:pPr>
          </w:p>
        </w:tc>
        <w:tc>
          <w:tcPr>
            <w:tcW w:w="1697" w:type="dxa"/>
            <w:vAlign w:val="center"/>
          </w:tcPr>
          <w:p>
            <w:pPr>
              <w:pStyle w:val="4"/>
              <w:jc w:val="center"/>
              <w:rPr>
                <w:rFonts w:hAnsi="宋体"/>
                <w:b/>
                <w:bCs/>
                <w:szCs w:val="21"/>
              </w:rPr>
            </w:pPr>
          </w:p>
        </w:tc>
        <w:tc>
          <w:tcPr>
            <w:tcW w:w="1821" w:type="dxa"/>
            <w:vAlign w:val="center"/>
          </w:tcPr>
          <w:p>
            <w:pPr>
              <w:pStyle w:val="4"/>
              <w:jc w:val="center"/>
              <w:rPr>
                <w:rFonts w:hAnsi="宋体"/>
                <w:b/>
                <w:bCs/>
                <w:szCs w:val="21"/>
              </w:rPr>
            </w:pPr>
          </w:p>
        </w:tc>
        <w:tc>
          <w:tcPr>
            <w:tcW w:w="1901" w:type="dxa"/>
            <w:vAlign w:val="center"/>
          </w:tcPr>
          <w:p>
            <w:pPr>
              <w:pStyle w:val="4"/>
              <w:jc w:val="center"/>
              <w:rPr>
                <w:rFonts w:hAnsi="宋体"/>
                <w:b/>
                <w:bCs/>
                <w:szCs w:val="21"/>
              </w:rPr>
            </w:pPr>
          </w:p>
        </w:tc>
        <w:tc>
          <w:tcPr>
            <w:tcW w:w="1710" w:type="dxa"/>
            <w:vAlign w:val="center"/>
          </w:tcPr>
          <w:p>
            <w:pPr>
              <w:pStyle w:val="4"/>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4"/>
              <w:jc w:val="center"/>
              <w:rPr>
                <w:rFonts w:hAnsi="宋体"/>
                <w:b/>
                <w:bCs/>
                <w:szCs w:val="21"/>
              </w:rPr>
            </w:pPr>
          </w:p>
        </w:tc>
        <w:tc>
          <w:tcPr>
            <w:tcW w:w="1697" w:type="dxa"/>
            <w:vAlign w:val="center"/>
          </w:tcPr>
          <w:p>
            <w:pPr>
              <w:pStyle w:val="4"/>
              <w:jc w:val="center"/>
              <w:rPr>
                <w:rFonts w:hAnsi="宋体"/>
                <w:b/>
                <w:bCs/>
                <w:szCs w:val="21"/>
              </w:rPr>
            </w:pPr>
          </w:p>
        </w:tc>
        <w:tc>
          <w:tcPr>
            <w:tcW w:w="1821" w:type="dxa"/>
            <w:vAlign w:val="center"/>
          </w:tcPr>
          <w:p>
            <w:pPr>
              <w:pStyle w:val="4"/>
              <w:jc w:val="center"/>
              <w:rPr>
                <w:rFonts w:hAnsi="宋体"/>
                <w:b/>
                <w:bCs/>
                <w:szCs w:val="21"/>
              </w:rPr>
            </w:pPr>
          </w:p>
        </w:tc>
        <w:tc>
          <w:tcPr>
            <w:tcW w:w="1901" w:type="dxa"/>
            <w:vAlign w:val="center"/>
          </w:tcPr>
          <w:p>
            <w:pPr>
              <w:pStyle w:val="4"/>
              <w:jc w:val="center"/>
              <w:rPr>
                <w:rFonts w:hAnsi="宋体"/>
                <w:b/>
                <w:bCs/>
                <w:szCs w:val="21"/>
              </w:rPr>
            </w:pPr>
          </w:p>
        </w:tc>
        <w:tc>
          <w:tcPr>
            <w:tcW w:w="1710" w:type="dxa"/>
            <w:vAlign w:val="center"/>
          </w:tcPr>
          <w:p>
            <w:pPr>
              <w:pStyle w:val="4"/>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4"/>
              <w:jc w:val="center"/>
              <w:rPr>
                <w:rFonts w:hAnsi="宋体"/>
                <w:b/>
                <w:bCs/>
                <w:szCs w:val="21"/>
              </w:rPr>
            </w:pPr>
          </w:p>
        </w:tc>
        <w:tc>
          <w:tcPr>
            <w:tcW w:w="1697" w:type="dxa"/>
            <w:vAlign w:val="center"/>
          </w:tcPr>
          <w:p>
            <w:pPr>
              <w:pStyle w:val="4"/>
              <w:jc w:val="center"/>
              <w:rPr>
                <w:rFonts w:hAnsi="宋体"/>
                <w:b/>
                <w:bCs/>
                <w:szCs w:val="21"/>
              </w:rPr>
            </w:pPr>
          </w:p>
        </w:tc>
        <w:tc>
          <w:tcPr>
            <w:tcW w:w="1821" w:type="dxa"/>
            <w:vAlign w:val="center"/>
          </w:tcPr>
          <w:p>
            <w:pPr>
              <w:pStyle w:val="4"/>
              <w:jc w:val="center"/>
              <w:rPr>
                <w:rFonts w:hAnsi="宋体"/>
                <w:b/>
                <w:bCs/>
                <w:szCs w:val="21"/>
              </w:rPr>
            </w:pPr>
          </w:p>
        </w:tc>
        <w:tc>
          <w:tcPr>
            <w:tcW w:w="1901" w:type="dxa"/>
            <w:vAlign w:val="center"/>
          </w:tcPr>
          <w:p>
            <w:pPr>
              <w:pStyle w:val="4"/>
              <w:jc w:val="center"/>
              <w:rPr>
                <w:rFonts w:hAnsi="宋体"/>
                <w:b/>
                <w:bCs/>
                <w:szCs w:val="21"/>
              </w:rPr>
            </w:pPr>
          </w:p>
        </w:tc>
        <w:tc>
          <w:tcPr>
            <w:tcW w:w="1710" w:type="dxa"/>
            <w:vAlign w:val="center"/>
          </w:tcPr>
          <w:p>
            <w:pPr>
              <w:pStyle w:val="4"/>
              <w:jc w:val="center"/>
              <w:rPr>
                <w:rFonts w:hAnsi="宋体"/>
                <w:b/>
                <w:bCs/>
                <w:szCs w:val="21"/>
              </w:rPr>
            </w:pPr>
          </w:p>
        </w:tc>
      </w:tr>
    </w:tbl>
    <w:p>
      <w:pPr>
        <w:pStyle w:val="4"/>
        <w:rPr>
          <w:rFonts w:hAnsi="宋体"/>
          <w:b/>
          <w:bCs/>
          <w:sz w:val="28"/>
          <w:szCs w:val="28"/>
        </w:rPr>
      </w:pPr>
    </w:p>
    <w:p>
      <w:pPr>
        <w:pStyle w:val="4"/>
        <w:rPr>
          <w:rFonts w:hAnsi="宋体"/>
          <w:b/>
          <w:bCs/>
          <w:sz w:val="28"/>
          <w:szCs w:val="28"/>
        </w:rPr>
      </w:pPr>
    </w:p>
    <w:p>
      <w:pPr>
        <w:pStyle w:val="4"/>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10</w:t>
      </w:r>
    </w:p>
    <w:p>
      <w:pPr>
        <w:pStyle w:val="4"/>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可燃气体探测器到期更换项目</w:t>
      </w: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投标保证金退付表</w:t>
      </w:r>
    </w:p>
    <w:tbl>
      <w:tblPr>
        <w:tblStyle w:val="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开户行行号：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纳税人识别号：</w:t>
            </w:r>
          </w:p>
        </w:tc>
      </w:tr>
    </w:tbl>
    <w:p>
      <w:pPr>
        <w:pStyle w:val="4"/>
        <w:spacing w:line="360" w:lineRule="auto"/>
        <w:ind w:firstLine="240" w:firstLineChars="100"/>
        <w:rPr>
          <w:rFonts w:ascii="仿宋_GB2312" w:hAnsi="宋体" w:eastAsia="仿宋_GB2312"/>
          <w:sz w:val="24"/>
        </w:rPr>
      </w:pPr>
    </w:p>
    <w:p>
      <w:pPr>
        <w:pStyle w:val="4"/>
        <w:spacing w:line="360" w:lineRule="auto"/>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pPr>
        <w:rPr>
          <w:rFonts w:hint="eastAsia"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br w:type="page"/>
      </w:r>
    </w:p>
    <w:p>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11</w:t>
      </w:r>
    </w:p>
    <w:p>
      <w:pPr>
        <w:rPr>
          <w:rFonts w:ascii="宋体" w:hAnsi="宋体" w:cs="宋体"/>
          <w:sz w:val="24"/>
          <w:szCs w:val="24"/>
        </w:rPr>
      </w:pPr>
      <w:r>
        <w:rPr>
          <w:rFonts w:hint="eastAsia" w:eastAsia="黑体"/>
          <w:b/>
          <w:bCs/>
          <w:sz w:val="28"/>
        </w:rPr>
        <w:t>SRM非生产供应商注册操作手册</w:t>
      </w: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lang w:val="en-US" w:eastAsia="zh-CN"/>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114300" distR="114300">
            <wp:extent cx="5756910" cy="2934335"/>
            <wp:effectExtent l="0" t="0" r="15240" b="18415"/>
            <wp:docPr id="7"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escript"/>
                    <pic:cNvPicPr>
                      <a:picLocks noChangeAspect="1"/>
                    </pic:cNvPicPr>
                  </pic:nvPicPr>
                  <pic:blipFill>
                    <a:blip r:embed="rId5"/>
                    <a:stretch>
                      <a:fillRect/>
                    </a:stretch>
                  </pic:blipFill>
                  <pic:spPr>
                    <a:xfrm>
                      <a:off x="0" y="0"/>
                      <a:ext cx="5756910" cy="293433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2.</w:t>
      </w:r>
      <w:r>
        <w:rPr>
          <w:rFonts w:ascii="宋体" w:hAnsi="宋体" w:cs="宋体"/>
          <w:sz w:val="24"/>
          <w:szCs w:val="28"/>
        </w:rPr>
        <w:t>填写手机号码（没有注册过的）</w:t>
      </w:r>
    </w:p>
    <w:p>
      <w:pPr>
        <w:snapToGrid w:val="0"/>
        <w:spacing w:line="312" w:lineRule="auto"/>
      </w:pPr>
      <w:r>
        <w:drawing>
          <wp:inline distT="0" distB="0" distL="114300" distR="114300">
            <wp:extent cx="5756910" cy="2767330"/>
            <wp:effectExtent l="0" t="0" r="15240" b="13970"/>
            <wp:docPr id="6"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escript"/>
                    <pic:cNvPicPr>
                      <a:picLocks noChangeAspect="1"/>
                    </pic:cNvPicPr>
                  </pic:nvPicPr>
                  <pic:blipFill>
                    <a:blip r:embed="rId6"/>
                    <a:stretch>
                      <a:fillRect/>
                    </a:stretch>
                  </pic:blipFill>
                  <pic:spPr>
                    <a:xfrm>
                      <a:off x="0" y="0"/>
                      <a:ext cx="5756910" cy="2767330"/>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3.</w:t>
      </w:r>
      <w:r>
        <w:rPr>
          <w:rFonts w:ascii="宋体" w:hAnsi="宋体" w:cs="宋体"/>
          <w:sz w:val="24"/>
          <w:szCs w:val="28"/>
        </w:rPr>
        <w:t>注册成功登录这个手机号码的账号进入系统，点击供应商注册</w:t>
      </w:r>
    </w:p>
    <w:p>
      <w:pPr>
        <w:snapToGrid w:val="0"/>
        <w:spacing w:line="312" w:lineRule="auto"/>
      </w:pPr>
      <w:r>
        <w:drawing>
          <wp:inline distT="0" distB="0" distL="114300" distR="114300">
            <wp:extent cx="5758815" cy="2869565"/>
            <wp:effectExtent l="0" t="0" r="13335" b="6985"/>
            <wp:docPr id="2"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descript"/>
                    <pic:cNvPicPr>
                      <a:picLocks noChangeAspect="1"/>
                    </pic:cNvPicPr>
                  </pic:nvPicPr>
                  <pic:blipFill>
                    <a:blip r:embed="rId7"/>
                    <a:stretch>
                      <a:fillRect/>
                    </a:stretch>
                  </pic:blipFill>
                  <pic:spPr>
                    <a:xfrm>
                      <a:off x="0" y="0"/>
                      <a:ext cx="5758815" cy="286956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4.</w:t>
      </w:r>
      <w:r>
        <w:rPr>
          <w:rFonts w:ascii="宋体" w:hAnsi="宋体" w:cs="宋体"/>
          <w:sz w:val="24"/>
          <w:szCs w:val="28"/>
        </w:rPr>
        <w:t>点击新增</w:t>
      </w:r>
    </w:p>
    <w:p>
      <w:pPr>
        <w:snapToGrid w:val="0"/>
        <w:spacing w:line="312" w:lineRule="auto"/>
      </w:pPr>
      <w:r>
        <w:drawing>
          <wp:inline distT="0" distB="0" distL="114300" distR="114300">
            <wp:extent cx="5756910" cy="2854325"/>
            <wp:effectExtent l="0" t="0" r="15240" b="3175"/>
            <wp:docPr id="3"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escript"/>
                    <pic:cNvPicPr>
                      <a:picLocks noChangeAspect="1"/>
                    </pic:cNvPicPr>
                  </pic:nvPicPr>
                  <pic:blipFill>
                    <a:blip r:embed="rId8"/>
                    <a:stretch>
                      <a:fillRect/>
                    </a:stretch>
                  </pic:blipFill>
                  <pic:spPr>
                    <a:xfrm>
                      <a:off x="0" y="0"/>
                      <a:ext cx="5756910" cy="285432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ascii="宋体" w:hAnsi="宋体" w:cs="宋体"/>
          <w:sz w:val="24"/>
          <w:szCs w:val="28"/>
        </w:rPr>
        <w:t>按要求填写所有信息，注意非生产类要填写合作单位，最后提交审批</w:t>
      </w:r>
    </w:p>
    <w:p>
      <w:pPr>
        <w:rPr>
          <w:rFonts w:ascii="宋体" w:hAnsi="宋体" w:cs="宋体"/>
        </w:rPr>
      </w:pPr>
    </w:p>
    <w:p>
      <w:r>
        <w:drawing>
          <wp:inline distT="0" distB="0" distL="114300" distR="114300">
            <wp:extent cx="5758815" cy="2807335"/>
            <wp:effectExtent l="0" t="0" r="13335" b="12065"/>
            <wp:docPr id="4"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escript"/>
                    <pic:cNvPicPr>
                      <a:picLocks noChangeAspect="1"/>
                    </pic:cNvPicPr>
                  </pic:nvPicPr>
                  <pic:blipFill>
                    <a:blip r:embed="rId9"/>
                    <a:stretch>
                      <a:fillRect/>
                    </a:stretch>
                  </pic:blipFill>
                  <pic:spPr>
                    <a:xfrm>
                      <a:off x="0" y="0"/>
                      <a:ext cx="5758815" cy="2807335"/>
                    </a:xfrm>
                    <a:prstGeom prst="rect">
                      <a:avLst/>
                    </a:prstGeom>
                    <a:noFill/>
                    <a:ln>
                      <a:noFill/>
                    </a:ln>
                  </pic:spPr>
                </pic:pic>
              </a:graphicData>
            </a:graphic>
          </wp:inline>
        </w:drawing>
      </w:r>
    </w:p>
    <w:p>
      <w:pPr>
        <w:pStyle w:val="7"/>
        <w:ind w:left="0" w:leftChars="0" w:firstLine="0" w:firstLineChars="0"/>
      </w:pPr>
      <w:r>
        <w:drawing>
          <wp:inline distT="0" distB="0" distL="114300" distR="114300">
            <wp:extent cx="5756910" cy="2823845"/>
            <wp:effectExtent l="0" t="0" r="15240" b="14605"/>
            <wp:docPr id="5" name="图片 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escript"/>
                    <pic:cNvPicPr>
                      <a:picLocks noChangeAspect="1"/>
                    </pic:cNvPicPr>
                  </pic:nvPicPr>
                  <pic:blipFill>
                    <a:blip r:embed="rId10"/>
                    <a:stretch>
                      <a:fillRect/>
                    </a:stretch>
                  </pic:blipFill>
                  <pic:spPr>
                    <a:xfrm>
                      <a:off x="0" y="0"/>
                      <a:ext cx="5756910" cy="2823845"/>
                    </a:xfrm>
                    <a:prstGeom prst="rect">
                      <a:avLst/>
                    </a:prstGeom>
                    <a:noFill/>
                    <a:ln>
                      <a:noFill/>
                    </a:ln>
                  </pic:spPr>
                </pic:pic>
              </a:graphicData>
            </a:graphic>
          </wp:inline>
        </w:drawing>
      </w:r>
    </w:p>
    <w:p/>
    <w:p>
      <w:pPr>
        <w:pStyle w:val="7"/>
      </w:pPr>
    </w:p>
    <w:p/>
    <w:p>
      <w:pPr>
        <w:pStyle w:val="7"/>
      </w:pPr>
    </w:p>
    <w:p/>
    <w:p>
      <w:pPr>
        <w:pStyle w:val="7"/>
      </w:pPr>
    </w:p>
    <w:p/>
    <w:p>
      <w:pPr>
        <w:pStyle w:val="7"/>
      </w:pPr>
    </w:p>
    <w:p/>
    <w:p>
      <w:pPr>
        <w:pStyle w:val="7"/>
      </w:pPr>
    </w:p>
    <w:p/>
    <w:p>
      <w:pPr>
        <w:pStyle w:val="7"/>
      </w:pPr>
    </w:p>
    <w:p>
      <w:pPr>
        <w:rPr>
          <w:rFonts w:hint="eastAsia" w:eastAsia="黑体"/>
          <w:b/>
          <w:bCs/>
          <w:sz w:val="28"/>
          <w:lang w:val="en-US" w:eastAsia="zh-CN"/>
        </w:rPr>
      </w:pPr>
      <w:r>
        <w:rPr>
          <w:rFonts w:hint="eastAsia" w:eastAsia="黑体"/>
          <w:b/>
          <w:bCs/>
          <w:sz w:val="28"/>
        </w:rPr>
        <w:t>附件</w:t>
      </w:r>
      <w:r>
        <w:rPr>
          <w:rFonts w:eastAsia="黑体"/>
          <w:b/>
          <w:bCs/>
          <w:sz w:val="28"/>
        </w:rPr>
        <w:t>1</w:t>
      </w:r>
      <w:r>
        <w:rPr>
          <w:rFonts w:hint="eastAsia" w:eastAsia="黑体"/>
          <w:b/>
          <w:bCs/>
          <w:sz w:val="28"/>
          <w:lang w:val="en-US" w:eastAsia="zh-CN"/>
        </w:rPr>
        <w:t xml:space="preserve">2 </w:t>
      </w:r>
    </w:p>
    <w:p>
      <w:pPr>
        <w:rPr>
          <w:rFonts w:eastAsia="黑体"/>
          <w:b/>
          <w:bCs/>
          <w:sz w:val="28"/>
        </w:rPr>
      </w:pPr>
      <w:r>
        <w:rPr>
          <w:rFonts w:hint="eastAsia" w:eastAsia="黑体"/>
          <w:b/>
          <w:bCs/>
          <w:sz w:val="28"/>
        </w:rPr>
        <w:t>SRM系统供应商用户手册</w:t>
      </w:r>
    </w:p>
    <w:p>
      <w:pPr>
        <w:spacing w:line="360" w:lineRule="auto"/>
        <w:rPr>
          <w:rFonts w:ascii="宋体" w:hAnsi="宋体" w:cs="宋体"/>
          <w:sz w:val="24"/>
          <w:szCs w:val="24"/>
        </w:rPr>
      </w:pPr>
      <w:r>
        <w:rPr>
          <w:rFonts w:hint="eastAsia" w:ascii="宋体" w:hAnsi="宋体" w:cs="宋体"/>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11"/>
          <w:rFonts w:hint="eastAsia" w:ascii="宋体" w:hAnsi="宋体" w:cs="宋体"/>
          <w:color w:val="auto"/>
          <w:sz w:val="24"/>
          <w:szCs w:val="24"/>
        </w:rPr>
        <w:t>http</w:t>
      </w:r>
      <w:r>
        <w:rPr>
          <w:rStyle w:val="11"/>
          <w:rFonts w:hint="eastAsia" w:ascii="宋体" w:hAnsi="宋体" w:cs="宋体"/>
          <w:color w:val="auto"/>
          <w:sz w:val="24"/>
          <w:szCs w:val="24"/>
          <w:lang w:val="en-US" w:eastAsia="zh-CN"/>
        </w:rPr>
        <w:t>s</w:t>
      </w:r>
      <w:r>
        <w:rPr>
          <w:rStyle w:val="11"/>
          <w:rFonts w:hint="eastAsia" w:ascii="宋体" w:hAnsi="宋体" w:cs="宋体"/>
          <w:color w:val="auto"/>
          <w:sz w:val="24"/>
          <w:szCs w:val="24"/>
        </w:rPr>
        <w:t>://ecaitong.sinotruk.com:8012/</w:t>
      </w:r>
      <w:r>
        <w:rPr>
          <w:rStyle w:val="11"/>
          <w:rFonts w:hint="eastAsia" w:ascii="宋体" w:hAnsi="宋体" w:cs="宋体"/>
          <w:color w:val="auto"/>
          <w:sz w:val="24"/>
          <w:szCs w:val="24"/>
        </w:rPr>
        <w:fldChar w:fldCharType="end"/>
      </w:r>
    </w:p>
    <w:p>
      <w:pPr>
        <w:spacing w:line="360" w:lineRule="auto"/>
        <w:rPr>
          <w:rFonts w:ascii="宋体" w:hAnsi="宋体" w:cs="宋体"/>
          <w:sz w:val="24"/>
          <w:szCs w:val="24"/>
        </w:rPr>
      </w:pPr>
      <w:r>
        <w:rPr>
          <w:rFonts w:hint="eastAsia" w:ascii="宋体" w:hAnsi="宋体" w:cs="宋体"/>
          <w:sz w:val="24"/>
          <w:szCs w:val="24"/>
        </w:rPr>
        <w:t>用 户 名：gys+供应商代码（注意：注册完毕后，用户名不要用手机号登录）</w:t>
      </w:r>
    </w:p>
    <w:p>
      <w:pPr>
        <w:spacing w:line="360" w:lineRule="auto"/>
        <w:rPr>
          <w:rFonts w:ascii="宋体" w:hAnsi="宋体" w:cs="宋体"/>
          <w:sz w:val="24"/>
          <w:szCs w:val="24"/>
        </w:rPr>
      </w:pPr>
      <w:r>
        <w:rPr>
          <w:rFonts w:hint="eastAsia" w:ascii="宋体" w:hAnsi="宋体" w:cs="宋体"/>
          <w:sz w:val="24"/>
          <w:szCs w:val="24"/>
        </w:rPr>
        <w:t>初始密码：scm@2022</w:t>
      </w:r>
    </w:p>
    <w:p>
      <w:pPr>
        <w:spacing w:line="360" w:lineRule="auto"/>
        <w:rPr>
          <w:rFonts w:ascii="宋体" w:hAnsi="宋体" w:cs="宋体"/>
          <w:b/>
          <w:bCs/>
          <w:sz w:val="24"/>
          <w:szCs w:val="24"/>
        </w:rPr>
      </w:pPr>
      <w:r>
        <w:rPr>
          <w:rFonts w:hint="eastAsia" w:ascii="宋体" w:hAnsi="宋体" w:cs="宋体"/>
          <w:b/>
          <w:bCs/>
          <w:sz w:val="24"/>
          <w:szCs w:val="24"/>
        </w:rPr>
        <w:t>1.供应商应标</w:t>
      </w:r>
    </w:p>
    <w:p>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供应商应标</w:t>
      </w:r>
    </w:p>
    <w:p>
      <w:pPr>
        <w:spacing w:line="360" w:lineRule="auto"/>
        <w:rPr>
          <w:rFonts w:ascii="宋体" w:hAnsi="宋体" w:cs="宋体"/>
          <w:sz w:val="24"/>
          <w:szCs w:val="24"/>
        </w:rPr>
      </w:pPr>
      <w:r>
        <w:rPr>
          <w:rFonts w:ascii="宋体" w:hAnsi="宋体" w:cs="宋体"/>
          <w:sz w:val="24"/>
          <w:szCs w:val="24"/>
        </w:rPr>
        <w:t>点击应标，上传文件之后点击提交。</w:t>
      </w:r>
    </w:p>
    <w:p>
      <w:r>
        <w:drawing>
          <wp:inline distT="0" distB="0" distL="114300" distR="114300">
            <wp:extent cx="5755005" cy="2265680"/>
            <wp:effectExtent l="0" t="0" r="17145" b="1270"/>
            <wp:docPr id="12"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descript"/>
                    <pic:cNvPicPr>
                      <a:picLocks noChangeAspect="1"/>
                    </pic:cNvPicPr>
                  </pic:nvPicPr>
                  <pic:blipFill>
                    <a:blip r:embed="rId11"/>
                    <a:stretch>
                      <a:fillRect/>
                    </a:stretch>
                  </pic:blipFill>
                  <pic:spPr>
                    <a:xfrm>
                      <a:off x="0" y="0"/>
                      <a:ext cx="5755005" cy="22656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注意：</w:t>
      </w:r>
      <w:r>
        <w:rPr>
          <w:rFonts w:hint="eastAsia" w:ascii="宋体" w:hAnsi="宋体" w:eastAsia="宋体" w:cs="宋体"/>
          <w:b w:val="0"/>
          <w:bCs w:val="0"/>
          <w:sz w:val="24"/>
          <w:szCs w:val="24"/>
          <w:lang w:val="en-US" w:eastAsia="zh-CN"/>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按要求填写财务数据，财务数据除长期借款、短期借款、对外担保金额可以为0其他数据不允许为空，全部信息补充完整（上面其他的名称、地址、等等其他数据不变更不需要填写）之后选择采购工程师提交，经过审批后后才可以参与招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180840" cy="1755775"/>
            <wp:effectExtent l="0" t="0" r="10160"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2"/>
                    <a:stretch>
                      <a:fillRect/>
                    </a:stretch>
                  </pic:blipFill>
                  <pic:spPr>
                    <a:xfrm>
                      <a:off x="0" y="0"/>
                      <a:ext cx="4180840" cy="1755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310380" cy="2586355"/>
            <wp:effectExtent l="0" t="0" r="13970" b="44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3"/>
                    <a:stretch>
                      <a:fillRect/>
                    </a:stretch>
                  </pic:blipFill>
                  <pic:spPr>
                    <a:xfrm>
                      <a:off x="0" y="0"/>
                      <a:ext cx="4310380" cy="25863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46750" cy="1341755"/>
            <wp:effectExtent l="0" t="0" r="6350" b="1079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5746750" cy="13417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51195" cy="2925445"/>
            <wp:effectExtent l="0" t="0" r="1905" b="825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5"/>
                    <a:stretch>
                      <a:fillRect/>
                    </a:stretch>
                  </pic:blipFill>
                  <pic:spPr>
                    <a:xfrm>
                      <a:off x="0" y="0"/>
                      <a:ext cx="5751195" cy="29254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746115" cy="3126105"/>
            <wp:effectExtent l="0" t="0" r="6985" b="1714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6"/>
                    <a:stretch>
                      <a:fillRect/>
                    </a:stretch>
                  </pic:blipFill>
                  <pic:spPr>
                    <a:xfrm>
                      <a:off x="0" y="0"/>
                      <a:ext cx="5746115" cy="3126105"/>
                    </a:xfrm>
                    <a:prstGeom prst="rect">
                      <a:avLst/>
                    </a:prstGeom>
                    <a:noFill/>
                    <a:ln>
                      <a:noFill/>
                    </a:ln>
                  </pic:spPr>
                </pic:pic>
              </a:graphicData>
            </a:graphic>
          </wp:inline>
        </w:drawing>
      </w:r>
    </w:p>
    <w:p>
      <w:pPr>
        <w:spacing w:line="360" w:lineRule="auto"/>
        <w:rPr>
          <w:rFonts w:ascii="宋体" w:hAnsi="宋体" w:cs="宋体"/>
          <w:b/>
          <w:bCs/>
          <w:sz w:val="24"/>
          <w:szCs w:val="24"/>
        </w:rPr>
      </w:pPr>
      <w:r>
        <w:rPr>
          <w:rFonts w:hint="eastAsia" w:ascii="宋体" w:hAnsi="宋体" w:cs="宋体"/>
          <w:b/>
          <w:bCs/>
          <w:sz w:val="24"/>
          <w:szCs w:val="24"/>
        </w:rPr>
        <w:t>2.供应商投标</w:t>
      </w:r>
    </w:p>
    <w:p>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供应商投标</w:t>
      </w:r>
    </w:p>
    <w:p>
      <w:pPr>
        <w:rPr>
          <w:rFonts w:ascii="宋体" w:hAnsi="宋体" w:cs="宋体"/>
        </w:rPr>
      </w:pPr>
      <w:r>
        <w:rPr>
          <w:rFonts w:ascii="宋体" w:hAnsi="宋体" w:cs="宋体"/>
        </w:rPr>
        <w:drawing>
          <wp:inline distT="0" distB="0" distL="114300" distR="114300">
            <wp:extent cx="5755005" cy="2123440"/>
            <wp:effectExtent l="0" t="0" r="17145" b="10160"/>
            <wp:docPr id="14" name="图片 1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descript"/>
                    <pic:cNvPicPr>
                      <a:picLocks noChangeAspect="1"/>
                    </pic:cNvPicPr>
                  </pic:nvPicPr>
                  <pic:blipFill>
                    <a:blip r:embed="rId17"/>
                    <a:stretch>
                      <a:fillRect/>
                    </a:stretch>
                  </pic:blipFill>
                  <pic:spPr>
                    <a:xfrm>
                      <a:off x="0" y="0"/>
                      <a:ext cx="5755005" cy="2123440"/>
                    </a:xfrm>
                    <a:prstGeom prst="rect">
                      <a:avLst/>
                    </a:prstGeom>
                    <a:noFill/>
                    <a:ln>
                      <a:noFill/>
                    </a:ln>
                  </pic:spPr>
                </pic:pic>
              </a:graphicData>
            </a:graphic>
          </wp:inline>
        </w:drawing>
      </w:r>
    </w:p>
    <w:p>
      <w:pPr>
        <w:spacing w:line="360" w:lineRule="auto"/>
        <w:rPr>
          <w:rFonts w:ascii="宋体" w:hAnsi="宋体" w:cs="宋体"/>
          <w:sz w:val="24"/>
          <w:szCs w:val="28"/>
        </w:rPr>
      </w:pPr>
      <w:r>
        <w:rPr>
          <w:rFonts w:ascii="宋体" w:hAnsi="宋体" w:cs="宋体"/>
          <w:sz w:val="24"/>
          <w:szCs w:val="28"/>
        </w:rPr>
        <w:t>点击投标按钮，进入详情页，输入投标报价并上传相应的附件。</w:t>
      </w:r>
    </w:p>
    <w:p>
      <w:pPr>
        <w:rPr>
          <w:rFonts w:hint="eastAsia"/>
          <w:b/>
          <w:bCs/>
          <w:highlight w:val="none"/>
        </w:rPr>
      </w:pPr>
      <w:r>
        <w:rPr>
          <w:rFonts w:hint="eastAsia"/>
          <w:b/>
          <w:bCs/>
          <w:highlight w:val="none"/>
        </w:rPr>
        <w:t>请注意，投标报价单位为万元含税</w:t>
      </w:r>
    </w:p>
    <w:p>
      <w:pPr>
        <w:pStyle w:val="2"/>
        <w:spacing w:line="372" w:lineRule="auto"/>
        <w:ind w:left="425" w:hanging="425"/>
        <w:rPr>
          <w:rFonts w:ascii="Arial" w:hAnsi="Arial" w:eastAsia="Arial" w:cs="Arial"/>
          <w:sz w:val="28"/>
        </w:rPr>
      </w:pPr>
      <w:r>
        <w:rPr>
          <w:rFonts w:ascii="Arial" w:hAnsi="Arial" w:eastAsia="Arial" w:cs="Arial"/>
        </w:rPr>
        <w:drawing>
          <wp:inline distT="0" distB="0" distL="114300" distR="114300">
            <wp:extent cx="5484495" cy="2672715"/>
            <wp:effectExtent l="0" t="0" r="1905" b="13335"/>
            <wp:docPr id="15" name="图片 1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descript"/>
                    <pic:cNvPicPr>
                      <a:picLocks noChangeAspect="1"/>
                    </pic:cNvPicPr>
                  </pic:nvPicPr>
                  <pic:blipFill>
                    <a:blip r:embed="rId18"/>
                    <a:stretch>
                      <a:fillRect/>
                    </a:stretch>
                  </pic:blipFill>
                  <pic:spPr>
                    <a:xfrm>
                      <a:off x="0" y="0"/>
                      <a:ext cx="5484495" cy="2672715"/>
                    </a:xfrm>
                    <a:prstGeom prst="rect">
                      <a:avLst/>
                    </a:prstGeom>
                    <a:noFill/>
                    <a:ln>
                      <a:noFill/>
                    </a:ln>
                  </pic:spPr>
                </pic:pic>
              </a:graphicData>
            </a:graphic>
          </wp:inline>
        </w:drawing>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供应商技术标澄清函</w:t>
      </w:r>
    </w:p>
    <w:p>
      <w:r>
        <w:t>路径：招投标中心-非生产类招投标-</w:t>
      </w:r>
      <w:r>
        <w:rPr>
          <w:rFonts w:hint="eastAsia"/>
        </w:rPr>
        <w:t>供应商技术标澄清函</w:t>
      </w:r>
    </w:p>
    <w:p>
      <w:r>
        <w:rPr>
          <w:rFonts w:hint="eastAsia"/>
        </w:rPr>
        <w:t>点击编辑按钮进入系统，技术标澄清函。</w:t>
      </w:r>
    </w:p>
    <w:p>
      <w:r>
        <w:rPr>
          <w:rFonts w:hint="eastAsia"/>
        </w:rPr>
        <w:t>开标之后所有投标的供应商都可编辑提交，技术标入围之后都不可编辑</w:t>
      </w:r>
    </w:p>
    <w:p>
      <w:pPr>
        <w:spacing w:line="360" w:lineRule="auto"/>
      </w:pPr>
      <w:r>
        <w:drawing>
          <wp:inline distT="0" distB="0" distL="114300" distR="114300">
            <wp:extent cx="5759450" cy="2669540"/>
            <wp:effectExtent l="0" t="0" r="12700" b="16510"/>
            <wp:docPr id="11" name="图片 17"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图形用户界面, 文本, 信件&#10;&#10;描述已自动生成"/>
                    <pic:cNvPicPr>
                      <a:picLocks noChangeAspect="1"/>
                    </pic:cNvPicPr>
                  </pic:nvPicPr>
                  <pic:blipFill>
                    <a:blip r:embed="rId19"/>
                    <a:stretch>
                      <a:fillRect/>
                    </a:stretch>
                  </pic:blipFill>
                  <pic:spPr>
                    <a:xfrm>
                      <a:off x="0" y="0"/>
                      <a:ext cx="5759450" cy="2669540"/>
                    </a:xfrm>
                    <a:prstGeom prst="rect">
                      <a:avLst/>
                    </a:prstGeom>
                    <a:noFill/>
                    <a:ln>
                      <a:noFill/>
                    </a:ln>
                  </pic:spPr>
                </pic:pic>
              </a:graphicData>
            </a:graphic>
          </wp:inline>
        </w:drawing>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4.供应商报价</w:t>
      </w:r>
    </w:p>
    <w:p>
      <w:r>
        <w:t>路径：招投标中心-非生产类招投标-</w:t>
      </w:r>
      <w:r>
        <w:rPr>
          <w:rFonts w:hint="eastAsia"/>
        </w:rPr>
        <w:t>供应商报价</w:t>
      </w:r>
    </w:p>
    <w:p>
      <w:r>
        <w:rPr>
          <w:rFonts w:hint="eastAsia"/>
        </w:rPr>
        <w:t>点击报价按钮进入报价详情界面，请在此轮报价起止时间内报价并输入澄清函，否则无法报价。</w:t>
      </w:r>
    </w:p>
    <w:p>
      <w:pPr>
        <w:rPr>
          <w:b/>
          <w:bCs/>
          <w:highlight w:val="none"/>
        </w:rPr>
      </w:pPr>
      <w:r>
        <w:rPr>
          <w:rFonts w:hint="eastAsia"/>
          <w:b/>
          <w:bCs/>
          <w:highlight w:val="none"/>
        </w:rPr>
        <w:t>请注意，报价单位为万元含税</w:t>
      </w:r>
    </w:p>
    <w:p>
      <w:pPr>
        <w:spacing w:line="360" w:lineRule="auto"/>
        <w:rPr>
          <w:rFonts w:hint="eastAsia"/>
          <w:lang w:val="en-US" w:eastAsia="zh-CN"/>
        </w:rPr>
      </w:pPr>
    </w:p>
    <w:p>
      <w:pPr>
        <w:spacing w:line="360" w:lineRule="auto"/>
        <w:rPr>
          <w:rFonts w:hint="eastAsia" w:ascii="宋体" w:hAnsi="宋体" w:cs="宋体"/>
          <w:b/>
          <w:bCs/>
          <w:sz w:val="24"/>
          <w:szCs w:val="24"/>
          <w:lang w:val="en-US" w:eastAsia="zh-CN"/>
        </w:rPr>
      </w:pPr>
    </w:p>
    <w:p>
      <w:pPr>
        <w:spacing w:line="360" w:lineRule="auto"/>
      </w:pPr>
      <w:r>
        <w:drawing>
          <wp:inline distT="0" distB="0" distL="114300" distR="114300">
            <wp:extent cx="5759450" cy="2936240"/>
            <wp:effectExtent l="0" t="0" r="12700" b="16510"/>
            <wp:docPr id="20" name="图片 1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图形用户界面, 文本&#10;&#10;描述已自动生成"/>
                    <pic:cNvPicPr>
                      <a:picLocks noChangeAspect="1"/>
                    </pic:cNvPicPr>
                  </pic:nvPicPr>
                  <pic:blipFill>
                    <a:blip r:embed="rId20"/>
                    <a:stretch>
                      <a:fillRect/>
                    </a:stretch>
                  </pic:blipFill>
                  <pic:spPr>
                    <a:xfrm>
                      <a:off x="0" y="0"/>
                      <a:ext cx="5759450" cy="2936240"/>
                    </a:xfrm>
                    <a:prstGeom prst="rect">
                      <a:avLst/>
                    </a:prstGeom>
                    <a:noFill/>
                    <a:ln>
                      <a:noFill/>
                    </a:ln>
                  </pic:spPr>
                </pic:pic>
              </a:graphicData>
            </a:graphic>
          </wp:inline>
        </w:drawing>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5.供应商澄清报价</w:t>
      </w:r>
    </w:p>
    <w:p>
      <w:r>
        <w:t>路径：招投标中心-非生产类招投标-</w:t>
      </w:r>
      <w:r>
        <w:rPr>
          <w:rFonts w:hint="eastAsia"/>
        </w:rPr>
        <w:t>供应商澄清报价</w:t>
      </w:r>
    </w:p>
    <w:p>
      <w:r>
        <w:rPr>
          <w:rFonts w:hint="eastAsia"/>
        </w:rPr>
        <w:t>招标发起人接收建议价的同时会给供应商发送澄清报价，供应商在此界面进行澄清报价，点击编辑按钮进入澄清报价详细界面，输入价格并上传澄清函，之后点击提交。</w:t>
      </w:r>
    </w:p>
    <w:p>
      <w:pPr>
        <w:spacing w:line="360" w:lineRule="auto"/>
      </w:pPr>
      <w:r>
        <w:drawing>
          <wp:inline distT="0" distB="0" distL="114300" distR="114300">
            <wp:extent cx="5759450" cy="2671445"/>
            <wp:effectExtent l="0" t="0" r="12700" b="14605"/>
            <wp:docPr id="9" name="图片 1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图形用户界面, 文本, 应用程序, 电子邮件&#10;&#10;描述已自动生成"/>
                    <pic:cNvPicPr>
                      <a:picLocks noChangeAspect="1"/>
                    </pic:cNvPicPr>
                  </pic:nvPicPr>
                  <pic:blipFill>
                    <a:blip r:embed="rId21"/>
                    <a:stretch>
                      <a:fillRect/>
                    </a:stretch>
                  </pic:blipFill>
                  <pic:spPr>
                    <a:xfrm>
                      <a:off x="0" y="0"/>
                      <a:ext cx="5759450" cy="2671445"/>
                    </a:xfrm>
                    <a:prstGeom prst="rect">
                      <a:avLst/>
                    </a:prstGeom>
                    <a:noFill/>
                    <a:ln>
                      <a:noFill/>
                    </a:ln>
                  </pic:spPr>
                </pic:pic>
              </a:graphicData>
            </a:graphic>
          </wp:inline>
        </w:drawing>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6.供应商查看中标通知</w:t>
      </w:r>
    </w:p>
    <w:p>
      <w:r>
        <w:t>路径：招投标中心-非生产类招投标-</w:t>
      </w:r>
      <w:r>
        <w:rPr>
          <w:rFonts w:hint="eastAsia"/>
        </w:rPr>
        <w:t>中标项目</w:t>
      </w:r>
    </w:p>
    <w:p>
      <w:pPr>
        <w:rPr>
          <w:rFonts w:hint="eastAsia"/>
        </w:rPr>
      </w:pPr>
      <w:r>
        <w:rPr>
          <w:rFonts w:hint="eastAsia"/>
        </w:rPr>
        <w:t>点击查看进入查看中标项目详情</w:t>
      </w:r>
    </w:p>
    <w:p>
      <w:r>
        <w:drawing>
          <wp:inline distT="0" distB="0" distL="114300" distR="114300">
            <wp:extent cx="5759450" cy="2366010"/>
            <wp:effectExtent l="0" t="0" r="12700" b="15240"/>
            <wp:docPr id="21"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图形用户界面, 文本, 应用程序&#10;&#10;描述已自动生成"/>
                    <pic:cNvPicPr>
                      <a:picLocks noChangeAspect="1"/>
                    </pic:cNvPicPr>
                  </pic:nvPicPr>
                  <pic:blipFill>
                    <a:blip r:embed="rId22"/>
                    <a:stretch>
                      <a:fillRect/>
                    </a:stretch>
                  </pic:blipFill>
                  <pic:spPr>
                    <a:xfrm>
                      <a:off x="0" y="0"/>
                      <a:ext cx="5759450" cy="2366010"/>
                    </a:xfrm>
                    <a:prstGeom prst="rect">
                      <a:avLst/>
                    </a:prstGeom>
                    <a:noFill/>
                    <a:ln>
                      <a:noFill/>
                    </a:ln>
                  </pic:spPr>
                </pic:pic>
              </a:graphicData>
            </a:graphic>
          </wp:inline>
        </w:drawing>
      </w:r>
    </w:p>
    <w:p>
      <w:pPr>
        <w:rPr>
          <w:rFonts w:hint="eastAsia"/>
        </w:rPr>
      </w:pPr>
      <w:r>
        <w:drawing>
          <wp:inline distT="0" distB="0" distL="114300" distR="114300">
            <wp:extent cx="5759450" cy="2494915"/>
            <wp:effectExtent l="0" t="0" r="12700" b="635"/>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23"/>
                    <a:stretch>
                      <a:fillRect/>
                    </a:stretch>
                  </pic:blipFill>
                  <pic:spPr>
                    <a:xfrm>
                      <a:off x="0" y="0"/>
                      <a:ext cx="5759450" cy="2494915"/>
                    </a:xfrm>
                    <a:prstGeom prst="rect">
                      <a:avLst/>
                    </a:prstGeom>
                    <a:noFill/>
                    <a:ln>
                      <a:noFill/>
                    </a:ln>
                  </pic:spPr>
                </pic:pic>
              </a:graphicData>
            </a:graphic>
          </wp:inline>
        </w:drawing>
      </w:r>
    </w:p>
    <w:p>
      <w:r>
        <w:rPr>
          <w:rFonts w:hint="eastAsia"/>
        </w:rPr>
        <w:t>点击查看按钮查看中标通知，点击发送按钮给项目负责人发送回执，发送回执之后回执发送状态变为已发送。</w:t>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7.评标纪律</w:t>
      </w:r>
    </w:p>
    <w:p>
      <w:r>
        <w:t>路径：招投标中心-非生产类招投标-</w:t>
      </w:r>
      <w:r>
        <w:rPr>
          <w:rFonts w:hint="eastAsia"/>
        </w:rPr>
        <w:t>供应商投标</w:t>
      </w:r>
    </w:p>
    <w:p>
      <w:pPr>
        <w:rPr>
          <w:rFonts w:hint="eastAsia"/>
        </w:rPr>
      </w:pPr>
      <w:r>
        <w:rPr>
          <w:rFonts w:hint="eastAsia"/>
        </w:rPr>
        <w:t>供应商投标时会弹窗展示评标纪律，要求供应商勾选我已阅知并保证遵守评标记录之后点击确定按钮进入投标界面。</w:t>
      </w:r>
    </w:p>
    <w:p>
      <w:pPr>
        <w:spacing w:line="360" w:lineRule="auto"/>
        <w:rPr>
          <w:rFonts w:hint="eastAsia"/>
          <w:lang w:val="en-US" w:eastAsia="zh-CN"/>
        </w:rPr>
      </w:pPr>
      <w:r>
        <w:drawing>
          <wp:inline distT="0" distB="0" distL="114300" distR="114300">
            <wp:extent cx="5759450" cy="6294120"/>
            <wp:effectExtent l="0" t="0" r="12700" b="11430"/>
            <wp:docPr id="18"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图形用户界面, 文本, 应用程序&#10;&#10;描述已自动生成"/>
                    <pic:cNvPicPr>
                      <a:picLocks noChangeAspect="1"/>
                    </pic:cNvPicPr>
                  </pic:nvPicPr>
                  <pic:blipFill>
                    <a:blip r:embed="rId24"/>
                    <a:stretch>
                      <a:fillRect/>
                    </a:stretch>
                  </pic:blipFill>
                  <pic:spPr>
                    <a:xfrm>
                      <a:off x="0" y="0"/>
                      <a:ext cx="5759450" cy="6294120"/>
                    </a:xfrm>
                    <a:prstGeom prst="rect">
                      <a:avLst/>
                    </a:prstGeom>
                    <a:noFill/>
                    <a:ln>
                      <a:noFill/>
                    </a:ln>
                  </pic:spPr>
                </pic:pic>
              </a:graphicData>
            </a:graphic>
          </wp:inline>
        </w:drawing>
      </w:r>
    </w:p>
    <w:p>
      <w:pPr>
        <w:spacing w:line="360" w:lineRule="auto"/>
        <w:rPr>
          <w:rFonts w:hint="eastAsia" w:ascii="宋体" w:hAnsi="宋体" w:cs="宋体"/>
          <w:b/>
          <w:bCs/>
          <w:sz w:val="24"/>
          <w:szCs w:val="24"/>
          <w:lang w:val="en-US" w:eastAsia="zh-CN"/>
        </w:rPr>
      </w:pPr>
    </w:p>
    <w:p>
      <w:pPr>
        <w:spacing w:line="360" w:lineRule="auto"/>
        <w:rPr>
          <w:rFonts w:hint="eastAsia" w:ascii="宋体" w:hAnsi="宋体" w:cs="宋体"/>
          <w:b/>
          <w:bCs/>
          <w:sz w:val="24"/>
          <w:szCs w:val="24"/>
          <w:lang w:val="en-US" w:eastAsia="zh-CN"/>
        </w:rPr>
      </w:pPr>
    </w:p>
    <w:p>
      <w:pPr>
        <w:spacing w:line="360" w:lineRule="auto"/>
        <w:rPr>
          <w:rFonts w:hint="eastAsia" w:ascii="宋体" w:hAnsi="宋体" w:cs="宋体"/>
          <w:b/>
          <w:bCs/>
          <w:sz w:val="24"/>
          <w:szCs w:val="24"/>
          <w:lang w:val="en-US" w:eastAsia="zh-CN"/>
        </w:rPr>
      </w:pPr>
    </w:p>
    <w:p>
      <w:pPr>
        <w:spacing w:line="360" w:lineRule="auto"/>
        <w:rPr>
          <w:rFonts w:hint="eastAsia" w:ascii="宋体" w:hAnsi="宋体" w:cs="宋体"/>
          <w:b/>
          <w:bCs/>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0OWQ2M2E5YzVhMTJjOWJhYjA5ZjE1MjcyZGM4ODUifQ=="/>
  </w:docVars>
  <w:rsids>
    <w:rsidRoot w:val="744F1781"/>
    <w:rsid w:val="00305415"/>
    <w:rsid w:val="02262A35"/>
    <w:rsid w:val="02974683"/>
    <w:rsid w:val="036D5321"/>
    <w:rsid w:val="04A46E63"/>
    <w:rsid w:val="0B773528"/>
    <w:rsid w:val="0C9E19B2"/>
    <w:rsid w:val="0CDE0B2E"/>
    <w:rsid w:val="0EDD34DE"/>
    <w:rsid w:val="103D2D23"/>
    <w:rsid w:val="13E82CBF"/>
    <w:rsid w:val="163D098D"/>
    <w:rsid w:val="189C3CA5"/>
    <w:rsid w:val="1BA420AC"/>
    <w:rsid w:val="1D92344B"/>
    <w:rsid w:val="22A33EF5"/>
    <w:rsid w:val="250A7B5F"/>
    <w:rsid w:val="25297A68"/>
    <w:rsid w:val="2AC95B49"/>
    <w:rsid w:val="2B9547C1"/>
    <w:rsid w:val="2CB54049"/>
    <w:rsid w:val="2D494B77"/>
    <w:rsid w:val="2FF60017"/>
    <w:rsid w:val="31532E23"/>
    <w:rsid w:val="31E31320"/>
    <w:rsid w:val="380435A0"/>
    <w:rsid w:val="380F6006"/>
    <w:rsid w:val="41E61903"/>
    <w:rsid w:val="4BBF37A2"/>
    <w:rsid w:val="4C772A38"/>
    <w:rsid w:val="50012C6A"/>
    <w:rsid w:val="52692BE1"/>
    <w:rsid w:val="56334369"/>
    <w:rsid w:val="566B01D5"/>
    <w:rsid w:val="5E3F6934"/>
    <w:rsid w:val="5EFF3A46"/>
    <w:rsid w:val="65034239"/>
    <w:rsid w:val="659C68B9"/>
    <w:rsid w:val="664C3BAD"/>
    <w:rsid w:val="683451E9"/>
    <w:rsid w:val="6924099C"/>
    <w:rsid w:val="6B636BFF"/>
    <w:rsid w:val="6FEC22A7"/>
    <w:rsid w:val="70933B18"/>
    <w:rsid w:val="709D7008"/>
    <w:rsid w:val="744F1781"/>
    <w:rsid w:val="7B296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Indent"/>
    <w:basedOn w:val="1"/>
    <w:unhideWhenUsed/>
    <w:qFormat/>
    <w:uiPriority w:val="99"/>
    <w:pPr>
      <w:spacing w:after="120"/>
      <w:ind w:left="420" w:leftChars="200"/>
    </w:pPr>
    <w:rPr>
      <w:rFonts w:ascii="Calibri" w:hAnsi="Calibri"/>
      <w:szCs w:val="22"/>
    </w:rPr>
  </w:style>
  <w:style w:type="paragraph" w:styleId="4">
    <w:name w:val="Plain Text"/>
    <w:basedOn w:val="1"/>
    <w:qFormat/>
    <w:uiPriority w:val="0"/>
    <w:rPr>
      <w:rFonts w:ascii="宋体" w:hAnsi="Courier New"/>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7">
    <w:name w:val="Body Text First Indent 2"/>
    <w:basedOn w:val="3"/>
    <w:next w:val="1"/>
    <w:unhideWhenUsed/>
    <w:qFormat/>
    <w:uiPriority w:val="99"/>
    <w:pPr>
      <w:spacing w:after="120"/>
      <w:ind w:left="420" w:leftChars="200" w:firstLine="420"/>
    </w:pPr>
  </w:style>
  <w:style w:type="character" w:styleId="10">
    <w:name w:val="page number"/>
    <w:basedOn w:val="9"/>
    <w:qFormat/>
    <w:uiPriority w:val="0"/>
  </w:style>
  <w:style w:type="character" w:styleId="11">
    <w:name w:val="Hyperlink"/>
    <w:semiHidden/>
    <w:qFormat/>
    <w:uiPriority w:val="99"/>
    <w:rPr>
      <w:rFonts w:cs="Times New Roman"/>
      <w:color w:val="1F4F88"/>
      <w:u w:val="none"/>
    </w:rPr>
  </w:style>
  <w:style w:type="character" w:customStyle="1" w:styleId="12">
    <w:name w:val="font21"/>
    <w:basedOn w:val="9"/>
    <w:qFormat/>
    <w:uiPriority w:val="0"/>
    <w:rPr>
      <w:rFonts w:hint="eastAsia" w:ascii="仿宋_GB2312" w:eastAsia="仿宋_GB2312" w:cs="仿宋_GB2312"/>
      <w:color w:val="000000"/>
      <w:sz w:val="24"/>
      <w:szCs w:val="24"/>
      <w:u w:val="none"/>
    </w:rPr>
  </w:style>
  <w:style w:type="character" w:customStyle="1" w:styleId="13">
    <w:name w:val="font11"/>
    <w:basedOn w:val="9"/>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6104</Words>
  <Characters>6791</Characters>
  <Lines>0</Lines>
  <Paragraphs>0</Paragraphs>
  <TotalTime>1121</TotalTime>
  <ScaleCrop>false</ScaleCrop>
  <LinksUpToDate>false</LinksUpToDate>
  <CharactersWithSpaces>7427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2024-04-15T00:49:00Z</dcterms:created>
  <dc:creator>于晓明</dc:creator>
  <cp:lastModifiedBy>王慕华</cp:lastModifiedBy>
  <dcterms:modified xsi:type="dcterms:W3CDTF">2026-03-14T08:21:01Z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B23075DF6A2E4662ABDDCD78A6C2E1FD</vt:lpwstr>
  </property>
  <property fmtid="{D5CDD505-2E9C-101B-9397-08002B2CF9AE}" pid="4" name="KSOTemplateDocerSaveRecord">
    <vt:lpwstr>eyJoZGlkIjoiNTM3NDM4MWE3MzI1NGUzYzMzMzlmN2EwNTFlMjA4ZWMiLCJ1c2VySWQiOiIzNzYwNzYxMzIifQ==</vt:lpwstr>
  </property>
</Properties>
</file>