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中国重汽集团济宁商用车公司焊装螺母焊机安全改进技改项目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招标编号：ZBGL2026030230</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3</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9937"/>
      <w:bookmarkStart w:id="2" w:name="_Toc1750"/>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ZBGL2026030230</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济宁商用车公司焊装螺母焊机安全改进技改项目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44974482"/>
      <w:bookmarkEnd w:id="7"/>
      <w:bookmarkStart w:id="8" w:name="_Toc285809451"/>
      <w:bookmarkEnd w:id="8"/>
      <w:bookmarkStart w:id="9" w:name="_Toc152045514"/>
      <w:bookmarkEnd w:id="9"/>
      <w:bookmarkStart w:id="10" w:name="_Toc179632530"/>
      <w:bookmarkEnd w:id="10"/>
      <w:bookmarkStart w:id="11" w:name="_Toc152042290"/>
      <w:bookmarkEnd w:id="11"/>
      <w:r>
        <w:rPr>
          <w:rFonts w:hint="eastAsia" w:ascii="宋体" w:cs="宋体"/>
          <w:kern w:val="0"/>
          <w:sz w:val="24"/>
          <w:lang w:bidi="en-US"/>
        </w:rPr>
        <w:t>项目名称：</w:t>
      </w:r>
      <w:r>
        <w:rPr>
          <w:rFonts w:hint="eastAsia" w:ascii="宋体" w:cs="宋体"/>
          <w:kern w:val="0"/>
          <w:sz w:val="24"/>
          <w:u w:val="single"/>
          <w:lang w:bidi="en-US"/>
        </w:rPr>
        <w:t>济宁商用车公司焊装螺母焊机安全改进技改项目</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对3台焊机加装辅助上下件装置，机械人抓手，完成安全设施改造</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rPr>
              <w:t>货物名称</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Times New Roman" w:hAnsi="Times New Roman" w:cs="Times New Roman"/>
                <w:color w:val="auto"/>
                <w:sz w:val="22"/>
                <w:szCs w:val="22"/>
                <w:lang w:val="en-US" w:eastAsia="zh-CN"/>
              </w:rPr>
              <w:t>焊机加装辅助上下件装</w:t>
            </w:r>
          </w:p>
        </w:tc>
        <w:tc>
          <w:tcPr>
            <w:tcW w:w="1665" w:type="dxa"/>
            <w:vAlign w:val="center"/>
          </w:tcPr>
          <w:p w14:paraId="5CD02C05">
            <w:pPr>
              <w:jc w:val="center"/>
              <w:rPr>
                <w:rFonts w:hint="default" w:eastAsia="宋体"/>
                <w:sz w:val="22"/>
                <w:szCs w:val="22"/>
                <w:lang w:val="en-US" w:eastAsia="zh-CN"/>
              </w:rPr>
            </w:pPr>
            <w:r>
              <w:rPr>
                <w:rFonts w:hint="eastAsia"/>
                <w:color w:val="auto"/>
                <w:sz w:val="22"/>
                <w:szCs w:val="22"/>
              </w:rPr>
              <w:t>满足我方实际需求</w:t>
            </w:r>
          </w:p>
        </w:tc>
        <w:tc>
          <w:tcPr>
            <w:tcW w:w="1005" w:type="dxa"/>
            <w:vAlign w:val="center"/>
          </w:tcPr>
          <w:p w14:paraId="6C576220">
            <w:pPr>
              <w:jc w:val="center"/>
              <w:rPr>
                <w:rFonts w:hint="eastAsia" w:eastAsia="宋体"/>
                <w:sz w:val="22"/>
                <w:szCs w:val="22"/>
                <w:lang w:eastAsia="zh-CN"/>
              </w:rPr>
            </w:pPr>
            <w:r>
              <w:rPr>
                <w:rFonts w:hint="eastAsia"/>
                <w:color w:val="auto"/>
                <w:sz w:val="22"/>
                <w:szCs w:val="22"/>
                <w:lang w:val="en-US" w:eastAsia="zh-CN"/>
              </w:rPr>
              <w:t>3</w:t>
            </w:r>
            <w:r>
              <w:rPr>
                <w:rFonts w:hint="eastAsia"/>
                <w:color w:val="auto"/>
                <w:sz w:val="22"/>
                <w:szCs w:val="22"/>
              </w:rPr>
              <w:t>套</w:t>
            </w:r>
          </w:p>
        </w:tc>
        <w:tc>
          <w:tcPr>
            <w:tcW w:w="1245" w:type="dxa"/>
            <w:vAlign w:val="center"/>
          </w:tcPr>
          <w:p w14:paraId="17EE0704">
            <w:pPr>
              <w:jc w:val="center"/>
              <w:rPr>
                <w:sz w:val="22"/>
                <w:szCs w:val="22"/>
              </w:rPr>
            </w:pPr>
            <w:r>
              <w:rPr>
                <w:rFonts w:hint="eastAsia"/>
                <w:color w:val="auto"/>
                <w:sz w:val="22"/>
                <w:szCs w:val="22"/>
              </w:rPr>
              <w:t>交钥匙方式</w:t>
            </w:r>
          </w:p>
        </w:tc>
        <w:tc>
          <w:tcPr>
            <w:tcW w:w="2280" w:type="dxa"/>
            <w:vAlign w:val="center"/>
          </w:tcPr>
          <w:p w14:paraId="71AC75E1">
            <w:pPr>
              <w:jc w:val="center"/>
              <w:rPr>
                <w:sz w:val="22"/>
                <w:szCs w:val="22"/>
              </w:rPr>
            </w:pPr>
            <w:r>
              <w:rPr>
                <w:rFonts w:hint="eastAsia"/>
                <w:color w:val="auto"/>
                <w:sz w:val="22"/>
                <w:szCs w:val="22"/>
              </w:rPr>
              <w:t>山东省济宁市诗仙路369号济宁商用车厂区内</w:t>
            </w:r>
          </w:p>
        </w:tc>
        <w:tc>
          <w:tcPr>
            <w:tcW w:w="1393" w:type="dxa"/>
            <w:vAlign w:val="center"/>
          </w:tcPr>
          <w:p w14:paraId="3F50AD84">
            <w:pPr>
              <w:widowControl/>
              <w:jc w:val="center"/>
              <w:rPr>
                <w:rFonts w:hint="default" w:eastAsia="宋体"/>
                <w:sz w:val="22"/>
                <w:szCs w:val="22"/>
                <w:lang w:val="en-US" w:eastAsia="zh-CN"/>
              </w:rPr>
            </w:pPr>
            <w:r>
              <w:rPr>
                <w:rFonts w:hint="eastAsia" w:ascii="Times New Roman" w:hAnsi="Times New Roman" w:cs="Times New Roman"/>
                <w:color w:val="auto"/>
                <w:sz w:val="22"/>
                <w:szCs w:val="22"/>
                <w:lang w:val="en-US" w:eastAsia="zh-CN"/>
              </w:rPr>
              <w:t>焊机加装辅助上下件装</w:t>
            </w:r>
          </w:p>
        </w:tc>
      </w:tr>
      <w:bookmarkEnd w:id="12"/>
    </w:tbl>
    <w:p w14:paraId="14423DA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2</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年），要求包含近一个月银行企业信用报告。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16</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21</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3</w:t>
      </w:r>
      <w:r>
        <w:rPr>
          <w:rFonts w:hint="eastAsia" w:ascii="宋体" w:cs="宋体"/>
          <w:kern w:val="0"/>
          <w:sz w:val="24"/>
          <w:lang w:bidi="en-US"/>
        </w:rPr>
        <w:t>月</w:t>
      </w:r>
      <w:r>
        <w:rPr>
          <w:rFonts w:hint="eastAsia" w:ascii="宋体" w:cs="宋体"/>
          <w:kern w:val="0"/>
          <w:sz w:val="24"/>
          <w:u w:val="single"/>
          <w:lang w:val="en-US" w:eastAsia="zh-CN" w:bidi="en-US"/>
        </w:rPr>
        <w:t>2</w:t>
      </w:r>
      <w:bookmarkStart w:id="232" w:name="_GoBack"/>
      <w:bookmarkEnd w:id="232"/>
      <w:r>
        <w:rPr>
          <w:rFonts w:hint="eastAsia" w:ascii="宋体" w:cs="宋体"/>
          <w:kern w:val="0"/>
          <w:sz w:val="24"/>
          <w:u w:val="single"/>
          <w:lang w:val="en-US" w:eastAsia="zh-CN" w:bidi="en-US"/>
        </w:rPr>
        <w:t>7</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val="en-US" w:eastAsia="zh-CN" w:bidi="en-US"/>
        </w:rPr>
        <w:t>3</w:t>
      </w:r>
      <w:r>
        <w:rPr>
          <w:rFonts w:hint="eastAsia" w:ascii="宋体" w:cs="宋体"/>
          <w:kern w:val="0"/>
          <w:sz w:val="24"/>
          <w:u w:val="single"/>
          <w:lang w:bidi="en-US"/>
        </w:rPr>
        <w:t>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3</w:t>
      </w:r>
      <w:r>
        <w:rPr>
          <w:rFonts w:hint="eastAsia" w:ascii="宋体"/>
          <w:kern w:val="0"/>
          <w:sz w:val="24"/>
          <w:szCs w:val="21"/>
          <w:lang w:bidi="en-US"/>
        </w:rPr>
        <w:t>月</w:t>
      </w:r>
      <w:r>
        <w:rPr>
          <w:rFonts w:hint="eastAsia" w:ascii="宋体"/>
          <w:kern w:val="0"/>
          <w:sz w:val="24"/>
          <w:szCs w:val="21"/>
          <w:u w:val="single"/>
          <w:lang w:val="en-US" w:eastAsia="zh-CN" w:bidi="en-US"/>
        </w:rPr>
        <w:t>14</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2</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2</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02D3DE18">
      <w:pPr>
        <w:autoSpaceDE w:val="0"/>
        <w:autoSpaceDN w:val="0"/>
        <w:rPr>
          <w:sz w:val="30"/>
          <w:szCs w:val="30"/>
        </w:rPr>
      </w:pPr>
      <w:r>
        <w:rPr>
          <w:rFonts w:hint="eastAsia"/>
          <w:sz w:val="30"/>
          <w:szCs w:val="30"/>
        </w:rPr>
        <w:t>附件</w:t>
      </w:r>
      <w:r>
        <w:rPr>
          <w:sz w:val="30"/>
          <w:szCs w:val="30"/>
        </w:rPr>
        <w:t>6</w:t>
      </w:r>
    </w:p>
    <w:p w14:paraId="6EA4E0F7">
      <w:pPr>
        <w:jc w:val="center"/>
        <w:rPr>
          <w:sz w:val="28"/>
          <w:szCs w:val="36"/>
        </w:rPr>
      </w:pPr>
      <w:r>
        <w:rPr>
          <w:sz w:val="28"/>
          <w:szCs w:val="36"/>
        </w:rPr>
        <w:t>非生产供应商注册操作手册</w:t>
      </w:r>
    </w:p>
    <w:p w14:paraId="76E488CA">
      <w:pPr>
        <w:rPr>
          <w:rFonts w:ascii="宋体" w:cs="宋体"/>
          <w:b/>
          <w:bCs/>
          <w:color w:val="000000"/>
        </w:rPr>
      </w:pPr>
      <w:r>
        <w:rPr>
          <w:rFonts w:hint="eastAsia" w:ascii="宋体" w:cs="宋体"/>
          <w:b/>
          <w:bCs/>
          <w:color w:val="000000"/>
        </w:rPr>
        <w:t>归口部门选“技术改造部”</w:t>
      </w:r>
    </w:p>
    <w:p w14:paraId="3775C155">
      <w:r>
        <w:rPr>
          <w:rFonts w:hint="eastAsia" w:ascii="宋体" w:cs="宋体"/>
          <w:color w:val="000000"/>
        </w:rPr>
        <w:t>浏览器中输入地址</w:t>
      </w:r>
      <w:r>
        <w:rPr>
          <w:rFonts w:ascii="Calibri" w:hAnsi="Calibri" w:eastAsia="Calibri" w:cs="Calibri"/>
          <w:color w:val="000000"/>
        </w:rPr>
        <w:t>;</w:t>
      </w:r>
    </w:p>
    <w:p w14:paraId="7E21E221">
      <w:r>
        <w:fldChar w:fldCharType="begin"/>
      </w:r>
      <w:r>
        <w:instrText xml:space="preserve"> HYPERLINK "http://ecaitong.sinotruk.com:8012/" \l "/login normalLink /tdkey d38o9f /tdfe -10 /tdfu http:/ecaitong.sinotruk.com:8012/" </w:instrText>
      </w:r>
      <w:r>
        <w:fldChar w:fldCharType="separate"/>
      </w:r>
      <w:r>
        <w:rPr>
          <w:rStyle w:val="37"/>
          <w:rFonts w:hint="eastAsia"/>
        </w:rPr>
        <w:t>https</w:t>
      </w:r>
      <w:r>
        <w:rPr>
          <w:rStyle w:val="37"/>
        </w:rPr>
        <w:t>://ecaitong.sinotruk.com:8012/#/login</w:t>
      </w:r>
      <w:r>
        <w:rPr>
          <w:rStyle w:val="37"/>
        </w:rPr>
        <w:fldChar w:fldCharType="end"/>
      </w:r>
    </w:p>
    <w:p w14:paraId="7842F157">
      <w:r>
        <w:rPr>
          <w:rFonts w:ascii="Calibri" w:hAnsi="Calibri" w:eastAsia="Calibri" w:cs="Calibri"/>
          <w:color w:val="000000"/>
        </w:rPr>
        <w:t>1.</w:t>
      </w:r>
      <w:r>
        <w:rPr>
          <w:rFonts w:hint="eastAsia" w:ascii="宋体" w:cs="宋体"/>
          <w:color w:val="000000"/>
        </w:rPr>
        <w:t>点击立即注册</w:t>
      </w:r>
    </w:p>
    <w:p w14:paraId="684263D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39013C1C">
      <w:r>
        <w:rPr>
          <w:rFonts w:ascii="Calibri" w:hAnsi="Calibri" w:eastAsia="Calibri" w:cs="Calibri"/>
          <w:color w:val="000000"/>
        </w:rPr>
        <w:t xml:space="preserve">2.     </w:t>
      </w:r>
      <w:r>
        <w:rPr>
          <w:rFonts w:hint="eastAsia" w:ascii="宋体" w:cs="宋体"/>
          <w:color w:val="000000"/>
        </w:rPr>
        <w:t>填写手机号码（没有注册过的）</w:t>
      </w:r>
    </w:p>
    <w:p w14:paraId="0CCC2159">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6EC27A5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5DDF81A8">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19">
                      <a:lum bright="-6000"/>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3CE6AA53">
      <w:r>
        <w:rPr>
          <w:rFonts w:ascii="Calibri" w:hAnsi="Calibri" w:eastAsia="Calibri" w:cs="Calibri"/>
          <w:color w:val="000000"/>
        </w:rPr>
        <w:t xml:space="preserve">4.     </w:t>
      </w:r>
      <w:r>
        <w:rPr>
          <w:rFonts w:hint="eastAsia" w:ascii="宋体" w:cs="宋体"/>
          <w:color w:val="000000"/>
        </w:rPr>
        <w:t>点击新增</w:t>
      </w:r>
    </w:p>
    <w:p w14:paraId="323C7EFD">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7B0E9592">
      <w:r>
        <w:t>5</w:t>
      </w:r>
      <w:r>
        <w:rPr>
          <w:rFonts w:ascii="Calibri" w:hAnsi="Calibri" w:eastAsia="Calibri" w:cs="Calibri"/>
          <w:color w:val="000000"/>
        </w:rPr>
        <w:t xml:space="preserve"> </w:t>
      </w:r>
      <w:r>
        <w:rPr>
          <w:rFonts w:hint="eastAsia" w:ascii="宋体" w:cs="宋体"/>
          <w:color w:val="000000"/>
        </w:rPr>
        <w:t>按要求填写所有信息，注意非生产类要填写合作单位</w:t>
      </w:r>
      <w:r>
        <w:rPr>
          <w:rFonts w:hint="eastAsia" w:ascii="宋体" w:cs="宋体"/>
          <w:color w:val="000000"/>
          <w:lang w:val="en-US" w:eastAsia="zh-CN"/>
        </w:rPr>
        <w:t>为直管单位，品系分组为工艺设备 / 产线建设</w:t>
      </w:r>
      <w:r>
        <w:rPr>
          <w:rFonts w:hint="eastAsia" w:ascii="宋体" w:cs="宋体"/>
          <w:color w:val="000000"/>
        </w:rPr>
        <w:t>，最后提交审批</w:t>
      </w:r>
    </w:p>
    <w:p w14:paraId="11DB0314">
      <w:pPr>
        <w:rPr>
          <w:rFonts w:ascii="宋体" w:cs="宋体"/>
          <w:color w:val="000000"/>
        </w:rPr>
      </w:pPr>
    </w:p>
    <w:p w14:paraId="088F69A4">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0147B4BC">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686C9E49">
      <w:pPr>
        <w:pStyle w:val="2"/>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6698122"/>
      <w:bookmarkStart w:id="16" w:name="_Toc32482"/>
      <w:bookmarkStart w:id="17" w:name="_Toc14341836"/>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济宁商用车公司焊装螺母焊机安全改进技改项目</w:t>
            </w:r>
          </w:p>
          <w:p w14:paraId="6891734C">
            <w:pPr>
              <w:spacing w:line="312" w:lineRule="auto"/>
              <w:rPr>
                <w:rFonts w:hint="default"/>
                <w:bCs/>
                <w:sz w:val="24"/>
                <w:lang w:val="en-US"/>
              </w:rPr>
            </w:pPr>
            <w:r>
              <w:rPr>
                <w:b/>
                <w:sz w:val="24"/>
              </w:rPr>
              <w:t>1.2项目编号：</w:t>
            </w:r>
            <w:r>
              <w:rPr>
                <w:rFonts w:hint="eastAsia" w:ascii="宋体" w:cs="宋体"/>
                <w:b w:val="0"/>
                <w:bCs/>
                <w:kern w:val="0"/>
                <w:sz w:val="24"/>
                <w:szCs w:val="24"/>
                <w:lang w:val="en-US" w:eastAsia="zh-CN" w:bidi="en-US"/>
              </w:rPr>
              <w:t xml:space="preserve"> ZBGL2026030230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30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543C7BE4">
            <w:pPr>
              <w:spacing w:line="360" w:lineRule="auto"/>
              <w:ind w:firstLine="453" w:firstLineChars="189"/>
              <w:rPr>
                <w:rFonts w:hint="eastAsia" w:ascii="宋体" w:hAnsi="宋体" w:cs="宋体"/>
                <w:sz w:val="24"/>
              </w:rPr>
            </w:pPr>
            <w:r>
              <w:rPr>
                <w:rFonts w:hint="eastAsia" w:ascii="宋体" w:hAnsi="宋体" w:cs="宋体"/>
                <w:sz w:val="24"/>
              </w:rPr>
              <w:t>合同生效、设备全部到齐无质量问题后，卖方提交金额为合同含税价款</w:t>
            </w:r>
            <w:r>
              <w:rPr>
                <w:rFonts w:hint="eastAsia" w:ascii="宋体" w:hAnsi="宋体" w:cs="宋体"/>
                <w:sz w:val="24"/>
                <w:u w:val="single"/>
              </w:rPr>
              <w:t>30%</w:t>
            </w:r>
            <w:r>
              <w:rPr>
                <w:rFonts w:hint="eastAsia" w:ascii="宋体" w:hAnsi="宋体" w:cs="宋体"/>
                <w:sz w:val="24"/>
              </w:rPr>
              <w:t>的收据及合同全额</w:t>
            </w:r>
            <w:r>
              <w:rPr>
                <w:rFonts w:hint="eastAsia" w:ascii="宋体" w:hAnsi="宋体" w:cs="宋体"/>
                <w:sz w:val="24"/>
                <w:u w:val="single"/>
              </w:rPr>
              <w:t>30%</w:t>
            </w:r>
            <w:r>
              <w:rPr>
                <w:rFonts w:hint="eastAsia" w:ascii="宋体" w:hAnsi="宋体" w:cs="宋体"/>
                <w:sz w:val="24"/>
              </w:rPr>
              <w:t>增值税专用发票(税率为13%，正本一份，复印件二份)，经买方依照财务制度审核无误后支付。</w:t>
            </w:r>
          </w:p>
          <w:p w14:paraId="2F69AD99">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60 </w:t>
            </w:r>
            <w:r>
              <w:rPr>
                <w:rFonts w:hint="eastAsia" w:ascii="宋体" w:hAnsi="宋体" w:cs="宋体"/>
                <w:sz w:val="24"/>
              </w:rPr>
              <w:t>%的收据及合同全额</w:t>
            </w:r>
            <w:r>
              <w:rPr>
                <w:rFonts w:hint="eastAsia" w:ascii="宋体" w:hAnsi="宋体" w:cs="宋体"/>
                <w:sz w:val="24"/>
                <w:u w:val="single"/>
              </w:rPr>
              <w:t>70 %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7E4843E8">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rPr>
              <w:t>10%</w:t>
            </w:r>
            <w:r>
              <w:rPr>
                <w:rFonts w:hint="eastAsia" w:ascii="宋体" w:hAnsi="宋体" w:cs="宋体"/>
                <w:sz w:val="24"/>
              </w:rPr>
              <w:t>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24</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3</w:t>
            </w:r>
            <w:r>
              <w:rPr>
                <w:rFonts w:hint="eastAsia" w:ascii="宋体" w:cs="宋体"/>
                <w:sz w:val="24"/>
                <w:highlight w:val="none"/>
              </w:rPr>
              <w:t>月</w:t>
            </w:r>
            <w:r>
              <w:rPr>
                <w:rFonts w:hint="eastAsia" w:ascii="宋体" w:cs="宋体"/>
                <w:sz w:val="24"/>
                <w:highlight w:val="none"/>
                <w:u w:val="single"/>
                <w:lang w:val="en-US" w:eastAsia="zh-CN"/>
              </w:rPr>
              <w:t>24</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25</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27</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27</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3</w:t>
            </w:r>
            <w:r>
              <w:rPr>
                <w:rFonts w:hint="eastAsia" w:ascii="宋体" w:cs="宋体"/>
                <w:b/>
                <w:bCs/>
                <w:sz w:val="24"/>
                <w:u w:val="single"/>
              </w:rPr>
              <w:t>月</w:t>
            </w:r>
            <w:r>
              <w:rPr>
                <w:rFonts w:hint="eastAsia" w:ascii="宋体" w:cs="宋体"/>
                <w:b/>
                <w:bCs/>
                <w:sz w:val="24"/>
                <w:u w:val="single"/>
                <w:lang w:val="en-US" w:eastAsia="zh-CN"/>
              </w:rPr>
              <w:t>26</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0D1EAA48">
            <w:pPr>
              <w:spacing w:line="312" w:lineRule="auto"/>
              <w:rPr>
                <w:rFonts w:hint="eastAsia" w:ascii="宋体" w:cs="宋体"/>
                <w:kern w:val="0"/>
                <w:sz w:val="24"/>
                <w:highlight w:val="none"/>
              </w:rPr>
            </w:pPr>
            <w:r>
              <w:rPr>
                <w:rFonts w:hint="eastAsia" w:ascii="宋体" w:cs="宋体"/>
                <w:kern w:val="0"/>
                <w:sz w:val="24"/>
                <w:highlight w:val="none"/>
                <w:lang w:val="en-US" w:eastAsia="zh-CN"/>
              </w:rPr>
              <w:t>技术</w:t>
            </w:r>
            <w:r>
              <w:rPr>
                <w:rFonts w:hint="eastAsia" w:ascii="宋体" w:cs="宋体"/>
                <w:kern w:val="0"/>
                <w:sz w:val="24"/>
                <w:highlight w:val="none"/>
              </w:rPr>
              <w:t>联系人：李桂雨</w:t>
            </w:r>
          </w:p>
          <w:p w14:paraId="47F3E660">
            <w:pPr>
              <w:spacing w:line="312" w:lineRule="auto"/>
              <w:rPr>
                <w:rFonts w:hint="eastAsia" w:ascii="宋体" w:cs="宋体"/>
                <w:kern w:val="0"/>
                <w:sz w:val="24"/>
                <w:highlight w:val="none"/>
              </w:rPr>
            </w:pPr>
            <w:r>
              <w:rPr>
                <w:rFonts w:hint="eastAsia" w:ascii="宋体" w:hAnsi="Times New Roman" w:cs="宋体"/>
                <w:kern w:val="0"/>
                <w:sz w:val="24"/>
                <w:highlight w:val="none"/>
              </w:rPr>
              <w:t>联系方式</w:t>
            </w:r>
            <w:r>
              <w:rPr>
                <w:rFonts w:hint="eastAsia" w:ascii="宋体" w:cs="宋体"/>
                <w:kern w:val="0"/>
                <w:sz w:val="24"/>
                <w:highlight w:val="none"/>
              </w:rPr>
              <w:t>：17861501397</w:t>
            </w:r>
          </w:p>
          <w:p w14:paraId="00359B79">
            <w:pPr>
              <w:spacing w:line="312" w:lineRule="auto"/>
              <w:rPr>
                <w:rFonts w:ascii="宋体" w:cs="宋体"/>
                <w:sz w:val="24"/>
              </w:rPr>
            </w:pPr>
            <w:r>
              <w:rPr>
                <w:rFonts w:hint="eastAsia" w:ascii="宋体" w:cs="宋体"/>
                <w:kern w:val="0"/>
                <w:sz w:val="24"/>
                <w:highlight w:val="none"/>
              </w:rPr>
              <w:t>电子邮件：2293260009@qq.com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345336300"/>
      <w:bookmarkStart w:id="20" w:name="_Toc11624"/>
      <w:bookmarkStart w:id="21" w:name="_Toc22025"/>
      <w:bookmarkStart w:id="22" w:name="_Toc31044"/>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06733"/>
      <w:bookmarkStart w:id="28" w:name="_Toc352332854"/>
      <w:bookmarkStart w:id="29" w:name="_Toc346372880"/>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27707"/>
      <w:bookmarkStart w:id="32" w:name="_Toc146698124"/>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06A5BB24">
      <w:pPr>
        <w:spacing w:line="360" w:lineRule="auto"/>
        <w:ind w:firstLine="480" w:firstLineChars="200"/>
        <w:rPr>
          <w:rFonts w:hint="eastAsia"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21963"/>
      <w:bookmarkStart w:id="35" w:name="_Toc146698125"/>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5"/>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60B2AD51">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6"/>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7"/>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8"/>
        </w:numPr>
        <w:spacing w:line="360" w:lineRule="auto"/>
        <w:ind w:left="0" w:firstLine="480"/>
        <w:rPr>
          <w:rStyle w:val="42"/>
        </w:rPr>
      </w:pPr>
      <w:r>
        <w:rPr>
          <w:rStyle w:val="42"/>
          <w:rFonts w:hint="eastAsia" w:ascii="宋体"/>
          <w:sz w:val="24"/>
        </w:rPr>
        <w:t>投标人在递交投标文件的同时，应按投标人须知前附表第1</w:t>
      </w:r>
      <w:r>
        <w:rPr>
          <w:rStyle w:val="42"/>
          <w:rFonts w:ascii="宋体"/>
          <w:sz w:val="24"/>
        </w:rPr>
        <w:t>0</w:t>
      </w:r>
      <w:r>
        <w:rPr>
          <w:rStyle w:val="42"/>
          <w:rFonts w:hint="eastAsia" w:ascii="宋体"/>
          <w:sz w:val="24"/>
        </w:rPr>
        <w:t>项规定的金额和形式递交投标保证金，并作为其投标文件的组成部分。未按本招标文件规定提交投标保证金的，按无效投标处理。</w:t>
      </w:r>
    </w:p>
    <w:p w14:paraId="5473A2BB">
      <w:pPr>
        <w:pStyle w:val="43"/>
        <w:numPr>
          <w:ilvl w:val="0"/>
          <w:numId w:val="8"/>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8"/>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9"/>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9"/>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9"/>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9"/>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9"/>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9"/>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9"/>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9"/>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9"/>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9"/>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9"/>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4014"/>
      <w:bookmarkStart w:id="38" w:name="_Toc20367"/>
      <w:bookmarkStart w:id="39" w:name="_Toc146698126"/>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52332871"/>
      <w:bookmarkStart w:id="41" w:name="_Toc346306750"/>
      <w:bookmarkStart w:id="42" w:name="_Toc346372897"/>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26273D68">
      <w:pPr>
        <w:pStyle w:val="3"/>
        <w:spacing w:before="156"/>
      </w:pPr>
      <w:bookmarkStart w:id="43" w:name="_Toc1085"/>
      <w:bookmarkStart w:id="44" w:name="_Toc146698127"/>
      <w:bookmarkStart w:id="45" w:name="_Toc6510"/>
      <w:bookmarkStart w:id="46" w:name="_Toc21105"/>
      <w:bookmarkStart w:id="47" w:name="_Toc22902"/>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0"/>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0"/>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0"/>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0"/>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0"/>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0"/>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0"/>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0"/>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0"/>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0"/>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46698128"/>
      <w:bookmarkStart w:id="54" w:name="_Toc1810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6698130"/>
      <w:bookmarkStart w:id="60" w:name="_Toc14341844"/>
      <w:bookmarkStart w:id="61" w:name="_Toc29377"/>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1"/>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560C918">
      <w:pPr>
        <w:widowControl/>
        <w:jc w:val="left"/>
        <w:rPr>
          <w:rFonts w:hint="eastAsia" w:ascii="宋体" w:hAnsi="宋体"/>
          <w:b/>
          <w:bCs/>
          <w:sz w:val="24"/>
        </w:rPr>
      </w:pPr>
      <w:r>
        <w:rPr>
          <w:rFonts w:hint="eastAsia" w:ascii="宋体" w:hAnsi="宋体"/>
          <w:b/>
          <w:bCs/>
          <w:sz w:val="24"/>
        </w:rPr>
        <w:br w:type="page"/>
      </w:r>
    </w:p>
    <w:p w14:paraId="05D43895">
      <w:pPr>
        <w:spacing w:line="360" w:lineRule="auto"/>
        <w:ind w:firstLine="482" w:firstLineChars="200"/>
        <w:rPr>
          <w:rFonts w:hint="eastAsia" w:ascii="宋体" w:hAnsi="宋体"/>
          <w:b/>
          <w:bCs/>
          <w:sz w:val="24"/>
        </w:rPr>
      </w:pPr>
    </w:p>
    <w:bookmarkEnd w:id="25"/>
    <w:bookmarkEnd w:id="36"/>
    <w:p w14:paraId="3B492DD1">
      <w:pPr>
        <w:pStyle w:val="2"/>
        <w:rPr>
          <w:rFonts w:hint="eastAsia" w:ascii="宋体" w:hAnsi="宋体"/>
          <w:sz w:val="24"/>
        </w:rPr>
      </w:pPr>
      <w:r>
        <w:rPr>
          <w:rStyle w:val="46"/>
          <w:rFonts w:hint="eastAsia"/>
          <w:b/>
          <w:bCs/>
        </w:rPr>
        <w:t>第四章 技术标准及要求</w:t>
      </w:r>
    </w:p>
    <w:p w14:paraId="56084338">
      <w:pPr>
        <w:spacing w:line="480" w:lineRule="exact"/>
        <w:rPr>
          <w:rFonts w:hint="eastAsia" w:ascii="宋体" w:hAnsi="宋体" w:eastAsia="宋体" w:cs="宋体"/>
          <w:b/>
          <w:bCs/>
          <w:sz w:val="24"/>
          <w:szCs w:val="24"/>
        </w:rPr>
      </w:pPr>
      <w:bookmarkStart w:id="65" w:name="_Toc169605877"/>
      <w:r>
        <w:rPr>
          <w:rFonts w:hint="eastAsia" w:ascii="宋体" w:hAnsi="宋体" w:eastAsia="宋体" w:cs="宋体"/>
          <w:b/>
          <w:bCs/>
          <w:sz w:val="24"/>
          <w:szCs w:val="24"/>
        </w:rPr>
        <w:t>一、基本要求</w:t>
      </w:r>
    </w:p>
    <w:p w14:paraId="1607A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1、投标方所供的设备，必须符合中国最新版的法律、法规和相关标准、规范的要求，符合项目所在地政府有关特殊要求。</w:t>
      </w:r>
    </w:p>
    <w:p w14:paraId="3ECFFCC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2、投标方所供设备涉及的专利权技术以及知识产权保护的其它技术等，应保证招标方不因此受到任何侵权指控以及实际损失。</w:t>
      </w:r>
    </w:p>
    <w:p w14:paraId="4C20DBE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3、投标方应保证所供设备的先进性、可靠性、经济性和实用性，并为全新设备。</w:t>
      </w:r>
    </w:p>
    <w:p w14:paraId="23A0C13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4、投标方应满足招标方提出的各项技术要求，必要时应当免费提供技术承诺或担保。</w:t>
      </w:r>
    </w:p>
    <w:p w14:paraId="69218A2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5、投标方应保证所供设备为中国公布的非淘汰设备，并为中国指定或规定的主管部门认可的环保型和节能型设备。</w:t>
      </w:r>
    </w:p>
    <w:p w14:paraId="46BE3AA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6、投标方应保证所供设备的完整性和成套性，能保证设备的正常运行、使用。</w:t>
      </w:r>
    </w:p>
    <w:p w14:paraId="0ADD313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7、投标方应对招标方采购的设备所涉及的技术、产能等信息负有保密义务，招标方拥有追究投标方泄密责任的权利；招标方如有需要，投标方应无条件签署保密协议。</w:t>
      </w:r>
    </w:p>
    <w:p w14:paraId="62B62AA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8、投标方积极协助和提供招标方和招标方所委托的工程设计单位有关人员与标的物有关的工程设计资料；</w:t>
      </w:r>
    </w:p>
    <w:p w14:paraId="018F256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6B9BC1D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10、本技术要求所使用的标准、规范等，如与投标方所执行的标准、规范不一致时，应按高于本技术要求所列的标准、规范执行，并在投标文件“技术偏离”中予以说明。</w:t>
      </w:r>
    </w:p>
    <w:p w14:paraId="5168C0A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投标方可以根据自身经验以及对招标文件的理解，写明买方招标设备（或材料）应进行的优于招标文件要求的其它方案或建议意见；即使有建议意见或建议方案，仍应依据招标文件要求，编写符合要求的投标文件。建议方案或建议意见，应以单独篇章或文件，予以说明。</w:t>
      </w:r>
    </w:p>
    <w:p w14:paraId="3AB4BB96">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投标时提供的内容必须进行详细说明。在投标时提供设备主要部件、外购件明细表、易损件备品备件清单和相应特殊维修工具明细等，要考虑这些部件在中国使用的可行性。并提供关键部件的质保周期和响应时间清单。</w:t>
      </w:r>
    </w:p>
    <w:p w14:paraId="428D444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13、在本标书中没有提及到的部分，所有供应商必须保证设备各部分功能齐全并便于使用，这部分价格应该包含在报价中，而不得另行加价。</w:t>
      </w:r>
    </w:p>
    <w:p w14:paraId="408243DF">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二、执行标准</w:t>
      </w:r>
    </w:p>
    <w:p w14:paraId="60728C3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1、工厂安全 </w:t>
      </w:r>
    </w:p>
    <w:p w14:paraId="257906E6">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1.1在招标人现场工作期间，投标人应遵守招标人的相关规定。 </w:t>
      </w:r>
    </w:p>
    <w:p w14:paraId="2F0A69E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1.2投标人人员现场工作时须办理出入证。 </w:t>
      </w:r>
    </w:p>
    <w:p w14:paraId="3D8D1C7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1.3投标人人员在招标人现场施工期间应佩戴安全帽并禁烟。 </w:t>
      </w:r>
    </w:p>
    <w:p w14:paraId="698A6D8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1.4施工期间及设备移交生产前，必须对施工现场进行清理，待招标人确认完毕后方可退场。 </w:t>
      </w:r>
    </w:p>
    <w:p w14:paraId="7E99B66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2、包装、发运 </w:t>
      </w:r>
    </w:p>
    <w:p w14:paraId="69F6804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2.1包装上应用中文标出到货地址、发货地址、货物名称、数量、重量等其他标记。 </w:t>
      </w:r>
    </w:p>
    <w:p w14:paraId="30A30F5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2.2装箱单与装箱物品（含已安装物品）应保持一致。 </w:t>
      </w:r>
    </w:p>
    <w:p w14:paraId="7A911CC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2.3设备包装应适合于陆地运输、长途运输、整体吊装和叉运，并防潮、防雨、防锈、防震、防粗暴装卸，确保设备安全和完整。 </w:t>
      </w:r>
    </w:p>
    <w:p w14:paraId="2C09EEC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2.4所有海运物资必须采用真空包装，包装用材料必须符合国家相关规定。</w:t>
      </w:r>
    </w:p>
    <w:p w14:paraId="14197B0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2.5投标人应承担设备的运输保险等费用，并跟踪设备运输。投标人应及时交付设备，确保设备无损坏。 </w:t>
      </w:r>
    </w:p>
    <w:p w14:paraId="3092246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2.6特别指出，招标人可能根据项目实际情况要求投标人分批正确包装运输。招标人不会为此支付任何额外费用。 </w:t>
      </w:r>
    </w:p>
    <w:p w14:paraId="718C0B6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2.7针对进口设备要有报关单的复印件。</w:t>
      </w:r>
    </w:p>
    <w:p w14:paraId="249DD21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3、施工设计要求</w:t>
      </w:r>
    </w:p>
    <w:p w14:paraId="5591C9B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3.1按工程进度要求保质、保量、保进度一次调试完成，为交钥匙工程。</w:t>
      </w:r>
    </w:p>
    <w:p w14:paraId="54F574D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3.2焊接机器人、焊装夹具等设备需满足焊装线的精度要求和节拍要求。</w:t>
      </w:r>
    </w:p>
    <w:p w14:paraId="3FA9C61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4、法律法规 </w:t>
      </w:r>
    </w:p>
    <w:p w14:paraId="6F20D96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投标人设计、加工、装配、运输及在招标人现场的安装调试工作应符合中华人民共和国的行业法规及招标人的相关安全、环保等规章制度的规定： </w:t>
      </w:r>
    </w:p>
    <w:p w14:paraId="5A4088E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4.1安全、环保标准依照相关的中国国家法律、标准。 </w:t>
      </w:r>
    </w:p>
    <w:p w14:paraId="78D1BD8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4.2设计标准依照相关的中国国家标准。 </w:t>
      </w:r>
    </w:p>
    <w:p w14:paraId="2161685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4.3制造标准依相关的中国国家标准。 </w:t>
      </w:r>
    </w:p>
    <w:p w14:paraId="30ECD2B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4.4质量标准依照相关的中国国家标准。 </w:t>
      </w:r>
    </w:p>
    <w:p w14:paraId="085C425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5、预先申明 </w:t>
      </w:r>
    </w:p>
    <w:p w14:paraId="5669121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5.1此项目投标人中标后，投标人不得再向招标人提出增加任何费用。 </w:t>
      </w:r>
    </w:p>
    <w:p w14:paraId="17E7CF1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5.2招标人在项目运行过程中进行的审查会签验收在任何情况下均不能成为投标人推卸对本项目负全责的理由。 </w:t>
      </w:r>
    </w:p>
    <w:p w14:paraId="32FFFA1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5.3投标人有责任在项目实施过程中对其正确性、适合性提出修改和完善的意见及建议，应征得招标人书面同意。 </w:t>
      </w:r>
    </w:p>
    <w:p w14:paraId="212B588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5.4投标人如对本技术要求作出更改，应书面通知招标人并征得招标人书面同意。</w:t>
      </w:r>
    </w:p>
    <w:p w14:paraId="16EFB751">
      <w:pPr>
        <w:pStyle w:val="43"/>
        <w:tabs>
          <w:tab w:val="left" w:pos="1164"/>
          <w:tab w:val="left" w:pos="1165"/>
        </w:tabs>
        <w:spacing w:line="360" w:lineRule="auto"/>
        <w:ind w:firstLine="0" w:firstLineChars="0"/>
        <w:jc w:val="left"/>
        <w:rPr>
          <w:rFonts w:hint="eastAsia" w:ascii="宋体" w:hAnsi="宋体" w:eastAsia="宋体" w:cs="宋体"/>
          <w:b/>
          <w:bCs/>
          <w:spacing w:val="-3"/>
          <w:sz w:val="24"/>
          <w:szCs w:val="24"/>
        </w:rPr>
      </w:pPr>
      <w:r>
        <w:rPr>
          <w:rFonts w:hint="eastAsia" w:ascii="宋体" w:hAnsi="宋体" w:eastAsia="宋体" w:cs="宋体"/>
          <w:b/>
          <w:bCs/>
          <w:sz w:val="24"/>
          <w:szCs w:val="24"/>
        </w:rPr>
        <w:t>三、项目技术要求</w:t>
      </w:r>
      <w:r>
        <w:rPr>
          <w:rFonts w:hint="eastAsia" w:ascii="宋体" w:hAnsi="宋体" w:eastAsia="宋体" w:cs="宋体"/>
          <w:b/>
          <w:bCs/>
          <w:sz w:val="24"/>
          <w:szCs w:val="24"/>
          <w:u w:val="single"/>
          <w:lang w:eastAsia="zh-CN"/>
        </w:rPr>
        <w:t>（</w:t>
      </w:r>
      <w:r>
        <w:rPr>
          <w:rFonts w:hint="eastAsia" w:ascii="宋体" w:hAnsi="宋体" w:eastAsia="宋体" w:cs="宋体"/>
          <w:b/>
          <w:bCs/>
          <w:sz w:val="24"/>
          <w:szCs w:val="24"/>
          <w:u w:val="single"/>
          <w:lang w:val="en-US" w:eastAsia="zh-CN"/>
        </w:rPr>
        <w:t>以下参数为项目基本需求，仅供参考，以现场勘察结果及招标方实际使用条件为准</w:t>
      </w:r>
      <w:r>
        <w:rPr>
          <w:rFonts w:hint="eastAsia" w:ascii="宋体" w:hAnsi="宋体" w:eastAsia="宋体" w:cs="宋体"/>
          <w:b/>
          <w:bCs/>
          <w:sz w:val="24"/>
          <w:szCs w:val="24"/>
          <w:u w:val="single"/>
          <w:lang w:eastAsia="zh-CN"/>
        </w:rPr>
        <w:t>）</w:t>
      </w:r>
    </w:p>
    <w:p w14:paraId="05585F78">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1、项目综述</w:t>
      </w:r>
    </w:p>
    <w:p w14:paraId="2A53252F">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本项目为“交钥匙”工程，投标方需按照招标方提供的数模，在满足技术要求的基础上，提供高精度、高质量的工装</w:t>
      </w:r>
      <w:r>
        <w:rPr>
          <w:rFonts w:hint="eastAsia" w:ascii="宋体" w:hAnsi="宋体" w:cs="宋体"/>
          <w:sz w:val="24"/>
          <w:szCs w:val="24"/>
          <w:highlight w:val="none"/>
          <w:lang w:val="en-US" w:eastAsia="zh-CN"/>
        </w:rPr>
        <w:t>及设备</w:t>
      </w:r>
      <w:r>
        <w:rPr>
          <w:rFonts w:hint="eastAsia" w:ascii="宋体" w:hAnsi="宋体" w:eastAsia="宋体" w:cs="宋体"/>
          <w:sz w:val="24"/>
          <w:szCs w:val="24"/>
          <w:highlight w:val="none"/>
        </w:rPr>
        <w:t>。</w:t>
      </w:r>
    </w:p>
    <w:p w14:paraId="52C64474">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1.1项目名称：济宁商用车公司焊装螺母焊机安全改进项目</w:t>
      </w:r>
    </w:p>
    <w:p w14:paraId="1B3D01D1">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1.2目的地：中国重汽济宁商用车有限公司车身焊装车间</w:t>
      </w:r>
    </w:p>
    <w:p w14:paraId="0E7B6314">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1.3项目完成时间：合同签订</w:t>
      </w:r>
      <w:r>
        <w:rPr>
          <w:rFonts w:hint="eastAsia" w:ascii="宋体" w:hAnsi="宋体" w:cs="宋体"/>
          <w:sz w:val="24"/>
          <w:szCs w:val="24"/>
          <w:highlight w:val="none"/>
          <w:lang w:val="en-US" w:eastAsia="zh-CN"/>
        </w:rPr>
        <w:t>1</w:t>
      </w:r>
      <w:r>
        <w:rPr>
          <w:rFonts w:hint="eastAsia" w:ascii="宋体" w:hAnsi="宋体" w:eastAsia="宋体" w:cs="宋体"/>
          <w:sz w:val="24"/>
          <w:szCs w:val="24"/>
          <w:highlight w:val="none"/>
        </w:rPr>
        <w:t>个月内</w:t>
      </w:r>
    </w:p>
    <w:p w14:paraId="2E94B9ED">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1.4生产纲领和节拍要求： </w:t>
      </w:r>
      <w:r>
        <w:rPr>
          <w:rFonts w:hint="eastAsia" w:ascii="宋体" w:hAnsi="宋体" w:cs="宋体"/>
          <w:sz w:val="24"/>
          <w:szCs w:val="24"/>
          <w:highlight w:val="none"/>
          <w:lang w:val="en-US" w:eastAsia="zh-CN"/>
        </w:rPr>
        <w:t>无</w:t>
      </w:r>
      <w:r>
        <w:rPr>
          <w:rFonts w:hint="eastAsia" w:ascii="宋体" w:hAnsi="宋体" w:eastAsia="宋体" w:cs="宋体"/>
          <w:sz w:val="24"/>
          <w:szCs w:val="24"/>
          <w:highlight w:val="none"/>
        </w:rPr>
        <w:t>。</w:t>
      </w:r>
    </w:p>
    <w:p w14:paraId="1AAD93C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1.5车间环境</w:t>
      </w:r>
    </w:p>
    <w:p w14:paraId="100A717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（1）室外温度：            -20℃～40℃</w:t>
      </w:r>
    </w:p>
    <w:p w14:paraId="7BAEA81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（2）室内温度：            -5℃～45℃</w:t>
      </w:r>
    </w:p>
    <w:p w14:paraId="76740C8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（3）环境相对湿度：        在20℃时最大相对湿度为90％</w:t>
      </w:r>
    </w:p>
    <w:p w14:paraId="5D1115C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（4）使用环境：            室内使用</w:t>
      </w:r>
    </w:p>
    <w:p w14:paraId="737CFD1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（5）压缩空气压力：        0.4～0.7Mpa</w:t>
      </w:r>
    </w:p>
    <w:p w14:paraId="1D06ED2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（6）冷却水温度：          &lt;30℃</w:t>
      </w:r>
    </w:p>
    <w:p w14:paraId="2DC4737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（7）电源电压：            380V±15%，50Hz±2%</w:t>
      </w:r>
    </w:p>
    <w:p w14:paraId="648F74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220V±10%，50Hz±2%</w:t>
      </w:r>
    </w:p>
    <w:p w14:paraId="5816D5C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cs="宋体"/>
          <w:sz w:val="24"/>
          <w:szCs w:val="24"/>
          <w:lang w:val="en-US" w:eastAsia="zh-CN"/>
        </w:rPr>
        <w:t>6</w:t>
      </w:r>
      <w:r>
        <w:rPr>
          <w:rFonts w:hint="eastAsia" w:ascii="宋体" w:hAnsi="宋体" w:eastAsia="宋体" w:cs="宋体"/>
          <w:sz w:val="24"/>
          <w:szCs w:val="24"/>
        </w:rPr>
        <w:t>设计依据：三维数模</w:t>
      </w:r>
    </w:p>
    <w:p w14:paraId="7F153A5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cs="宋体"/>
          <w:sz w:val="24"/>
          <w:szCs w:val="24"/>
          <w:lang w:val="en-US" w:eastAsia="zh-CN"/>
        </w:rPr>
        <w:t>7</w:t>
      </w:r>
      <w:r>
        <w:rPr>
          <w:rFonts w:hint="eastAsia" w:ascii="宋体" w:hAnsi="宋体" w:eastAsia="宋体" w:cs="宋体"/>
          <w:sz w:val="24"/>
          <w:szCs w:val="24"/>
        </w:rPr>
        <w:t>检测方式 :三坐标检测</w:t>
      </w:r>
    </w:p>
    <w:p w14:paraId="6C6C1B2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2、项目内容与技术要求</w:t>
      </w:r>
    </w:p>
    <w:p w14:paraId="0A59C73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2.1项目内容</w:t>
      </w:r>
    </w:p>
    <w:tbl>
      <w:tblPr>
        <w:tblStyle w:val="31"/>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8"/>
        <w:gridCol w:w="1833"/>
        <w:gridCol w:w="2512"/>
        <w:gridCol w:w="950"/>
        <w:gridCol w:w="800"/>
        <w:gridCol w:w="1113"/>
        <w:gridCol w:w="1000"/>
      </w:tblGrid>
      <w:tr w14:paraId="2C9F1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718" w:type="dxa"/>
            <w:tcBorders>
              <w:top w:val="single" w:color="auto" w:sz="4" w:space="0"/>
              <w:left w:val="single" w:color="auto" w:sz="4" w:space="0"/>
              <w:bottom w:val="single" w:color="auto" w:sz="4" w:space="0"/>
              <w:right w:val="single" w:color="auto" w:sz="4" w:space="0"/>
            </w:tcBorders>
            <w:vAlign w:val="center"/>
          </w:tcPr>
          <w:p w14:paraId="313B3C34">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序号</w:t>
            </w:r>
          </w:p>
        </w:tc>
        <w:tc>
          <w:tcPr>
            <w:tcW w:w="1833" w:type="dxa"/>
            <w:tcBorders>
              <w:top w:val="single" w:color="auto" w:sz="4" w:space="0"/>
              <w:left w:val="nil"/>
              <w:bottom w:val="single" w:color="auto" w:sz="4" w:space="0"/>
              <w:right w:val="single" w:color="auto" w:sz="4" w:space="0"/>
            </w:tcBorders>
            <w:vAlign w:val="center"/>
          </w:tcPr>
          <w:p w14:paraId="48816078">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内容</w:t>
            </w:r>
          </w:p>
        </w:tc>
        <w:tc>
          <w:tcPr>
            <w:tcW w:w="2512" w:type="dxa"/>
            <w:tcBorders>
              <w:top w:val="single" w:color="auto" w:sz="4" w:space="0"/>
              <w:left w:val="nil"/>
              <w:bottom w:val="single" w:color="auto" w:sz="4" w:space="0"/>
              <w:right w:val="single" w:color="auto" w:sz="4" w:space="0"/>
            </w:tcBorders>
            <w:vAlign w:val="center"/>
          </w:tcPr>
          <w:p w14:paraId="265EC3AC">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明细</w:t>
            </w:r>
          </w:p>
        </w:tc>
        <w:tc>
          <w:tcPr>
            <w:tcW w:w="950" w:type="dxa"/>
            <w:tcBorders>
              <w:top w:val="single" w:color="auto" w:sz="4" w:space="0"/>
              <w:left w:val="nil"/>
              <w:bottom w:val="single" w:color="auto" w:sz="4" w:space="0"/>
              <w:right w:val="single" w:color="auto" w:sz="4" w:space="0"/>
            </w:tcBorders>
            <w:vAlign w:val="center"/>
          </w:tcPr>
          <w:p w14:paraId="1C855C6D">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数量（套）</w:t>
            </w:r>
          </w:p>
        </w:tc>
        <w:tc>
          <w:tcPr>
            <w:tcW w:w="800" w:type="dxa"/>
            <w:tcBorders>
              <w:top w:val="single" w:color="auto" w:sz="4" w:space="0"/>
              <w:left w:val="nil"/>
              <w:bottom w:val="single" w:color="auto" w:sz="4" w:space="0"/>
              <w:right w:val="single" w:color="auto" w:sz="4" w:space="0"/>
            </w:tcBorders>
            <w:vAlign w:val="center"/>
          </w:tcPr>
          <w:p w14:paraId="43378B41">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交货方式</w:t>
            </w:r>
          </w:p>
        </w:tc>
        <w:tc>
          <w:tcPr>
            <w:tcW w:w="1113" w:type="dxa"/>
            <w:tcBorders>
              <w:top w:val="single" w:color="auto" w:sz="4" w:space="0"/>
              <w:left w:val="nil"/>
              <w:bottom w:val="single" w:color="auto" w:sz="4" w:space="0"/>
              <w:right w:val="single" w:color="auto" w:sz="4" w:space="0"/>
            </w:tcBorders>
            <w:vAlign w:val="center"/>
          </w:tcPr>
          <w:p w14:paraId="44E6054B">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交货地点</w:t>
            </w:r>
          </w:p>
        </w:tc>
        <w:tc>
          <w:tcPr>
            <w:tcW w:w="1000" w:type="dxa"/>
            <w:tcBorders>
              <w:top w:val="single" w:color="auto" w:sz="4" w:space="0"/>
              <w:left w:val="nil"/>
              <w:bottom w:val="single" w:color="auto" w:sz="4" w:space="0"/>
              <w:right w:val="single" w:color="auto" w:sz="4" w:space="0"/>
            </w:tcBorders>
            <w:vAlign w:val="center"/>
          </w:tcPr>
          <w:p w14:paraId="4765EF6E">
            <w:pPr>
              <w:autoSpaceDE w:val="0"/>
              <w:autoSpaceDN w:val="0"/>
              <w:adjustRightInd w:val="0"/>
              <w:snapToGrid w:val="0"/>
              <w:jc w:val="center"/>
              <w:rPr>
                <w:rFonts w:hint="eastAsia" w:ascii="宋体" w:hAnsi="宋体" w:eastAsia="宋体" w:cs="Times New Roman"/>
                <w:color w:val="000000"/>
                <w:kern w:val="0"/>
                <w:sz w:val="22"/>
              </w:rPr>
            </w:pPr>
            <w:r>
              <w:rPr>
                <w:rFonts w:hint="eastAsia" w:ascii="宋体" w:hAnsi="宋体" w:eastAsia="宋体" w:cs="Times New Roman"/>
                <w:color w:val="000000"/>
                <w:kern w:val="0"/>
                <w:sz w:val="22"/>
              </w:rPr>
              <w:t>备注</w:t>
            </w:r>
          </w:p>
        </w:tc>
      </w:tr>
      <w:tr w14:paraId="4DB15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top w:val="single" w:color="auto" w:sz="4" w:space="0"/>
              <w:left w:val="single" w:color="auto" w:sz="4" w:space="0"/>
              <w:bottom w:val="single" w:color="auto" w:sz="4" w:space="0"/>
              <w:right w:val="single" w:color="auto" w:sz="4" w:space="0"/>
            </w:tcBorders>
            <w:vAlign w:val="center"/>
          </w:tcPr>
          <w:p w14:paraId="6E8E8D6E">
            <w:pPr>
              <w:snapToGrid w:val="0"/>
              <w:spacing w:line="360" w:lineRule="auto"/>
              <w:jc w:val="center"/>
              <w:rPr>
                <w:rFonts w:hint="default" w:ascii="宋体" w:hAnsi="宋体" w:eastAsia="宋体" w:cs="Times New Roman"/>
                <w:sz w:val="22"/>
                <w:lang w:val="en-US" w:eastAsia="zh-CN"/>
              </w:rPr>
            </w:pPr>
            <w:r>
              <w:rPr>
                <w:rFonts w:hint="default" w:ascii="宋体" w:hAnsi="宋体" w:eastAsia="宋体" w:cs="Times New Roman"/>
                <w:sz w:val="22"/>
                <w:lang w:val="en-US" w:eastAsia="zh-CN"/>
              </w:rPr>
              <w:t>1</w:t>
            </w:r>
          </w:p>
        </w:tc>
        <w:tc>
          <w:tcPr>
            <w:tcW w:w="1833" w:type="dxa"/>
            <w:tcBorders>
              <w:top w:val="single" w:color="auto" w:sz="4" w:space="0"/>
              <w:left w:val="nil"/>
              <w:bottom w:val="single" w:color="auto" w:sz="4" w:space="0"/>
              <w:right w:val="single" w:color="auto" w:sz="4" w:space="0"/>
            </w:tcBorders>
            <w:vAlign w:val="center"/>
          </w:tcPr>
          <w:p w14:paraId="6DD4A7E6">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视觉检测系统</w:t>
            </w:r>
          </w:p>
        </w:tc>
        <w:tc>
          <w:tcPr>
            <w:tcW w:w="2512" w:type="dxa"/>
            <w:tcBorders>
              <w:top w:val="single" w:color="auto" w:sz="4" w:space="0"/>
              <w:left w:val="nil"/>
              <w:bottom w:val="single" w:color="auto" w:sz="4" w:space="0"/>
              <w:right w:val="single" w:color="auto" w:sz="4" w:space="0"/>
            </w:tcBorders>
            <w:vAlign w:val="center"/>
          </w:tcPr>
          <w:p w14:paraId="129C1833">
            <w:pPr>
              <w:snapToGrid w:val="0"/>
              <w:spacing w:line="360" w:lineRule="auto"/>
              <w:jc w:val="center"/>
              <w:rPr>
                <w:rFonts w:hint="default" w:ascii="宋体" w:hAnsi="宋体" w:eastAsia="宋体" w:cs="Times New Roman"/>
                <w:sz w:val="22"/>
                <w:lang w:val="en-US" w:eastAsia="zh-CN"/>
              </w:rPr>
            </w:pPr>
            <w:r>
              <w:rPr>
                <w:rFonts w:hint="default" w:ascii="宋体" w:hAnsi="宋体" w:eastAsia="宋体" w:cs="Times New Roman"/>
                <w:sz w:val="22"/>
                <w:lang w:val="en-US" w:eastAsia="zh-CN"/>
              </w:rPr>
              <w:t>相机控制器</w:t>
            </w:r>
            <w:r>
              <w:rPr>
                <w:rFonts w:hint="eastAsia" w:ascii="宋体" w:hAnsi="宋体" w:eastAsia="宋体" w:cs="Times New Roman"/>
                <w:sz w:val="22"/>
                <w:lang w:val="en-US" w:eastAsia="zh-CN"/>
              </w:rPr>
              <w:t>、</w:t>
            </w:r>
            <w:r>
              <w:rPr>
                <w:rFonts w:hint="default" w:ascii="宋体" w:hAnsi="宋体" w:eastAsia="宋体" w:cs="Times New Roman"/>
                <w:sz w:val="22"/>
                <w:lang w:val="en-US" w:eastAsia="zh-CN"/>
              </w:rPr>
              <w:t>相机</w:t>
            </w:r>
          </w:p>
          <w:p w14:paraId="123A14F9">
            <w:pPr>
              <w:snapToGrid w:val="0"/>
              <w:spacing w:line="360" w:lineRule="auto"/>
              <w:jc w:val="center"/>
              <w:rPr>
                <w:rFonts w:hint="default" w:ascii="宋体" w:hAnsi="宋体" w:eastAsia="宋体" w:cs="Times New Roman"/>
                <w:sz w:val="22"/>
                <w:lang w:val="en-US" w:eastAsia="zh-CN"/>
              </w:rPr>
            </w:pPr>
            <w:r>
              <w:rPr>
                <w:rFonts w:hint="default" w:ascii="宋体" w:hAnsi="宋体" w:eastAsia="宋体" w:cs="Times New Roman"/>
                <w:sz w:val="22"/>
                <w:lang w:val="en-US" w:eastAsia="zh-CN"/>
              </w:rPr>
              <w:t>镜头</w:t>
            </w:r>
            <w:r>
              <w:rPr>
                <w:rFonts w:hint="eastAsia" w:ascii="宋体" w:hAnsi="宋体" w:eastAsia="宋体" w:cs="Times New Roman"/>
                <w:sz w:val="22"/>
                <w:lang w:val="en-US" w:eastAsia="zh-CN"/>
              </w:rPr>
              <w:t>及网线显示器等</w:t>
            </w:r>
          </w:p>
        </w:tc>
        <w:tc>
          <w:tcPr>
            <w:tcW w:w="950" w:type="dxa"/>
            <w:tcBorders>
              <w:top w:val="single" w:color="auto" w:sz="4" w:space="0"/>
              <w:left w:val="nil"/>
              <w:bottom w:val="single" w:color="auto" w:sz="4" w:space="0"/>
              <w:right w:val="single" w:color="auto" w:sz="4" w:space="0"/>
            </w:tcBorders>
            <w:vAlign w:val="center"/>
          </w:tcPr>
          <w:p w14:paraId="59435605">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restart"/>
            <w:tcBorders>
              <w:top w:val="single" w:color="auto" w:sz="4" w:space="0"/>
              <w:left w:val="nil"/>
              <w:right w:val="single" w:color="auto" w:sz="4" w:space="0"/>
            </w:tcBorders>
            <w:vAlign w:val="center"/>
          </w:tcPr>
          <w:p w14:paraId="0747D530">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交钥匙方式</w:t>
            </w:r>
          </w:p>
        </w:tc>
        <w:tc>
          <w:tcPr>
            <w:tcW w:w="1113" w:type="dxa"/>
            <w:vMerge w:val="restart"/>
            <w:tcBorders>
              <w:top w:val="single" w:color="auto" w:sz="4" w:space="0"/>
              <w:left w:val="nil"/>
              <w:right w:val="single" w:color="auto" w:sz="4" w:space="0"/>
            </w:tcBorders>
            <w:vAlign w:val="center"/>
          </w:tcPr>
          <w:p w14:paraId="69CA3DF8">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山东省济宁市诗仙路</w:t>
            </w:r>
            <w:r>
              <w:rPr>
                <w:rFonts w:hint="default" w:ascii="宋体" w:hAnsi="宋体" w:eastAsia="宋体" w:cs="Times New Roman"/>
                <w:sz w:val="22"/>
                <w:lang w:val="en-US" w:eastAsia="zh-CN"/>
              </w:rPr>
              <w:t>369</w:t>
            </w:r>
            <w:r>
              <w:rPr>
                <w:rFonts w:hint="eastAsia" w:ascii="宋体" w:hAnsi="宋体" w:eastAsia="宋体" w:cs="Times New Roman"/>
                <w:sz w:val="22"/>
                <w:lang w:val="en-US" w:eastAsia="zh-CN"/>
              </w:rPr>
              <w:t>号济宁商用车厂区</w:t>
            </w:r>
          </w:p>
        </w:tc>
        <w:tc>
          <w:tcPr>
            <w:tcW w:w="1000" w:type="dxa"/>
            <w:tcBorders>
              <w:top w:val="single" w:color="auto" w:sz="4" w:space="0"/>
              <w:left w:val="nil"/>
              <w:bottom w:val="single" w:color="auto" w:sz="4" w:space="0"/>
              <w:right w:val="single" w:color="auto" w:sz="4" w:space="0"/>
            </w:tcBorders>
            <w:vAlign w:val="center"/>
          </w:tcPr>
          <w:p w14:paraId="0EB84164">
            <w:pPr>
              <w:snapToGrid w:val="0"/>
              <w:spacing w:line="360" w:lineRule="auto"/>
              <w:jc w:val="center"/>
              <w:rPr>
                <w:rFonts w:hint="eastAsia" w:ascii="宋体" w:hAnsi="宋体" w:eastAsia="宋体" w:cs="Times New Roman"/>
                <w:sz w:val="22"/>
                <w:lang w:val="en-US" w:eastAsia="zh-CN"/>
              </w:rPr>
            </w:pPr>
          </w:p>
        </w:tc>
      </w:tr>
      <w:tr w14:paraId="0D7E8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top w:val="single" w:color="auto" w:sz="4" w:space="0"/>
              <w:left w:val="single" w:color="auto" w:sz="4" w:space="0"/>
              <w:right w:val="single" w:color="auto" w:sz="4" w:space="0"/>
            </w:tcBorders>
            <w:vAlign w:val="center"/>
          </w:tcPr>
          <w:p w14:paraId="280433AE">
            <w:pPr>
              <w:snapToGrid w:val="0"/>
              <w:spacing w:line="360" w:lineRule="auto"/>
              <w:jc w:val="center"/>
              <w:rPr>
                <w:rFonts w:hint="default" w:ascii="宋体" w:hAnsi="宋体" w:eastAsia="宋体" w:cs="Times New Roman"/>
                <w:sz w:val="22"/>
                <w:lang w:val="en-US" w:eastAsia="zh-CN"/>
              </w:rPr>
            </w:pPr>
            <w:r>
              <w:rPr>
                <w:rFonts w:hint="default" w:ascii="宋体" w:hAnsi="宋体" w:eastAsia="宋体" w:cs="Times New Roman"/>
                <w:sz w:val="22"/>
                <w:lang w:val="en-US" w:eastAsia="zh-CN"/>
              </w:rPr>
              <w:t>2</w:t>
            </w:r>
          </w:p>
        </w:tc>
        <w:tc>
          <w:tcPr>
            <w:tcW w:w="1833" w:type="dxa"/>
            <w:tcBorders>
              <w:top w:val="single" w:color="auto" w:sz="4" w:space="0"/>
              <w:left w:val="nil"/>
              <w:right w:val="single" w:color="auto" w:sz="4" w:space="0"/>
            </w:tcBorders>
            <w:vAlign w:val="center"/>
          </w:tcPr>
          <w:p w14:paraId="4DAAD28E">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滑台模组</w:t>
            </w:r>
          </w:p>
        </w:tc>
        <w:tc>
          <w:tcPr>
            <w:tcW w:w="2512" w:type="dxa"/>
            <w:tcBorders>
              <w:top w:val="single" w:color="auto" w:sz="4" w:space="0"/>
              <w:left w:val="nil"/>
              <w:bottom w:val="single" w:color="auto" w:sz="4" w:space="0"/>
              <w:right w:val="single" w:color="auto" w:sz="4" w:space="0"/>
            </w:tcBorders>
            <w:vAlign w:val="center"/>
          </w:tcPr>
          <w:p w14:paraId="2D5C6BBA">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XYZ龙门滑台</w:t>
            </w:r>
          </w:p>
        </w:tc>
        <w:tc>
          <w:tcPr>
            <w:tcW w:w="950" w:type="dxa"/>
            <w:tcBorders>
              <w:top w:val="single" w:color="auto" w:sz="4" w:space="0"/>
              <w:left w:val="nil"/>
              <w:bottom w:val="single" w:color="auto" w:sz="4" w:space="0"/>
              <w:right w:val="single" w:color="auto" w:sz="4" w:space="0"/>
            </w:tcBorders>
            <w:vAlign w:val="center"/>
          </w:tcPr>
          <w:p w14:paraId="4D9D85C0">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2F210605">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20F0BD8B">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4EA43B29">
            <w:pPr>
              <w:snapToGrid w:val="0"/>
              <w:spacing w:line="360" w:lineRule="auto"/>
              <w:jc w:val="center"/>
              <w:rPr>
                <w:rFonts w:hint="eastAsia" w:ascii="宋体" w:hAnsi="宋体" w:eastAsia="宋体" w:cs="Times New Roman"/>
                <w:sz w:val="22"/>
                <w:lang w:val="en-US" w:eastAsia="zh-CN"/>
              </w:rPr>
            </w:pPr>
          </w:p>
        </w:tc>
      </w:tr>
      <w:tr w14:paraId="6B36A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718" w:type="dxa"/>
            <w:tcBorders>
              <w:left w:val="single" w:color="auto" w:sz="4" w:space="0"/>
              <w:right w:val="single" w:color="auto" w:sz="4" w:space="0"/>
            </w:tcBorders>
            <w:vAlign w:val="center"/>
          </w:tcPr>
          <w:p w14:paraId="49161682">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1833" w:type="dxa"/>
            <w:tcBorders>
              <w:left w:val="nil"/>
              <w:right w:val="single" w:color="auto" w:sz="4" w:space="0"/>
            </w:tcBorders>
            <w:vAlign w:val="center"/>
          </w:tcPr>
          <w:p w14:paraId="6F6A5409">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滑轨</w:t>
            </w:r>
          </w:p>
        </w:tc>
        <w:tc>
          <w:tcPr>
            <w:tcW w:w="2512" w:type="dxa"/>
            <w:tcBorders>
              <w:top w:val="single" w:color="auto" w:sz="4" w:space="0"/>
              <w:left w:val="nil"/>
              <w:bottom w:val="single" w:color="auto" w:sz="4" w:space="0"/>
              <w:right w:val="single" w:color="auto" w:sz="4" w:space="0"/>
            </w:tcBorders>
            <w:vAlign w:val="center"/>
          </w:tcPr>
          <w:p w14:paraId="5D26E32A">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磁耦气缸、滑轨、滑块</w:t>
            </w:r>
          </w:p>
        </w:tc>
        <w:tc>
          <w:tcPr>
            <w:tcW w:w="950" w:type="dxa"/>
            <w:tcBorders>
              <w:top w:val="single" w:color="auto" w:sz="4" w:space="0"/>
              <w:left w:val="nil"/>
              <w:bottom w:val="single" w:color="auto" w:sz="4" w:space="0"/>
              <w:right w:val="single" w:color="auto" w:sz="4" w:space="0"/>
            </w:tcBorders>
            <w:vAlign w:val="center"/>
          </w:tcPr>
          <w:p w14:paraId="37E5B2E0">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020C1571">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249F5044">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0ED70DBC">
            <w:pPr>
              <w:snapToGrid w:val="0"/>
              <w:spacing w:line="360" w:lineRule="auto"/>
              <w:jc w:val="center"/>
              <w:rPr>
                <w:rFonts w:hint="eastAsia" w:ascii="宋体" w:hAnsi="宋体" w:eastAsia="宋体" w:cs="Times New Roman"/>
                <w:sz w:val="22"/>
                <w:lang w:val="en-US" w:eastAsia="zh-CN"/>
              </w:rPr>
            </w:pPr>
          </w:p>
        </w:tc>
      </w:tr>
      <w:tr w14:paraId="545F4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left w:val="single" w:color="auto" w:sz="4" w:space="0"/>
              <w:right w:val="single" w:color="auto" w:sz="4" w:space="0"/>
            </w:tcBorders>
            <w:vAlign w:val="center"/>
          </w:tcPr>
          <w:p w14:paraId="2A6FC001">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4</w:t>
            </w:r>
          </w:p>
        </w:tc>
        <w:tc>
          <w:tcPr>
            <w:tcW w:w="1833" w:type="dxa"/>
            <w:tcBorders>
              <w:left w:val="nil"/>
              <w:right w:val="single" w:color="auto" w:sz="4" w:space="0"/>
            </w:tcBorders>
            <w:vAlign w:val="center"/>
          </w:tcPr>
          <w:p w14:paraId="1C25C227">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非标加工件</w:t>
            </w:r>
          </w:p>
        </w:tc>
        <w:tc>
          <w:tcPr>
            <w:tcW w:w="2512" w:type="dxa"/>
            <w:tcBorders>
              <w:top w:val="single" w:color="auto" w:sz="4" w:space="0"/>
              <w:left w:val="nil"/>
              <w:bottom w:val="single" w:color="auto" w:sz="4" w:space="0"/>
              <w:right w:val="single" w:color="auto" w:sz="4" w:space="0"/>
            </w:tcBorders>
            <w:vAlign w:val="center"/>
          </w:tcPr>
          <w:p w14:paraId="6F961933">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w:t>
            </w:r>
          </w:p>
        </w:tc>
        <w:tc>
          <w:tcPr>
            <w:tcW w:w="950" w:type="dxa"/>
            <w:tcBorders>
              <w:top w:val="single" w:color="auto" w:sz="4" w:space="0"/>
              <w:left w:val="nil"/>
              <w:bottom w:val="single" w:color="auto" w:sz="4" w:space="0"/>
              <w:right w:val="single" w:color="auto" w:sz="4" w:space="0"/>
            </w:tcBorders>
            <w:vAlign w:val="center"/>
          </w:tcPr>
          <w:p w14:paraId="6C519ADB">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11AEC1F7">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7853E4B0">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45792A79">
            <w:pPr>
              <w:snapToGrid w:val="0"/>
              <w:spacing w:line="360" w:lineRule="auto"/>
              <w:jc w:val="center"/>
              <w:rPr>
                <w:rFonts w:hint="eastAsia" w:ascii="宋体" w:hAnsi="宋体" w:eastAsia="宋体" w:cs="Times New Roman"/>
                <w:sz w:val="22"/>
                <w:lang w:val="en-US" w:eastAsia="zh-CN"/>
              </w:rPr>
            </w:pPr>
          </w:p>
        </w:tc>
      </w:tr>
      <w:tr w14:paraId="0CC5E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left w:val="single" w:color="auto" w:sz="4" w:space="0"/>
              <w:right w:val="single" w:color="auto" w:sz="4" w:space="0"/>
            </w:tcBorders>
            <w:vAlign w:val="center"/>
          </w:tcPr>
          <w:p w14:paraId="66E374FC">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5</w:t>
            </w:r>
          </w:p>
        </w:tc>
        <w:tc>
          <w:tcPr>
            <w:tcW w:w="1833" w:type="dxa"/>
            <w:tcBorders>
              <w:left w:val="nil"/>
              <w:right w:val="single" w:color="auto" w:sz="4" w:space="0"/>
            </w:tcBorders>
            <w:vAlign w:val="center"/>
          </w:tcPr>
          <w:p w14:paraId="3F0BC9EE">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铝型材</w:t>
            </w:r>
          </w:p>
        </w:tc>
        <w:tc>
          <w:tcPr>
            <w:tcW w:w="2512" w:type="dxa"/>
            <w:tcBorders>
              <w:top w:val="single" w:color="auto" w:sz="4" w:space="0"/>
              <w:left w:val="nil"/>
              <w:bottom w:val="single" w:color="auto" w:sz="4" w:space="0"/>
              <w:right w:val="single" w:color="auto" w:sz="4" w:space="0"/>
            </w:tcBorders>
            <w:vAlign w:val="center"/>
          </w:tcPr>
          <w:p w14:paraId="424E75E5">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80*80、40*80铝型材</w:t>
            </w:r>
          </w:p>
        </w:tc>
        <w:tc>
          <w:tcPr>
            <w:tcW w:w="950" w:type="dxa"/>
            <w:tcBorders>
              <w:top w:val="single" w:color="auto" w:sz="4" w:space="0"/>
              <w:left w:val="nil"/>
              <w:bottom w:val="single" w:color="auto" w:sz="4" w:space="0"/>
              <w:right w:val="single" w:color="auto" w:sz="4" w:space="0"/>
            </w:tcBorders>
            <w:vAlign w:val="center"/>
          </w:tcPr>
          <w:p w14:paraId="570DA224">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411211A6">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6D3BED96">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2F167CFE">
            <w:pPr>
              <w:snapToGrid w:val="0"/>
              <w:spacing w:line="360" w:lineRule="auto"/>
              <w:jc w:val="center"/>
              <w:rPr>
                <w:rFonts w:hint="eastAsia" w:ascii="宋体" w:hAnsi="宋体" w:eastAsia="宋体" w:cs="Times New Roman"/>
                <w:sz w:val="22"/>
                <w:lang w:val="en-US" w:eastAsia="zh-CN"/>
              </w:rPr>
            </w:pPr>
          </w:p>
        </w:tc>
      </w:tr>
      <w:tr w14:paraId="2B367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left w:val="single" w:color="auto" w:sz="4" w:space="0"/>
              <w:right w:val="single" w:color="auto" w:sz="4" w:space="0"/>
            </w:tcBorders>
            <w:vAlign w:val="center"/>
          </w:tcPr>
          <w:p w14:paraId="0FCC1472">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6</w:t>
            </w:r>
          </w:p>
        </w:tc>
        <w:tc>
          <w:tcPr>
            <w:tcW w:w="1833" w:type="dxa"/>
            <w:tcBorders>
              <w:left w:val="nil"/>
              <w:right w:val="single" w:color="auto" w:sz="4" w:space="0"/>
            </w:tcBorders>
            <w:vAlign w:val="center"/>
          </w:tcPr>
          <w:p w14:paraId="77537B76">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机器人</w:t>
            </w:r>
          </w:p>
        </w:tc>
        <w:tc>
          <w:tcPr>
            <w:tcW w:w="2512" w:type="dxa"/>
            <w:tcBorders>
              <w:top w:val="single" w:color="auto" w:sz="4" w:space="0"/>
              <w:left w:val="nil"/>
              <w:bottom w:val="single" w:color="auto" w:sz="4" w:space="0"/>
              <w:right w:val="single" w:color="auto" w:sz="4" w:space="0"/>
            </w:tcBorders>
            <w:vAlign w:val="center"/>
          </w:tcPr>
          <w:p w14:paraId="2ED92C37">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四轴机器人</w:t>
            </w:r>
          </w:p>
        </w:tc>
        <w:tc>
          <w:tcPr>
            <w:tcW w:w="950" w:type="dxa"/>
            <w:tcBorders>
              <w:top w:val="single" w:color="auto" w:sz="4" w:space="0"/>
              <w:left w:val="nil"/>
              <w:bottom w:val="single" w:color="auto" w:sz="4" w:space="0"/>
              <w:right w:val="single" w:color="auto" w:sz="4" w:space="0"/>
            </w:tcBorders>
            <w:vAlign w:val="center"/>
          </w:tcPr>
          <w:p w14:paraId="28EDCAF8">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6CD2B15F">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0218BF9D">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36809F26">
            <w:pPr>
              <w:snapToGrid w:val="0"/>
              <w:spacing w:line="360" w:lineRule="auto"/>
              <w:jc w:val="center"/>
              <w:rPr>
                <w:rFonts w:hint="eastAsia" w:ascii="宋体" w:hAnsi="宋体" w:eastAsia="宋体" w:cs="Times New Roman"/>
                <w:sz w:val="22"/>
                <w:lang w:val="en-US" w:eastAsia="zh-CN"/>
              </w:rPr>
            </w:pPr>
          </w:p>
        </w:tc>
      </w:tr>
      <w:tr w14:paraId="5BA06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left w:val="single" w:color="auto" w:sz="4" w:space="0"/>
              <w:right w:val="single" w:color="auto" w:sz="4" w:space="0"/>
            </w:tcBorders>
            <w:vAlign w:val="center"/>
          </w:tcPr>
          <w:p w14:paraId="5984FC21">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7</w:t>
            </w:r>
          </w:p>
        </w:tc>
        <w:tc>
          <w:tcPr>
            <w:tcW w:w="1833" w:type="dxa"/>
            <w:tcBorders>
              <w:left w:val="nil"/>
              <w:right w:val="single" w:color="auto" w:sz="4" w:space="0"/>
            </w:tcBorders>
            <w:vAlign w:val="center"/>
          </w:tcPr>
          <w:p w14:paraId="2C5690A9">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接近开关</w:t>
            </w:r>
          </w:p>
        </w:tc>
        <w:tc>
          <w:tcPr>
            <w:tcW w:w="2512" w:type="dxa"/>
            <w:tcBorders>
              <w:top w:val="single" w:color="auto" w:sz="4" w:space="0"/>
              <w:left w:val="nil"/>
              <w:bottom w:val="single" w:color="auto" w:sz="4" w:space="0"/>
              <w:right w:val="single" w:color="auto" w:sz="4" w:space="0"/>
            </w:tcBorders>
            <w:vAlign w:val="center"/>
          </w:tcPr>
          <w:p w14:paraId="79E58503">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M12接近开关、槽型开关、磁性开关</w:t>
            </w:r>
          </w:p>
        </w:tc>
        <w:tc>
          <w:tcPr>
            <w:tcW w:w="950" w:type="dxa"/>
            <w:tcBorders>
              <w:top w:val="single" w:color="auto" w:sz="4" w:space="0"/>
              <w:left w:val="nil"/>
              <w:bottom w:val="single" w:color="auto" w:sz="4" w:space="0"/>
              <w:right w:val="single" w:color="auto" w:sz="4" w:space="0"/>
            </w:tcBorders>
            <w:vAlign w:val="center"/>
          </w:tcPr>
          <w:p w14:paraId="39A09228">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02C0B9EC">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6AE2CBC1">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7D0CC5A6">
            <w:pPr>
              <w:snapToGrid w:val="0"/>
              <w:spacing w:line="360" w:lineRule="auto"/>
              <w:jc w:val="center"/>
              <w:rPr>
                <w:rFonts w:hint="eastAsia" w:ascii="宋体" w:hAnsi="宋体" w:eastAsia="宋体" w:cs="Times New Roman"/>
                <w:sz w:val="22"/>
                <w:lang w:val="en-US" w:eastAsia="zh-CN"/>
              </w:rPr>
            </w:pPr>
          </w:p>
        </w:tc>
      </w:tr>
      <w:tr w14:paraId="4A34A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18" w:type="dxa"/>
            <w:tcBorders>
              <w:left w:val="single" w:color="auto" w:sz="4" w:space="0"/>
              <w:right w:val="single" w:color="auto" w:sz="4" w:space="0"/>
            </w:tcBorders>
            <w:vAlign w:val="center"/>
          </w:tcPr>
          <w:p w14:paraId="272EDDD8">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8</w:t>
            </w:r>
          </w:p>
        </w:tc>
        <w:tc>
          <w:tcPr>
            <w:tcW w:w="1833" w:type="dxa"/>
            <w:tcBorders>
              <w:left w:val="nil"/>
              <w:right w:val="single" w:color="auto" w:sz="4" w:space="0"/>
            </w:tcBorders>
            <w:vAlign w:val="center"/>
          </w:tcPr>
          <w:p w14:paraId="51E2FB39">
            <w:pPr>
              <w:snapToGrid w:val="0"/>
              <w:spacing w:line="360" w:lineRule="auto"/>
              <w:jc w:val="center"/>
              <w:rPr>
                <w:rFonts w:hint="eastAsia" w:ascii="宋体" w:hAnsi="宋体" w:eastAsia="宋体" w:cs="Times New Roman"/>
                <w:sz w:val="22"/>
                <w:lang w:val="en-US" w:eastAsia="zh-CN"/>
              </w:rPr>
            </w:pPr>
            <w:r>
              <w:rPr>
                <w:rFonts w:hint="eastAsia" w:ascii="宋体" w:hAnsi="宋体" w:eastAsia="宋体" w:cs="Times New Roman"/>
                <w:sz w:val="22"/>
                <w:lang w:val="en-US" w:eastAsia="zh-CN"/>
              </w:rPr>
              <w:t>PLC</w:t>
            </w:r>
          </w:p>
        </w:tc>
        <w:tc>
          <w:tcPr>
            <w:tcW w:w="2512" w:type="dxa"/>
            <w:tcBorders>
              <w:top w:val="single" w:color="auto" w:sz="4" w:space="0"/>
              <w:left w:val="nil"/>
              <w:bottom w:val="single" w:color="auto" w:sz="4" w:space="0"/>
              <w:right w:val="single" w:color="auto" w:sz="4" w:space="0"/>
            </w:tcBorders>
            <w:vAlign w:val="center"/>
          </w:tcPr>
          <w:p w14:paraId="015A26A7">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Plc、显示屏</w:t>
            </w:r>
          </w:p>
        </w:tc>
        <w:tc>
          <w:tcPr>
            <w:tcW w:w="950" w:type="dxa"/>
            <w:tcBorders>
              <w:top w:val="single" w:color="auto" w:sz="4" w:space="0"/>
              <w:left w:val="nil"/>
              <w:bottom w:val="single" w:color="auto" w:sz="4" w:space="0"/>
              <w:right w:val="single" w:color="auto" w:sz="4" w:space="0"/>
            </w:tcBorders>
            <w:vAlign w:val="center"/>
          </w:tcPr>
          <w:p w14:paraId="69F3D33F">
            <w:pPr>
              <w:snapToGrid w:val="0"/>
              <w:spacing w:line="360" w:lineRule="auto"/>
              <w:jc w:val="center"/>
              <w:rPr>
                <w:rFonts w:hint="default" w:ascii="宋体" w:hAnsi="宋体" w:eastAsia="宋体" w:cs="Times New Roman"/>
                <w:sz w:val="22"/>
                <w:lang w:val="en-US" w:eastAsia="zh-CN"/>
              </w:rPr>
            </w:pPr>
            <w:r>
              <w:rPr>
                <w:rFonts w:hint="eastAsia" w:ascii="宋体" w:hAnsi="宋体" w:eastAsia="宋体" w:cs="Times New Roman"/>
                <w:sz w:val="22"/>
                <w:lang w:val="en-US" w:eastAsia="zh-CN"/>
              </w:rPr>
              <w:t>3</w:t>
            </w:r>
          </w:p>
        </w:tc>
        <w:tc>
          <w:tcPr>
            <w:tcW w:w="800" w:type="dxa"/>
            <w:vMerge w:val="continue"/>
            <w:tcBorders>
              <w:left w:val="nil"/>
              <w:right w:val="single" w:color="auto" w:sz="4" w:space="0"/>
            </w:tcBorders>
            <w:vAlign w:val="center"/>
          </w:tcPr>
          <w:p w14:paraId="35DF1AED">
            <w:pPr>
              <w:snapToGrid w:val="0"/>
              <w:spacing w:line="360" w:lineRule="auto"/>
              <w:jc w:val="center"/>
              <w:rPr>
                <w:rFonts w:hint="eastAsia" w:ascii="宋体" w:hAnsi="宋体" w:eastAsia="宋体" w:cs="Times New Roman"/>
                <w:sz w:val="22"/>
                <w:lang w:val="en-US" w:eastAsia="zh-CN"/>
              </w:rPr>
            </w:pPr>
          </w:p>
        </w:tc>
        <w:tc>
          <w:tcPr>
            <w:tcW w:w="1113" w:type="dxa"/>
            <w:vMerge w:val="continue"/>
            <w:tcBorders>
              <w:left w:val="nil"/>
              <w:right w:val="single" w:color="auto" w:sz="4" w:space="0"/>
            </w:tcBorders>
            <w:vAlign w:val="center"/>
          </w:tcPr>
          <w:p w14:paraId="4AFD1F4A">
            <w:pPr>
              <w:snapToGrid w:val="0"/>
              <w:spacing w:line="360" w:lineRule="auto"/>
              <w:jc w:val="center"/>
              <w:rPr>
                <w:rFonts w:hint="eastAsia" w:ascii="宋体" w:hAnsi="宋体" w:eastAsia="宋体" w:cs="Times New Roman"/>
                <w:sz w:val="22"/>
                <w:lang w:val="en-US" w:eastAsia="zh-CN"/>
              </w:rPr>
            </w:pPr>
          </w:p>
        </w:tc>
        <w:tc>
          <w:tcPr>
            <w:tcW w:w="1000" w:type="dxa"/>
            <w:tcBorders>
              <w:top w:val="single" w:color="auto" w:sz="4" w:space="0"/>
              <w:left w:val="nil"/>
              <w:bottom w:val="single" w:color="auto" w:sz="4" w:space="0"/>
              <w:right w:val="single" w:color="auto" w:sz="4" w:space="0"/>
            </w:tcBorders>
            <w:vAlign w:val="center"/>
          </w:tcPr>
          <w:p w14:paraId="3278A25B">
            <w:pPr>
              <w:snapToGrid w:val="0"/>
              <w:spacing w:line="360" w:lineRule="auto"/>
              <w:jc w:val="center"/>
              <w:rPr>
                <w:rFonts w:hint="eastAsia" w:ascii="宋体" w:hAnsi="宋体" w:eastAsia="宋体" w:cs="Times New Roman"/>
                <w:sz w:val="22"/>
                <w:lang w:val="en-US" w:eastAsia="zh-CN"/>
              </w:rPr>
            </w:pPr>
          </w:p>
        </w:tc>
      </w:tr>
    </w:tbl>
    <w:p w14:paraId="245B9C2D">
      <w:pPr>
        <w:pStyle w:val="43"/>
        <w:tabs>
          <w:tab w:val="left" w:pos="1164"/>
          <w:tab w:val="left" w:pos="1165"/>
        </w:tabs>
        <w:spacing w:line="360" w:lineRule="auto"/>
        <w:ind w:left="0" w:leftChars="0" w:firstLine="234" w:firstLineChars="100"/>
        <w:jc w:val="left"/>
        <w:rPr>
          <w:rFonts w:hint="eastAsia" w:ascii="宋体" w:hAnsi="宋体" w:eastAsia="宋体" w:cs="宋体"/>
          <w:spacing w:val="-3"/>
          <w:sz w:val="24"/>
          <w:szCs w:val="24"/>
          <w:highlight w:val="none"/>
        </w:rPr>
      </w:pPr>
      <w:r>
        <w:rPr>
          <w:rFonts w:hint="eastAsia" w:ascii="宋体" w:hAnsi="宋体" w:eastAsia="宋体" w:cs="宋体"/>
          <w:color w:val="auto"/>
          <w:spacing w:val="-3"/>
          <w:sz w:val="24"/>
          <w:szCs w:val="24"/>
          <w:highlight w:val="none"/>
        </w:rPr>
        <w:t>序号2包含的</w:t>
      </w:r>
      <w:r>
        <w:rPr>
          <w:rFonts w:hint="eastAsia" w:ascii="宋体" w:hAnsi="宋体" w:cs="宋体"/>
          <w:color w:val="auto"/>
          <w:spacing w:val="-3"/>
          <w:sz w:val="24"/>
          <w:szCs w:val="24"/>
          <w:highlight w:val="none"/>
          <w:lang w:val="en-US" w:eastAsia="zh-CN"/>
        </w:rPr>
        <w:t>机器人</w:t>
      </w:r>
      <w:r>
        <w:rPr>
          <w:rFonts w:hint="eastAsia" w:ascii="宋体" w:hAnsi="宋体" w:eastAsia="宋体" w:cs="宋体"/>
          <w:color w:val="auto"/>
          <w:spacing w:val="-3"/>
          <w:sz w:val="24"/>
          <w:szCs w:val="24"/>
          <w:highlight w:val="none"/>
        </w:rPr>
        <w:t>、工装、</w:t>
      </w:r>
      <w:r>
        <w:rPr>
          <w:rFonts w:hint="eastAsia" w:ascii="宋体" w:hAnsi="宋体" w:cs="宋体"/>
          <w:color w:val="auto"/>
          <w:spacing w:val="-3"/>
          <w:sz w:val="24"/>
          <w:szCs w:val="24"/>
          <w:highlight w:val="none"/>
          <w:lang w:val="en-US" w:eastAsia="zh-CN"/>
        </w:rPr>
        <w:t>自动控制</w:t>
      </w:r>
      <w:r>
        <w:rPr>
          <w:rFonts w:hint="eastAsia" w:ascii="宋体" w:hAnsi="宋体" w:eastAsia="宋体" w:cs="宋体"/>
          <w:color w:val="auto"/>
          <w:spacing w:val="-3"/>
          <w:sz w:val="24"/>
          <w:szCs w:val="24"/>
          <w:highlight w:val="none"/>
        </w:rPr>
        <w:t>设备</w:t>
      </w:r>
      <w:r>
        <w:rPr>
          <w:rFonts w:hint="eastAsia" w:ascii="宋体" w:hAnsi="宋体" w:cs="宋体"/>
          <w:color w:val="auto"/>
          <w:spacing w:val="-3"/>
          <w:sz w:val="24"/>
          <w:szCs w:val="24"/>
          <w:highlight w:val="none"/>
          <w:lang w:val="en-US" w:eastAsia="zh-CN"/>
        </w:rPr>
        <w:t>等</w:t>
      </w:r>
      <w:r>
        <w:rPr>
          <w:rFonts w:hint="eastAsia" w:ascii="宋体" w:hAnsi="宋体" w:eastAsia="宋体" w:cs="宋体"/>
          <w:color w:val="auto"/>
          <w:spacing w:val="-3"/>
          <w:sz w:val="24"/>
          <w:szCs w:val="24"/>
          <w:highlight w:val="none"/>
        </w:rPr>
        <w:t>需要在合同签订后</w:t>
      </w:r>
      <w:r>
        <w:rPr>
          <w:rFonts w:hint="eastAsia" w:ascii="宋体" w:hAnsi="宋体" w:cs="宋体"/>
          <w:color w:val="auto"/>
          <w:spacing w:val="-3"/>
          <w:sz w:val="24"/>
          <w:szCs w:val="24"/>
          <w:highlight w:val="none"/>
          <w:lang w:val="en-US" w:eastAsia="zh-CN"/>
        </w:rPr>
        <w:t>3</w:t>
      </w:r>
      <w:r>
        <w:rPr>
          <w:rFonts w:hint="eastAsia" w:ascii="宋体" w:hAnsi="宋体" w:eastAsia="宋体" w:cs="宋体"/>
          <w:color w:val="auto"/>
          <w:spacing w:val="-3"/>
          <w:sz w:val="24"/>
          <w:szCs w:val="24"/>
          <w:highlight w:val="none"/>
        </w:rPr>
        <w:t>0天内到货。</w:t>
      </w:r>
    </w:p>
    <w:p w14:paraId="22183CFD">
      <w:pPr>
        <w:pStyle w:val="43"/>
        <w:tabs>
          <w:tab w:val="left" w:pos="1164"/>
          <w:tab w:val="left" w:pos="1165"/>
        </w:tabs>
        <w:spacing w:line="360" w:lineRule="auto"/>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2.</w:t>
      </w:r>
      <w:r>
        <w:rPr>
          <w:rFonts w:hint="eastAsia" w:ascii="宋体" w:hAnsi="宋体" w:cs="宋体"/>
          <w:spacing w:val="-3"/>
          <w:sz w:val="24"/>
          <w:szCs w:val="24"/>
          <w:lang w:val="en-US" w:eastAsia="zh-CN"/>
        </w:rPr>
        <w:t>2</w:t>
      </w:r>
      <w:r>
        <w:rPr>
          <w:rFonts w:hint="eastAsia" w:ascii="宋体" w:hAnsi="宋体" w:eastAsia="宋体" w:cs="宋体"/>
          <w:spacing w:val="-3"/>
          <w:sz w:val="24"/>
          <w:szCs w:val="24"/>
          <w:lang w:val="en-US" w:eastAsia="zh-CN"/>
        </w:rPr>
        <w:t>视觉检测系统</w:t>
      </w:r>
    </w:p>
    <w:p w14:paraId="396262B0">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rPr>
        <w:t>（1）</w:t>
      </w:r>
      <w:r>
        <w:rPr>
          <w:rFonts w:hint="eastAsia" w:ascii="宋体" w:hAnsi="宋体" w:eastAsia="宋体" w:cs="宋体"/>
          <w:spacing w:val="-3"/>
          <w:sz w:val="24"/>
          <w:szCs w:val="24"/>
          <w:lang w:val="en-US" w:eastAsia="zh-CN"/>
        </w:rPr>
        <w:t>相机控制器</w:t>
      </w:r>
      <w:r>
        <w:rPr>
          <w:rFonts w:hint="eastAsia" w:ascii="宋体" w:hAnsi="宋体" w:eastAsia="宋体" w:cs="宋体"/>
          <w:spacing w:val="-3"/>
          <w:sz w:val="24"/>
          <w:szCs w:val="24"/>
          <w:lang w:val="en-US" w:eastAsia="zh-CN"/>
        </w:rPr>
        <w:tab/>
      </w:r>
    </w:p>
    <w:p w14:paraId="3D22105E">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内存不低于8GB，1个HDMI端口,1个VGA端口；支持同时独立显示输出；支持8路光耦隔离输入，8路光耦隔离输出，支持RS-232,RS-485通讯协议</w:t>
      </w:r>
    </w:p>
    <w:p w14:paraId="4F6DFCF6">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2</w:t>
      </w:r>
      <w:r>
        <w:rPr>
          <w:rFonts w:hint="eastAsia" w:ascii="宋体" w:hAnsi="宋体" w:eastAsia="宋体" w:cs="宋体"/>
          <w:spacing w:val="-3"/>
          <w:sz w:val="24"/>
          <w:szCs w:val="24"/>
        </w:rPr>
        <w:t>）</w:t>
      </w:r>
      <w:r>
        <w:rPr>
          <w:rFonts w:hint="eastAsia" w:ascii="宋体" w:hAnsi="宋体" w:eastAsia="宋体" w:cs="宋体"/>
          <w:spacing w:val="-3"/>
          <w:sz w:val="24"/>
          <w:szCs w:val="24"/>
          <w:lang w:val="en-US" w:eastAsia="zh-CN"/>
        </w:rPr>
        <w:t>相机</w:t>
      </w:r>
    </w:p>
    <w:p w14:paraId="24EED07F">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支持自动曝光、手动曝光、一键曝光模式,支持Rolling和Global Reset模式；兼容GigE Vision V2.0协议及GenlCam标准，无缝连接第三方软件</w:t>
      </w:r>
    </w:p>
    <w:p w14:paraId="29EBA35E">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（3）</w:t>
      </w:r>
      <w:r>
        <w:rPr>
          <w:rFonts w:hint="eastAsia" w:ascii="宋体" w:hAnsi="宋体" w:eastAsia="宋体" w:cs="宋体"/>
          <w:spacing w:val="-3"/>
          <w:sz w:val="24"/>
          <w:szCs w:val="24"/>
          <w:lang w:val="en-US" w:eastAsia="zh-CN"/>
        </w:rPr>
        <w:t>镜头</w:t>
      </w:r>
      <w:r>
        <w:rPr>
          <w:rFonts w:hint="eastAsia" w:ascii="宋体" w:hAnsi="宋体" w:eastAsia="宋体" w:cs="宋体"/>
          <w:spacing w:val="-3"/>
          <w:sz w:val="24"/>
          <w:szCs w:val="24"/>
          <w:lang w:val="en-US" w:eastAsia="zh-CN"/>
        </w:rPr>
        <w:tab/>
      </w:r>
      <w:r>
        <w:rPr>
          <w:rFonts w:hint="eastAsia" w:ascii="宋体" w:hAnsi="宋体" w:eastAsia="宋体" w:cs="宋体"/>
          <w:spacing w:val="-3"/>
          <w:sz w:val="24"/>
          <w:szCs w:val="24"/>
          <w:lang w:val="en-US" w:eastAsia="zh-CN"/>
        </w:rPr>
        <w:t>"像素不低于2500万，焦距不低于16mm，F数不高于4.0（固定光圈），像面尺寸不小于Φ19.3mm"</w:t>
      </w:r>
    </w:p>
    <w:p w14:paraId="1A39C9FC">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（4）</w:t>
      </w:r>
      <w:r>
        <w:rPr>
          <w:rFonts w:hint="eastAsia" w:ascii="宋体" w:hAnsi="宋体" w:eastAsia="宋体" w:cs="宋体"/>
          <w:spacing w:val="-3"/>
          <w:sz w:val="24"/>
          <w:szCs w:val="24"/>
          <w:lang w:val="en-US" w:eastAsia="zh-CN"/>
        </w:rPr>
        <w:t>光源</w:t>
      </w:r>
      <w:r>
        <w:rPr>
          <w:rFonts w:hint="eastAsia" w:ascii="宋体" w:hAnsi="宋体" w:eastAsia="宋体" w:cs="宋体"/>
          <w:spacing w:val="-3"/>
          <w:sz w:val="24"/>
          <w:szCs w:val="24"/>
          <w:lang w:val="en-US" w:eastAsia="zh-CN"/>
        </w:rPr>
        <w:tab/>
      </w:r>
      <w:r>
        <w:rPr>
          <w:rFonts w:hint="eastAsia" w:ascii="宋体" w:hAnsi="宋体" w:eastAsia="宋体" w:cs="宋体"/>
          <w:spacing w:val="-3"/>
          <w:sz w:val="24"/>
          <w:szCs w:val="24"/>
          <w:lang w:val="en-US" w:eastAsia="zh-CN"/>
        </w:rPr>
        <w:t>光源类型为条形光源，光源颜色为白色，色温范围不窄于6000~7000K</w:t>
      </w:r>
    </w:p>
    <w:p w14:paraId="0BFBF3C8">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lang w:val="en-US" w:eastAsia="zh-CN"/>
        </w:rPr>
        <w:t>光源控制器</w:t>
      </w:r>
      <w:r>
        <w:rPr>
          <w:rFonts w:hint="eastAsia" w:ascii="宋体" w:hAnsi="宋体" w:eastAsia="宋体" w:cs="宋体"/>
          <w:spacing w:val="-3"/>
          <w:sz w:val="24"/>
          <w:szCs w:val="24"/>
          <w:lang w:val="en-US" w:eastAsia="zh-CN"/>
        </w:rPr>
        <w:tab/>
      </w:r>
      <w:r>
        <w:rPr>
          <w:rFonts w:hint="eastAsia" w:ascii="宋体" w:hAnsi="宋体" w:eastAsia="宋体" w:cs="宋体"/>
          <w:spacing w:val="-3"/>
          <w:sz w:val="24"/>
          <w:szCs w:val="24"/>
          <w:lang w:val="en-US" w:eastAsia="zh-CN"/>
        </w:rPr>
        <w:t>通道数不低于4通道，调光方式为面板旋钮，支持无级调光，发光延迟时间不大于1ms，触发模式支持外触发、内触发</w:t>
      </w:r>
    </w:p>
    <w:p w14:paraId="0E4034BB">
      <w:pPr>
        <w:pStyle w:val="43"/>
        <w:tabs>
          <w:tab w:val="left" w:pos="1164"/>
          <w:tab w:val="left" w:pos="1165"/>
        </w:tabs>
        <w:spacing w:line="360" w:lineRule="auto"/>
        <w:ind w:firstLine="468"/>
        <w:jc w:val="left"/>
        <w:rPr>
          <w:rFonts w:hint="default" w:ascii="宋体" w:hAnsi="宋体" w:eastAsia="宋体" w:cs="宋体"/>
          <w:spacing w:val="-3"/>
          <w:sz w:val="24"/>
          <w:szCs w:val="24"/>
          <w:lang w:val="en-US" w:eastAsia="zh-CN"/>
        </w:rPr>
      </w:pPr>
      <w:r>
        <w:rPr>
          <w:rFonts w:hint="eastAsia" w:ascii="宋体" w:hAnsi="宋体" w:cs="宋体"/>
          <w:spacing w:val="-3"/>
          <w:sz w:val="24"/>
          <w:szCs w:val="24"/>
          <w:lang w:val="en-US" w:eastAsia="zh-CN"/>
        </w:rPr>
        <w:t>2.3滑台模组</w:t>
      </w:r>
    </w:p>
    <w:p w14:paraId="0265EBD4">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（1）</w:t>
      </w:r>
      <w:r>
        <w:rPr>
          <w:rFonts w:hint="eastAsia" w:ascii="宋体" w:hAnsi="宋体" w:eastAsia="宋体" w:cs="宋体"/>
          <w:spacing w:val="-3"/>
          <w:sz w:val="24"/>
          <w:szCs w:val="24"/>
          <w:lang w:val="en-US" w:eastAsia="zh-CN"/>
        </w:rPr>
        <w:t>滑台1.1m带电机(龙门X轴)</w:t>
      </w:r>
    </w:p>
    <w:p w14:paraId="225396AC">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重复定位精度为0.1mm，带刹车，行程为1100mm，电机功率不低于400W，品牌：麦科斯、鼎格自动化、THK</w:t>
      </w:r>
    </w:p>
    <w:p w14:paraId="4DF46ECA">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（2）</w:t>
      </w:r>
      <w:r>
        <w:rPr>
          <w:rFonts w:hint="eastAsia" w:ascii="宋体" w:hAnsi="宋体" w:eastAsia="宋体" w:cs="宋体"/>
          <w:spacing w:val="-3"/>
          <w:sz w:val="24"/>
          <w:szCs w:val="24"/>
          <w:lang w:val="en-US" w:eastAsia="zh-CN"/>
        </w:rPr>
        <w:t>滑台1.1m无电机(龙门X轴)</w:t>
      </w:r>
      <w:r>
        <w:rPr>
          <w:rFonts w:hint="eastAsia" w:ascii="宋体" w:hAnsi="宋体" w:eastAsia="宋体" w:cs="宋体"/>
          <w:spacing w:val="-3"/>
          <w:sz w:val="24"/>
          <w:szCs w:val="24"/>
          <w:lang w:val="en-US" w:eastAsia="zh-CN"/>
        </w:rPr>
        <w:tab/>
      </w:r>
    </w:p>
    <w:p w14:paraId="4BCA0540">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（3）</w:t>
      </w:r>
      <w:r>
        <w:rPr>
          <w:rFonts w:hint="eastAsia" w:ascii="宋体" w:hAnsi="宋体" w:eastAsia="宋体" w:cs="宋体"/>
          <w:spacing w:val="-3"/>
          <w:sz w:val="24"/>
          <w:szCs w:val="24"/>
          <w:lang w:val="en-US" w:eastAsia="zh-CN"/>
        </w:rPr>
        <w:t>滑台0.7m行程(龙门Y轴)</w:t>
      </w:r>
    </w:p>
    <w:p w14:paraId="6D1F0BED">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重复定位精度为0.02mm，带刹车，行程为700mm，电机功率不低于400W，品牌：麦科斯、鼎格自动化、THK</w:t>
      </w:r>
    </w:p>
    <w:p w14:paraId="2F99194C">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（4）</w:t>
      </w:r>
      <w:r>
        <w:rPr>
          <w:rFonts w:hint="eastAsia" w:ascii="宋体" w:hAnsi="宋体" w:eastAsia="宋体" w:cs="宋体"/>
          <w:spacing w:val="-3"/>
          <w:sz w:val="24"/>
          <w:szCs w:val="24"/>
          <w:lang w:val="en-US" w:eastAsia="zh-CN"/>
        </w:rPr>
        <w:t>滑台0.3m行程(龙门Z轴)</w:t>
      </w:r>
      <w:r>
        <w:rPr>
          <w:rFonts w:hint="eastAsia" w:ascii="宋体" w:hAnsi="宋体" w:eastAsia="宋体" w:cs="宋体"/>
          <w:spacing w:val="-3"/>
          <w:sz w:val="24"/>
          <w:szCs w:val="24"/>
          <w:lang w:val="en-US" w:eastAsia="zh-CN"/>
        </w:rPr>
        <w:tab/>
      </w:r>
    </w:p>
    <w:p w14:paraId="64A3F113">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重复定位精度为0.02mm，带刹车，行程为300mm，电机功率不低于100W，品牌：麦科斯、鼎格自动化、THK</w:t>
      </w:r>
    </w:p>
    <w:p w14:paraId="5B1C24E0">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2.4滑轨</w:t>
      </w:r>
    </w:p>
    <w:p w14:paraId="3EC0AE56">
      <w:pPr>
        <w:pStyle w:val="43"/>
        <w:tabs>
          <w:tab w:val="left" w:pos="1164"/>
          <w:tab w:val="left" w:pos="1165"/>
        </w:tabs>
        <w:spacing w:line="360" w:lineRule="auto"/>
        <w:ind w:firstLine="468"/>
        <w:jc w:val="left"/>
        <w:rPr>
          <w:rFonts w:hint="default" w:ascii="宋体" w:hAnsi="宋体" w:eastAsia="宋体" w:cs="宋体"/>
          <w:spacing w:val="-3"/>
          <w:sz w:val="24"/>
          <w:szCs w:val="24"/>
          <w:highlight w:val="none"/>
          <w:lang w:val="en-US" w:eastAsia="zh-CN"/>
        </w:rPr>
      </w:pPr>
      <w:r>
        <w:rPr>
          <w:rFonts w:hint="eastAsia" w:ascii="宋体" w:hAnsi="宋体" w:cs="宋体"/>
          <w:spacing w:val="-3"/>
          <w:sz w:val="24"/>
          <w:szCs w:val="24"/>
          <w:highlight w:val="none"/>
          <w:lang w:val="en-US" w:eastAsia="zh-CN"/>
        </w:rPr>
        <w:t>（1）</w:t>
      </w:r>
      <w:r>
        <w:rPr>
          <w:rFonts w:hint="eastAsia" w:ascii="宋体" w:hAnsi="宋体" w:eastAsia="宋体" w:cs="宋体"/>
          <w:spacing w:val="-3"/>
          <w:sz w:val="24"/>
          <w:szCs w:val="24"/>
          <w:highlight w:val="none"/>
          <w:lang w:val="en-US" w:eastAsia="zh-CN"/>
        </w:rPr>
        <w:t>磁耦气缸</w:t>
      </w:r>
      <w:r>
        <w:rPr>
          <w:rFonts w:hint="eastAsia" w:ascii="宋体" w:hAnsi="宋体" w:cs="宋体"/>
          <w:spacing w:val="-3"/>
          <w:sz w:val="24"/>
          <w:szCs w:val="24"/>
          <w:highlight w:val="none"/>
          <w:lang w:val="en-US" w:eastAsia="zh-CN"/>
        </w:rPr>
        <w:t>，有效行程800mm，推力不低于40kg</w:t>
      </w:r>
    </w:p>
    <w:p w14:paraId="2A9B26D5">
      <w:pPr>
        <w:pStyle w:val="43"/>
        <w:tabs>
          <w:tab w:val="left" w:pos="1164"/>
          <w:tab w:val="left" w:pos="1165"/>
        </w:tabs>
        <w:spacing w:line="360" w:lineRule="auto"/>
        <w:ind w:firstLine="468"/>
        <w:jc w:val="left"/>
        <w:rPr>
          <w:rFonts w:hint="eastAsia" w:ascii="宋体" w:hAnsi="宋体" w:cs="宋体"/>
          <w:spacing w:val="-3"/>
          <w:sz w:val="24"/>
          <w:szCs w:val="24"/>
          <w:highlight w:val="none"/>
          <w:lang w:val="en-US" w:eastAsia="zh-CN"/>
        </w:rPr>
      </w:pPr>
      <w:r>
        <w:rPr>
          <w:rFonts w:hint="eastAsia" w:ascii="宋体" w:hAnsi="宋体" w:cs="宋体"/>
          <w:spacing w:val="-3"/>
          <w:sz w:val="24"/>
          <w:szCs w:val="24"/>
          <w:highlight w:val="none"/>
          <w:lang w:val="en-US" w:eastAsia="zh-CN"/>
        </w:rPr>
        <w:t>（2）</w:t>
      </w:r>
      <w:r>
        <w:rPr>
          <w:rFonts w:hint="eastAsia" w:ascii="宋体" w:hAnsi="宋体" w:eastAsia="宋体" w:cs="宋体"/>
          <w:spacing w:val="-3"/>
          <w:sz w:val="24"/>
          <w:szCs w:val="24"/>
          <w:highlight w:val="none"/>
          <w:lang w:val="en-US" w:eastAsia="zh-CN"/>
        </w:rPr>
        <w:t>滑轨</w:t>
      </w:r>
      <w:r>
        <w:rPr>
          <w:rFonts w:hint="eastAsia" w:ascii="宋体" w:hAnsi="宋体" w:cs="宋体"/>
          <w:spacing w:val="-3"/>
          <w:sz w:val="24"/>
          <w:szCs w:val="24"/>
          <w:highlight w:val="none"/>
          <w:lang w:val="en-US" w:eastAsia="zh-CN"/>
        </w:rPr>
        <w:t>，长度1400mm，每条滑轨搭配3个滑块</w:t>
      </w:r>
    </w:p>
    <w:p w14:paraId="3DF35541">
      <w:pPr>
        <w:pStyle w:val="43"/>
        <w:tabs>
          <w:tab w:val="left" w:pos="1164"/>
          <w:tab w:val="left" w:pos="1165"/>
        </w:tabs>
        <w:spacing w:line="360" w:lineRule="auto"/>
        <w:ind w:firstLine="468"/>
        <w:jc w:val="left"/>
        <w:rPr>
          <w:rFonts w:hint="default" w:ascii="宋体" w:hAnsi="宋体" w:cs="宋体"/>
          <w:spacing w:val="-3"/>
          <w:sz w:val="24"/>
          <w:szCs w:val="24"/>
          <w:highlight w:val="none"/>
          <w:lang w:val="en-US" w:eastAsia="zh-CN"/>
        </w:rPr>
      </w:pPr>
      <w:r>
        <w:rPr>
          <w:rFonts w:hint="eastAsia" w:ascii="宋体" w:hAnsi="宋体" w:cs="宋体"/>
          <w:spacing w:val="-3"/>
          <w:sz w:val="24"/>
          <w:szCs w:val="24"/>
          <w:highlight w:val="none"/>
          <w:lang w:val="en-US" w:eastAsia="zh-CN"/>
        </w:rPr>
        <w:t>可选品牌：亚德客、SMC、FESTO</w:t>
      </w:r>
    </w:p>
    <w:p w14:paraId="2BEA640F">
      <w:pPr>
        <w:pStyle w:val="43"/>
        <w:tabs>
          <w:tab w:val="left" w:pos="1164"/>
          <w:tab w:val="left" w:pos="1165"/>
        </w:tabs>
        <w:spacing w:line="360" w:lineRule="auto"/>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2.5非标加工件</w:t>
      </w:r>
    </w:p>
    <w:p w14:paraId="23F6A55E">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（1）未注尺寸公差按 GB/T 1804-m（中等，最常用）</w:t>
      </w:r>
    </w:p>
    <w:p w14:paraId="7DFBCC15">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（2）未注形位公差按 GB/T 1184-K</w:t>
      </w:r>
    </w:p>
    <w:p w14:paraId="054A5D9D">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（3）导轨安装面平面度 ≤0.02 mm</w:t>
      </w:r>
    </w:p>
    <w:p w14:paraId="2DA1D1F8">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（4）各安装面垂直度、平行度 ≤0.02 mm</w:t>
      </w:r>
    </w:p>
    <w:p w14:paraId="2893D7C0">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（5）定位孔精度 H7</w:t>
      </w:r>
    </w:p>
    <w:p w14:paraId="61AFDD2F">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（6）关键配合面粗糙度 Ra 1.6，其余 Ra 3.2</w:t>
      </w:r>
    </w:p>
    <w:p w14:paraId="00032082">
      <w:pPr>
        <w:pStyle w:val="43"/>
        <w:tabs>
          <w:tab w:val="left" w:pos="1164"/>
          <w:tab w:val="left" w:pos="1165"/>
        </w:tabs>
        <w:spacing w:line="360" w:lineRule="auto"/>
        <w:ind w:firstLine="468"/>
        <w:jc w:val="left"/>
        <w:rPr>
          <w:rFonts w:hint="default" w:ascii="仿宋_GB2312" w:hAnsi="仿宋_GB2312" w:eastAsia="仿宋_GB2312" w:cs="仿宋_GB2312"/>
          <w:kern w:val="2"/>
          <w:sz w:val="24"/>
          <w:szCs w:val="28"/>
          <w:lang w:val="en-US" w:eastAsia="zh-CN" w:bidi="ar-SA"/>
        </w:rPr>
      </w:pPr>
      <w:r>
        <w:rPr>
          <w:rFonts w:hint="eastAsia" w:ascii="仿宋_GB2312" w:hAnsi="仿宋_GB2312" w:eastAsia="仿宋_GB2312" w:cs="仿宋_GB2312"/>
          <w:kern w:val="2"/>
          <w:sz w:val="24"/>
          <w:szCs w:val="28"/>
          <w:lang w:val="en-US" w:eastAsia="zh-CN" w:bidi="ar-SA"/>
        </w:rPr>
        <w:t>2.6</w:t>
      </w:r>
      <w:r>
        <w:rPr>
          <w:rFonts w:hint="eastAsia" w:ascii="宋体" w:hAnsi="宋体" w:eastAsia="宋体" w:cs="宋体"/>
          <w:spacing w:val="-3"/>
          <w:sz w:val="24"/>
          <w:szCs w:val="24"/>
          <w:lang w:val="en-US" w:eastAsia="zh-CN"/>
        </w:rPr>
        <w:t>铝型材</w:t>
      </w:r>
    </w:p>
    <w:p w14:paraId="7BA981C6">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（1）可选品牌：</w:t>
      </w:r>
      <w:r>
        <w:rPr>
          <w:rFonts w:hint="eastAsia" w:ascii="宋体" w:hAnsi="宋体" w:eastAsia="宋体" w:cs="宋体"/>
          <w:spacing w:val="-3"/>
          <w:sz w:val="24"/>
          <w:szCs w:val="24"/>
          <w:lang w:val="en-US" w:eastAsia="zh-CN"/>
        </w:rPr>
        <w:t>亚德客、MISUMI、南山铝业</w:t>
      </w:r>
    </w:p>
    <w:p w14:paraId="58D6984B">
      <w:pPr>
        <w:pStyle w:val="43"/>
        <w:tabs>
          <w:tab w:val="left" w:pos="1164"/>
          <w:tab w:val="left" w:pos="1165"/>
        </w:tabs>
        <w:spacing w:line="360" w:lineRule="auto"/>
        <w:ind w:firstLine="468"/>
        <w:jc w:val="left"/>
        <w:rPr>
          <w:rFonts w:hint="default"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2.</w:t>
      </w:r>
      <w:r>
        <w:rPr>
          <w:rFonts w:hint="eastAsia" w:ascii="宋体" w:hAnsi="宋体" w:cs="宋体"/>
          <w:spacing w:val="-3"/>
          <w:sz w:val="24"/>
          <w:szCs w:val="24"/>
          <w:lang w:val="en-US" w:eastAsia="zh-CN"/>
        </w:rPr>
        <w:t>7</w:t>
      </w:r>
      <w:r>
        <w:rPr>
          <w:rFonts w:hint="eastAsia" w:ascii="宋体" w:hAnsi="宋体" w:eastAsia="宋体" w:cs="宋体"/>
          <w:spacing w:val="-3"/>
          <w:sz w:val="24"/>
          <w:szCs w:val="24"/>
          <w:lang w:val="en-US" w:eastAsia="zh-CN"/>
        </w:rPr>
        <w:t>机器人</w:t>
      </w:r>
    </w:p>
    <w:p w14:paraId="75CEC56F">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eastAsia="宋体" w:cs="宋体"/>
          <w:spacing w:val="-3"/>
          <w:sz w:val="24"/>
          <w:szCs w:val="24"/>
          <w:lang w:val="en-US" w:eastAsia="zh-CN"/>
        </w:rPr>
        <w:t>最大负载6kg，重复定位精度 J1+J2: ±0.02mm, J3: ±0.01mm, J4: ±0.01°，最大臂展500mm，</w:t>
      </w:r>
      <w:r>
        <w:rPr>
          <w:rFonts w:hint="eastAsia" w:ascii="宋体" w:hAnsi="宋体" w:cs="宋体"/>
          <w:spacing w:val="-3"/>
          <w:sz w:val="24"/>
          <w:szCs w:val="24"/>
          <w:lang w:val="en-US" w:eastAsia="zh-CN"/>
        </w:rPr>
        <w:t>可选品牌：</w:t>
      </w:r>
      <w:r>
        <w:rPr>
          <w:rFonts w:hint="eastAsia" w:ascii="宋体" w:hAnsi="宋体" w:eastAsia="宋体" w:cs="宋体"/>
          <w:spacing w:val="-3"/>
          <w:sz w:val="24"/>
          <w:szCs w:val="24"/>
          <w:lang w:val="en-US" w:eastAsia="zh-CN"/>
        </w:rPr>
        <w:t>ESTUN、ABB、KUKA</w:t>
      </w:r>
    </w:p>
    <w:p w14:paraId="7B017B74">
      <w:pPr>
        <w:pStyle w:val="43"/>
        <w:tabs>
          <w:tab w:val="left" w:pos="1164"/>
          <w:tab w:val="left" w:pos="1165"/>
        </w:tabs>
        <w:spacing w:line="360" w:lineRule="auto"/>
        <w:ind w:firstLine="468"/>
        <w:jc w:val="left"/>
        <w:rPr>
          <w:rFonts w:hint="eastAsia" w:ascii="宋体" w:hAnsi="宋体" w:cs="宋体"/>
          <w:spacing w:val="-3"/>
          <w:sz w:val="24"/>
          <w:szCs w:val="24"/>
          <w:lang w:val="en-US" w:eastAsia="zh-CN"/>
        </w:rPr>
      </w:pPr>
      <w:r>
        <w:rPr>
          <w:rFonts w:hint="eastAsia" w:ascii="宋体" w:hAnsi="宋体" w:cs="宋体"/>
          <w:spacing w:val="-3"/>
          <w:sz w:val="24"/>
          <w:szCs w:val="24"/>
          <w:lang w:val="en-US" w:eastAsia="zh-CN"/>
        </w:rPr>
        <w:t>2.8 PLC</w:t>
      </w:r>
    </w:p>
    <w:p w14:paraId="4BEE77A5">
      <w:pPr>
        <w:pStyle w:val="43"/>
        <w:tabs>
          <w:tab w:val="left" w:pos="1164"/>
          <w:tab w:val="left" w:pos="1165"/>
        </w:tabs>
        <w:spacing w:line="360" w:lineRule="auto"/>
        <w:ind w:firstLine="468"/>
        <w:jc w:val="left"/>
        <w:rPr>
          <w:rFonts w:hint="eastAsia" w:ascii="宋体" w:hAnsi="宋体" w:eastAsia="宋体" w:cs="宋体"/>
          <w:spacing w:val="-3"/>
          <w:sz w:val="24"/>
          <w:szCs w:val="24"/>
          <w:lang w:val="en-US" w:eastAsia="zh-CN"/>
        </w:rPr>
      </w:pPr>
      <w:r>
        <w:rPr>
          <w:rFonts w:hint="eastAsia" w:ascii="宋体" w:hAnsi="宋体" w:cs="宋体"/>
          <w:spacing w:val="-3"/>
          <w:sz w:val="24"/>
          <w:szCs w:val="24"/>
          <w:lang w:val="en-US" w:eastAsia="zh-CN"/>
        </w:rPr>
        <w:t>(1)主机</w:t>
      </w:r>
      <w:r>
        <w:rPr>
          <w:rFonts w:hint="eastAsia" w:ascii="宋体" w:hAnsi="宋体" w:eastAsia="宋体" w:cs="宋体"/>
          <w:spacing w:val="-3"/>
          <w:sz w:val="24"/>
          <w:szCs w:val="24"/>
          <w:lang w:val="en-US" w:eastAsia="zh-CN"/>
        </w:rPr>
        <w:t>支持 RS232&amp;485通讯⼝、 Ethernet通讯，支持4路100KHz脉冲输出。品牌：信捷、西门子、三菱</w:t>
      </w:r>
    </w:p>
    <w:p w14:paraId="312B1C48">
      <w:pPr>
        <w:pStyle w:val="43"/>
        <w:tabs>
          <w:tab w:val="left" w:pos="1164"/>
          <w:tab w:val="left" w:pos="1165"/>
        </w:tabs>
        <w:spacing w:line="360" w:lineRule="auto"/>
        <w:jc w:val="left"/>
        <w:rPr>
          <w:rFonts w:hint="eastAsia" w:ascii="宋体" w:hAnsi="宋体" w:eastAsia="宋体" w:cs="宋体"/>
          <w:spacing w:val="-3"/>
          <w:sz w:val="24"/>
          <w:szCs w:val="24"/>
        </w:rPr>
      </w:pPr>
      <w:r>
        <w:rPr>
          <w:rFonts w:hint="eastAsia" w:ascii="宋体" w:hAnsi="宋体" w:eastAsia="宋体" w:cs="宋体"/>
          <w:spacing w:val="-3"/>
          <w:sz w:val="24"/>
          <w:szCs w:val="24"/>
        </w:rPr>
        <w:t>2.</w:t>
      </w:r>
      <w:r>
        <w:rPr>
          <w:rFonts w:hint="eastAsia" w:ascii="宋体" w:hAnsi="宋体" w:cs="宋体"/>
          <w:spacing w:val="-3"/>
          <w:sz w:val="24"/>
          <w:szCs w:val="24"/>
          <w:lang w:val="en-US" w:eastAsia="zh-CN"/>
        </w:rPr>
        <w:t>9</w:t>
      </w:r>
      <w:r>
        <w:rPr>
          <w:rFonts w:hint="eastAsia" w:ascii="宋体" w:hAnsi="宋体" w:eastAsia="宋体" w:cs="宋体"/>
          <w:spacing w:val="-3"/>
          <w:sz w:val="24"/>
          <w:szCs w:val="24"/>
        </w:rPr>
        <w:t>图纸部分</w:t>
      </w:r>
    </w:p>
    <w:p w14:paraId="5DE8B32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投标方提供的图纸应包括：标准件、成品件和附件的图册和样本以及操作维护说明书等。</w:t>
      </w:r>
    </w:p>
    <w:p w14:paraId="432D8D1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3、双方职责</w:t>
      </w:r>
    </w:p>
    <w:p w14:paraId="458ADF2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双方的具体职责如下：</w:t>
      </w:r>
    </w:p>
    <w:p w14:paraId="7BA0E58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3.1招标方职责：</w:t>
      </w:r>
    </w:p>
    <w:p w14:paraId="30DBED8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1）向投标方提供本项目全套正式设计文件，包括但不限于焊装夹具、非标设备的 3D 数模、2D 加工图纸、装配图纸、气路图纸、外购件采购清单、技术要求、验收标准等加工采购所需的全部资料和配合条件。</w:t>
      </w:r>
    </w:p>
    <w:p w14:paraId="7E6962F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2）产品资料：车身三维数模、车身工艺流程图。</w:t>
      </w:r>
    </w:p>
    <w:p w14:paraId="1DA5F03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（2）招标方应完成的内容：</w:t>
      </w:r>
    </w:p>
    <w:p w14:paraId="6ECC5DCB">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1）负责本项目全套工艺方案、焊装</w:t>
      </w:r>
      <w:r>
        <w:rPr>
          <w:rFonts w:hint="eastAsia" w:ascii="宋体" w:hAnsi="宋体" w:cs="宋体"/>
          <w:spacing w:val="-3"/>
          <w:sz w:val="24"/>
          <w:szCs w:val="24"/>
          <w:lang w:val="en-US" w:eastAsia="zh-CN"/>
        </w:rPr>
        <w:t>设备</w:t>
      </w:r>
      <w:r>
        <w:rPr>
          <w:rFonts w:hint="eastAsia" w:ascii="宋体" w:hAnsi="宋体" w:eastAsia="宋体" w:cs="宋体"/>
          <w:spacing w:val="-3"/>
          <w:sz w:val="24"/>
          <w:szCs w:val="24"/>
        </w:rPr>
        <w:t>、生产线及相关设备设施的设计开发工作，对设计方案的合理性、可用性、合规性全面负责。</w:t>
      </w:r>
    </w:p>
    <w:p w14:paraId="40C313E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3.2投标方职责：</w:t>
      </w:r>
    </w:p>
    <w:p w14:paraId="66246AE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（1）严格按照招标方最终会签确认的设计图纸、采购清单、技术要求，完成本协议所列非标件的加工制造、标准件 / 外购件的采购供货工作，对所交付货物的加工质量、采购合规性、完整性、交付周期负责。并承担全部货物及零部件至招标方工厂的运输工作及相关全部费用。</w:t>
      </w:r>
    </w:p>
    <w:p w14:paraId="6976C49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（2）在合同签署 10 个工作日内，完成招标方提供的加工图纸、采购清单的可行性复核，配合招标方完成技术会签工作。</w:t>
      </w:r>
    </w:p>
    <w:p w14:paraId="2B91013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（3）对交付的货物及配套技术资料的完整性、准确性、一致性负责。所有交付的技术资料采用中文文本，纸质资料和光盘 / U 盘各两套，包括但不限于非标件加工精度检测报告、热处理报告、外购件原厂合格证明、原厂技术资料、质保文件、装箱清单等。</w:t>
      </w:r>
    </w:p>
    <w:p w14:paraId="51CA5E5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（4）对招标方提供的技术资料（产品图、数模、标准、工艺、设计图纸、商业信息等）负有保密义务，未经招标方书面许可，不得向任何第三方泄露、转让或用于本项目以外的其他用途。</w:t>
      </w:r>
    </w:p>
    <w:p w14:paraId="1AE3F7C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（5）配合招标方完成货物到货验收、预验收、终验收相关工作，按招标方要求提供货物相关的技术支持、质量证明文件。</w:t>
      </w:r>
    </w:p>
    <w:p w14:paraId="41BD8DA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（6）严格按照招标方确认的项目节点进度计划执行加工及采购工作，每周将进度执行情况用电子文档方式通报招标方。招标方有权不定期对投标方工作进展情况进行监督核查，投标方应无条件给予配合。</w:t>
      </w:r>
    </w:p>
    <w:p w14:paraId="339810E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（7）对交付货物的质量承担质保责任，在质保期内，对因加工、采购质量问题导致的故障，需按招标方要求提供免费维修、更换服务及相关技术支持。</w:t>
      </w:r>
    </w:p>
    <w:p w14:paraId="6770A141">
      <w:pPr>
        <w:pStyle w:val="43"/>
        <w:tabs>
          <w:tab w:val="left" w:pos="1164"/>
          <w:tab w:val="left" w:pos="1165"/>
        </w:tabs>
        <w:spacing w:line="360" w:lineRule="auto"/>
        <w:jc w:val="left"/>
        <w:rPr>
          <w:rFonts w:hint="eastAsia" w:ascii="宋体" w:hAnsi="宋体" w:eastAsia="宋体" w:cs="宋体"/>
          <w:spacing w:val="-3"/>
          <w:sz w:val="24"/>
          <w:szCs w:val="24"/>
        </w:rPr>
      </w:pPr>
      <w:r>
        <w:rPr>
          <w:rFonts w:hint="eastAsia" w:ascii="宋体" w:hAnsi="宋体" w:eastAsia="宋体" w:cs="宋体"/>
          <w:spacing w:val="-3"/>
          <w:sz w:val="24"/>
          <w:szCs w:val="24"/>
        </w:rPr>
        <w:t>4、</w:t>
      </w:r>
      <w:r>
        <w:rPr>
          <w:rFonts w:hint="eastAsia" w:ascii="宋体" w:hAnsi="宋体" w:cs="宋体"/>
          <w:spacing w:val="-3"/>
          <w:sz w:val="24"/>
          <w:szCs w:val="24"/>
          <w:lang w:val="en-US" w:eastAsia="zh-CN"/>
        </w:rPr>
        <w:t>非标加工件</w:t>
      </w:r>
      <w:r>
        <w:rPr>
          <w:rFonts w:hint="eastAsia" w:ascii="宋体" w:hAnsi="宋体" w:eastAsia="宋体" w:cs="宋体"/>
          <w:spacing w:val="-3"/>
          <w:sz w:val="24"/>
          <w:szCs w:val="24"/>
        </w:rPr>
        <w:t>的制造细节要求</w:t>
      </w:r>
    </w:p>
    <w:p w14:paraId="66E71DB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4.1设计技术要求</w:t>
      </w:r>
    </w:p>
    <w:p w14:paraId="69564C9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本条款为招标方开展设计工作需遵循的技术准则，招标方对设计文件的完整性、准确性、合规性、适用性全面负责；投标方需严格按照招标方最终会签确认的设计图纸、本条款技术要求开展加工制造及采购工作，不得擅自变更设计参数及技术要求。</w:t>
      </w:r>
    </w:p>
    <w:p w14:paraId="152FE04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4.2制造的技术要求</w:t>
      </w:r>
    </w:p>
    <w:p w14:paraId="1462E5F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投标方需严格按照招标方提供的正式加工图纸、本条款技术要求，完成所有非标件的加工制造工作，对加工质量、尺寸精度、材料性能、交付周期全面负责，所有加工工序、材料选型、表面处理、精度要求必须与图纸及本条款要求完全一致，未经招标方书面许可，不得擅自变更。</w:t>
      </w:r>
    </w:p>
    <w:p w14:paraId="1BB65C1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（1）所有焊接件必须无虚焊、脱焊，重要部位采用连续焊缝，热处理消除应力后方可进行机加工。</w:t>
      </w:r>
    </w:p>
    <w:p w14:paraId="7BFAEB2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2</w:t>
      </w:r>
      <w:r>
        <w:rPr>
          <w:rFonts w:hint="eastAsia" w:ascii="宋体" w:hAnsi="宋体" w:eastAsia="宋体" w:cs="宋体"/>
          <w:spacing w:val="-3"/>
          <w:sz w:val="24"/>
          <w:szCs w:val="24"/>
        </w:rPr>
        <w:t>）</w:t>
      </w:r>
      <w:r>
        <w:rPr>
          <w:rFonts w:hint="eastAsia" w:ascii="宋体" w:hAnsi="宋体" w:cs="宋体"/>
          <w:spacing w:val="-3"/>
          <w:sz w:val="24"/>
          <w:szCs w:val="24"/>
          <w:lang w:val="en-US" w:eastAsia="zh-CN"/>
        </w:rPr>
        <w:t>设备</w:t>
      </w:r>
      <w:r>
        <w:rPr>
          <w:rFonts w:hint="eastAsia" w:ascii="宋体" w:hAnsi="宋体" w:eastAsia="宋体" w:cs="宋体"/>
          <w:spacing w:val="-3"/>
          <w:sz w:val="24"/>
          <w:szCs w:val="24"/>
        </w:rPr>
        <w:t>颜色按招标方提供的色卡和标准执行。</w:t>
      </w:r>
    </w:p>
    <w:p w14:paraId="7819B248">
      <w:pPr>
        <w:pStyle w:val="43"/>
        <w:tabs>
          <w:tab w:val="left" w:pos="1164"/>
          <w:tab w:val="left" w:pos="1165"/>
        </w:tabs>
        <w:spacing w:line="360" w:lineRule="auto"/>
        <w:ind w:firstLine="468"/>
        <w:jc w:val="left"/>
        <w:rPr>
          <w:rFonts w:hint="default" w:ascii="宋体" w:hAnsi="宋体" w:eastAsia="宋体" w:cs="宋体"/>
          <w:spacing w:val="-3"/>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cs="宋体"/>
          <w:spacing w:val="-3"/>
          <w:sz w:val="24"/>
          <w:szCs w:val="24"/>
          <w:lang w:val="en-US" w:eastAsia="zh-CN"/>
        </w:rPr>
        <w:t>桌</w:t>
      </w:r>
      <w:r>
        <w:rPr>
          <w:rFonts w:hint="eastAsia" w:ascii="宋体" w:hAnsi="宋体" w:eastAsia="宋体" w:cs="宋体"/>
          <w:spacing w:val="-3"/>
          <w:sz w:val="24"/>
          <w:szCs w:val="24"/>
        </w:rPr>
        <w:t>面采用 45# 钢</w:t>
      </w:r>
      <w:r>
        <w:rPr>
          <w:rFonts w:hint="eastAsia" w:ascii="宋体" w:hAnsi="宋体" w:cs="宋体"/>
          <w:spacing w:val="-3"/>
          <w:sz w:val="24"/>
          <w:szCs w:val="24"/>
          <w:lang w:eastAsia="zh-CN"/>
        </w:rPr>
        <w:t>，</w:t>
      </w:r>
      <w:r>
        <w:rPr>
          <w:rFonts w:hint="eastAsia" w:ascii="宋体" w:hAnsi="宋体" w:cs="宋体"/>
          <w:spacing w:val="-3"/>
          <w:sz w:val="24"/>
          <w:szCs w:val="24"/>
          <w:lang w:val="en-US" w:eastAsia="zh-CN"/>
        </w:rPr>
        <w:t>尺寸为1700*1800mm</w:t>
      </w:r>
      <w:r>
        <w:rPr>
          <w:rFonts w:hint="eastAsia" w:ascii="宋体" w:hAnsi="宋体" w:eastAsia="宋体" w:cs="宋体"/>
          <w:spacing w:val="-3"/>
          <w:sz w:val="24"/>
          <w:szCs w:val="24"/>
        </w:rPr>
        <w:t>，</w:t>
      </w:r>
      <w:r>
        <w:rPr>
          <w:rFonts w:hint="eastAsia" w:ascii="宋体" w:hAnsi="宋体" w:cs="宋体"/>
          <w:spacing w:val="-3"/>
          <w:sz w:val="24"/>
          <w:szCs w:val="24"/>
          <w:lang w:val="en-US" w:eastAsia="zh-CN"/>
        </w:rPr>
        <w:t>型</w:t>
      </w:r>
      <w:r>
        <w:rPr>
          <w:rFonts w:hint="eastAsia" w:ascii="宋体" w:hAnsi="宋体" w:eastAsia="宋体" w:cs="宋体"/>
          <w:spacing w:val="-3"/>
          <w:sz w:val="24"/>
          <w:szCs w:val="24"/>
        </w:rPr>
        <w:t>块采用 Q235-A 钢，易磨损部位（如定位销、频繁摩擦面等）应做表面硬化处理。基准面要求防锈处理，可能影响产品外观质量的定位支撑面应采用耐磨软支撑材料。</w:t>
      </w:r>
      <w:r>
        <w:rPr>
          <w:rFonts w:hint="eastAsia" w:ascii="宋体" w:hAnsi="宋体" w:cs="宋体"/>
          <w:spacing w:val="-3"/>
          <w:sz w:val="24"/>
          <w:szCs w:val="24"/>
          <w:lang w:val="en-US" w:eastAsia="zh-CN"/>
        </w:rPr>
        <w:t>桌面下方设有储物柜，尺寸为1760*1660**660mm。</w:t>
      </w:r>
    </w:p>
    <w:p w14:paraId="50F9E21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）软管采用双层阻燃软管，生产线上所有夹具气路接头要求采用快换接头方式（采用 SMC 气管接头），气管应有较好的保护。</w:t>
      </w:r>
    </w:p>
    <w:p w14:paraId="305916A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cs="宋体"/>
          <w:spacing w:val="-3"/>
          <w:sz w:val="24"/>
          <w:szCs w:val="24"/>
          <w:lang w:val="en-US" w:eastAsia="zh-CN"/>
        </w:rPr>
        <w:t>非标加工件</w:t>
      </w:r>
      <w:r>
        <w:rPr>
          <w:rFonts w:hint="eastAsia" w:ascii="宋体" w:hAnsi="宋体" w:eastAsia="宋体" w:cs="宋体"/>
          <w:spacing w:val="-3"/>
          <w:sz w:val="24"/>
          <w:szCs w:val="24"/>
        </w:rPr>
        <w:t>公差范围。1） 底板的精度：平面度：加工完成后 0.1mm×L/1000mm（L 是底板的对角线长度）坐标线刻度公差：±0.05mm；表面粗糙度：Ra3.2。2）定位面和定位销的精度：主定位面形状公差：±0.10mm，定位面粗糙度 Ra 3.2；定位销的外径公差：直径（公称直径 - 0.2mm）±0.05mm，粗糙度为 Ra 1.6；定位销位置公差：±0.1mm；定位销与定位面的位置公差：±0.2mm；定位面的位置公差为 ±0.3mm，表面硬度大于 HRC45。3）调整垫片的规格为 0.2mm、0.3mm、0.5mm 和 1.0mm 等几种，按招标方图纸要求加工供货。</w:t>
      </w:r>
    </w:p>
    <w:p w14:paraId="2AC97E2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5、工艺及技术会签</w:t>
      </w:r>
    </w:p>
    <w:p w14:paraId="0DE716C1">
      <w:pPr>
        <w:pStyle w:val="43"/>
        <w:tabs>
          <w:tab w:val="left" w:pos="1164"/>
          <w:tab w:val="left" w:pos="1165"/>
        </w:tabs>
        <w:spacing w:line="360" w:lineRule="auto"/>
        <w:ind w:firstLine="468"/>
        <w:jc w:val="left"/>
        <w:rPr>
          <w:rFonts w:hint="eastAsia" w:ascii="宋体" w:hAnsi="宋体" w:eastAsia="宋体" w:cs="宋体"/>
          <w:spacing w:val="-3"/>
          <w:sz w:val="24"/>
          <w:szCs w:val="24"/>
        </w:rPr>
      </w:pPr>
      <w:bookmarkStart w:id="66" w:name="_Toc53110723"/>
      <w:r>
        <w:rPr>
          <w:rFonts w:hint="eastAsia" w:ascii="宋体" w:hAnsi="宋体" w:eastAsia="宋体" w:cs="宋体"/>
          <w:spacing w:val="-3"/>
          <w:sz w:val="24"/>
          <w:szCs w:val="24"/>
        </w:rPr>
        <w:t>方案设计、图纸输出均由招标方完成，招标方对工艺方案、设计图纸的合规性、合理性、准确性全面负责；投标方应对招标方提供的图纸、采购清单进行加工及采购可行性复核，配合完成会签工作。在设计审批阶段，双方对相关技术问题作进一步深入沟通和确认；招标方输出的方案图、设备图纸、安装图、加工图、外购件清单及其它技术文件，须经双方签字认可后，投标方才能开展加工制造及采购工作；招标方对设备设计的正确性全面负责</w:t>
      </w:r>
    </w:p>
    <w:p w14:paraId="7E8E802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（1）工艺会签地点：招标方工作单位参加人员：双方人员会签内容：招标方完成工艺方案输出，投标方复核确认设计图纸、采购清单等，确认加工及采购可行性，满足要求后双方会签，方可生效。</w:t>
      </w:r>
    </w:p>
    <w:p w14:paraId="08E9BCD1">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设计会签地点：招标方工作单位参加人员：双方人员会签内容：招标方输出设计方案、总装配图、零件加工图、施工图、外购件清单，投标方复核确认加工制造、采购供货的可行性，确认外购件品牌、型号、参数是否满足技术协议和合同的要求，双方会签确认后方可生效。</w:t>
      </w:r>
    </w:p>
    <w:p w14:paraId="568D68F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6、项目</w:t>
      </w:r>
      <w:r>
        <w:rPr>
          <w:rFonts w:hint="eastAsia" w:ascii="宋体" w:hAnsi="宋体" w:eastAsia="宋体" w:cs="宋体"/>
          <w:spacing w:val="-3"/>
          <w:sz w:val="24"/>
          <w:szCs w:val="24"/>
          <w:lang w:val="en-US" w:eastAsia="zh-CN"/>
        </w:rPr>
        <w:t>计划</w:t>
      </w:r>
      <w:r>
        <w:rPr>
          <w:rFonts w:hint="eastAsia" w:ascii="宋体" w:hAnsi="宋体" w:eastAsia="宋体" w:cs="宋体"/>
          <w:spacing w:val="-3"/>
          <w:sz w:val="24"/>
          <w:szCs w:val="24"/>
        </w:rPr>
        <w:t>施工周期</w:t>
      </w:r>
    </w:p>
    <w:tbl>
      <w:tblPr>
        <w:tblStyle w:val="31"/>
        <w:tblW w:w="8316" w:type="dxa"/>
        <w:tblInd w:w="518"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915"/>
        <w:gridCol w:w="2600"/>
        <w:gridCol w:w="1950"/>
      </w:tblGrid>
      <w:tr w14:paraId="0189DC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851" w:type="dxa"/>
            <w:tcBorders>
              <w:top w:val="single" w:color="auto" w:sz="4" w:space="0"/>
              <w:left w:val="single" w:color="auto" w:sz="4" w:space="0"/>
            </w:tcBorders>
          </w:tcPr>
          <w:p w14:paraId="0A01EBF6">
            <w:pPr>
              <w:widowControl/>
              <w:jc w:val="center"/>
              <w:rPr>
                <w:rFonts w:hint="eastAsia" w:ascii="宋体" w:hAnsi="宋体" w:eastAsia="宋体" w:cs="Arial"/>
                <w:szCs w:val="21"/>
                <w:highlight w:val="none"/>
              </w:rPr>
            </w:pPr>
            <w:r>
              <w:rPr>
                <w:rFonts w:hint="eastAsia" w:ascii="宋体" w:hAnsi="宋体" w:eastAsia="宋体" w:cs="Arial"/>
                <w:szCs w:val="21"/>
                <w:highlight w:val="none"/>
              </w:rPr>
              <w:t>序号</w:t>
            </w:r>
          </w:p>
        </w:tc>
        <w:tc>
          <w:tcPr>
            <w:tcW w:w="2915" w:type="dxa"/>
            <w:tcBorders>
              <w:top w:val="single" w:color="auto" w:sz="4" w:space="0"/>
            </w:tcBorders>
            <w:shd w:val="clear" w:color="auto" w:fill="auto"/>
            <w:vAlign w:val="center"/>
          </w:tcPr>
          <w:p w14:paraId="06C5F05F">
            <w:pPr>
              <w:widowControl/>
              <w:jc w:val="center"/>
              <w:rPr>
                <w:rFonts w:hint="eastAsia" w:ascii="宋体" w:hAnsi="宋体" w:eastAsia="宋体" w:cs="Arial"/>
                <w:szCs w:val="21"/>
                <w:highlight w:val="none"/>
              </w:rPr>
            </w:pPr>
            <w:r>
              <w:rPr>
                <w:rFonts w:hint="eastAsia" w:ascii="宋体" w:hAnsi="宋体" w:eastAsia="宋体" w:cs="Arial"/>
                <w:szCs w:val="21"/>
                <w:highlight w:val="none"/>
              </w:rPr>
              <w:t>任务名称</w:t>
            </w:r>
          </w:p>
        </w:tc>
        <w:tc>
          <w:tcPr>
            <w:tcW w:w="2600" w:type="dxa"/>
            <w:tcBorders>
              <w:top w:val="single" w:color="auto" w:sz="4" w:space="0"/>
            </w:tcBorders>
            <w:vAlign w:val="center"/>
          </w:tcPr>
          <w:p w14:paraId="72A3223C">
            <w:pPr>
              <w:widowControl/>
              <w:jc w:val="center"/>
              <w:rPr>
                <w:rFonts w:hint="eastAsia" w:ascii="宋体" w:hAnsi="宋体" w:eastAsia="宋体" w:cs="Arial"/>
                <w:szCs w:val="21"/>
                <w:highlight w:val="none"/>
              </w:rPr>
            </w:pPr>
            <w:r>
              <w:rPr>
                <w:rFonts w:hint="eastAsia" w:ascii="宋体" w:hAnsi="宋体" w:eastAsia="宋体" w:cs="Arial"/>
                <w:szCs w:val="21"/>
                <w:highlight w:val="none"/>
              </w:rPr>
              <w:t>计划完成时间</w:t>
            </w:r>
          </w:p>
        </w:tc>
        <w:tc>
          <w:tcPr>
            <w:tcW w:w="1950" w:type="dxa"/>
            <w:tcBorders>
              <w:top w:val="single" w:color="auto" w:sz="4" w:space="0"/>
              <w:right w:val="single" w:color="auto" w:sz="4" w:space="0"/>
            </w:tcBorders>
            <w:vAlign w:val="center"/>
          </w:tcPr>
          <w:p w14:paraId="77653AB3">
            <w:pPr>
              <w:widowControl/>
              <w:jc w:val="center"/>
              <w:rPr>
                <w:rFonts w:hint="eastAsia" w:ascii="宋体" w:hAnsi="宋体" w:eastAsia="宋体" w:cs="Arial"/>
                <w:szCs w:val="21"/>
                <w:highlight w:val="none"/>
              </w:rPr>
            </w:pPr>
            <w:r>
              <w:rPr>
                <w:rFonts w:hint="eastAsia" w:ascii="宋体" w:hAnsi="宋体" w:eastAsia="宋体" w:cs="Arial"/>
                <w:szCs w:val="21"/>
                <w:highlight w:val="none"/>
              </w:rPr>
              <w:t>备注</w:t>
            </w:r>
          </w:p>
        </w:tc>
      </w:tr>
      <w:tr w14:paraId="0D61E9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851" w:type="dxa"/>
            <w:tcBorders>
              <w:left w:val="single" w:color="auto" w:sz="4" w:space="0"/>
            </w:tcBorders>
            <w:vAlign w:val="center"/>
          </w:tcPr>
          <w:p w14:paraId="20D2E9B4">
            <w:pPr>
              <w:widowControl/>
              <w:jc w:val="center"/>
              <w:rPr>
                <w:rFonts w:hint="eastAsia" w:ascii="宋体" w:hAnsi="宋体" w:eastAsia="宋体" w:cs="Arial"/>
                <w:szCs w:val="21"/>
                <w:highlight w:val="none"/>
              </w:rPr>
            </w:pPr>
            <w:r>
              <w:rPr>
                <w:rFonts w:hint="eastAsia" w:ascii="宋体" w:hAnsi="宋体" w:eastAsia="宋体" w:cs="Arial"/>
                <w:szCs w:val="21"/>
                <w:highlight w:val="none"/>
              </w:rPr>
              <w:t>1</w:t>
            </w:r>
          </w:p>
        </w:tc>
        <w:tc>
          <w:tcPr>
            <w:tcW w:w="2915" w:type="dxa"/>
            <w:shd w:val="clear" w:color="auto" w:fill="auto"/>
            <w:vAlign w:val="center"/>
          </w:tcPr>
          <w:p w14:paraId="565C5430">
            <w:pPr>
              <w:widowControl/>
              <w:jc w:val="center"/>
              <w:rPr>
                <w:rFonts w:hint="eastAsia" w:ascii="宋体" w:hAnsi="宋体" w:eastAsia="宋体" w:cs="Arial"/>
                <w:szCs w:val="21"/>
                <w:highlight w:val="none"/>
              </w:rPr>
            </w:pPr>
            <w:r>
              <w:rPr>
                <w:rFonts w:hint="eastAsia" w:ascii="宋体" w:hAnsi="宋体" w:eastAsia="宋体" w:cs="Arial"/>
                <w:szCs w:val="21"/>
                <w:highlight w:val="none"/>
              </w:rPr>
              <w:t>合同签订（含技术协议）</w:t>
            </w:r>
          </w:p>
        </w:tc>
        <w:tc>
          <w:tcPr>
            <w:tcW w:w="2600" w:type="dxa"/>
            <w:vAlign w:val="center"/>
          </w:tcPr>
          <w:p w14:paraId="2F16AAD0">
            <w:pPr>
              <w:widowControl/>
              <w:jc w:val="center"/>
              <w:rPr>
                <w:rFonts w:hint="eastAsia" w:ascii="宋体" w:hAnsi="宋体" w:eastAsia="宋体" w:cs="Arial"/>
                <w:color w:val="000000" w:themeColor="text1"/>
                <w:szCs w:val="21"/>
                <w:highlight w:val="none"/>
                <w14:textFill>
                  <w14:solidFill>
                    <w14:schemeClr w14:val="tx1"/>
                  </w14:solidFill>
                </w14:textFill>
              </w:rPr>
            </w:pPr>
            <w:r>
              <w:rPr>
                <w:rFonts w:hint="eastAsia" w:ascii="宋体" w:hAnsi="宋体" w:eastAsia="宋体" w:cs="Arial"/>
                <w:color w:val="000000" w:themeColor="text1"/>
                <w:szCs w:val="21"/>
                <w:highlight w:val="none"/>
                <w14:textFill>
                  <w14:solidFill>
                    <w14:schemeClr w14:val="tx1"/>
                  </w14:solidFill>
                </w14:textFill>
              </w:rPr>
              <w:t>中标通知后</w:t>
            </w:r>
            <w:r>
              <w:rPr>
                <w:rFonts w:hint="eastAsia" w:ascii="宋体" w:hAnsi="宋体" w:cs="Arial"/>
                <w:color w:val="000000" w:themeColor="text1"/>
                <w:szCs w:val="21"/>
                <w:highlight w:val="none"/>
                <w:lang w:val="en-US" w:eastAsia="zh-CN"/>
                <w14:textFill>
                  <w14:solidFill>
                    <w14:schemeClr w14:val="tx1"/>
                  </w14:solidFill>
                </w14:textFill>
              </w:rPr>
              <w:t>1</w:t>
            </w:r>
            <w:r>
              <w:rPr>
                <w:rFonts w:hint="eastAsia" w:ascii="宋体" w:hAnsi="宋体" w:eastAsia="宋体" w:cs="Arial"/>
                <w:color w:val="000000" w:themeColor="text1"/>
                <w:szCs w:val="21"/>
                <w:highlight w:val="none"/>
                <w14:textFill>
                  <w14:solidFill>
                    <w14:schemeClr w14:val="tx1"/>
                  </w14:solidFill>
                </w14:textFill>
              </w:rPr>
              <w:t>周内</w:t>
            </w:r>
          </w:p>
        </w:tc>
        <w:tc>
          <w:tcPr>
            <w:tcW w:w="1950" w:type="dxa"/>
            <w:tcBorders>
              <w:right w:val="single" w:color="auto" w:sz="4" w:space="0"/>
            </w:tcBorders>
            <w:vAlign w:val="center"/>
          </w:tcPr>
          <w:p w14:paraId="13A3C8FA">
            <w:pPr>
              <w:widowControl/>
              <w:jc w:val="center"/>
              <w:rPr>
                <w:rFonts w:hint="eastAsia" w:ascii="宋体" w:hAnsi="宋体" w:eastAsia="宋体" w:cs="Arial"/>
                <w:szCs w:val="21"/>
                <w:highlight w:val="none"/>
              </w:rPr>
            </w:pPr>
          </w:p>
        </w:tc>
      </w:tr>
      <w:tr w14:paraId="7033DB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851" w:type="dxa"/>
            <w:tcBorders>
              <w:left w:val="single" w:color="auto" w:sz="4" w:space="0"/>
            </w:tcBorders>
            <w:vAlign w:val="center"/>
          </w:tcPr>
          <w:p w14:paraId="0042D774">
            <w:pPr>
              <w:widowControl/>
              <w:jc w:val="center"/>
              <w:rPr>
                <w:rFonts w:hint="eastAsia" w:ascii="宋体" w:hAnsi="宋体" w:eastAsia="宋体" w:cs="Arial"/>
                <w:szCs w:val="21"/>
                <w:highlight w:val="none"/>
              </w:rPr>
            </w:pPr>
            <w:r>
              <w:rPr>
                <w:rFonts w:hint="eastAsia" w:ascii="宋体" w:hAnsi="宋体" w:eastAsia="宋体" w:cs="Arial"/>
                <w:szCs w:val="21"/>
                <w:highlight w:val="none"/>
              </w:rPr>
              <w:t>2</w:t>
            </w:r>
          </w:p>
        </w:tc>
        <w:tc>
          <w:tcPr>
            <w:tcW w:w="2915" w:type="dxa"/>
            <w:shd w:val="clear" w:color="auto" w:fill="auto"/>
            <w:vAlign w:val="center"/>
          </w:tcPr>
          <w:p w14:paraId="1F502CDF">
            <w:pPr>
              <w:widowControl/>
              <w:jc w:val="center"/>
              <w:rPr>
                <w:rFonts w:hint="eastAsia" w:ascii="宋体" w:hAnsi="宋体" w:eastAsia="宋体" w:cs="Arial"/>
                <w:szCs w:val="21"/>
                <w:highlight w:val="none"/>
              </w:rPr>
            </w:pPr>
            <w:r>
              <w:rPr>
                <w:rFonts w:hint="eastAsia" w:ascii="宋体" w:hAnsi="宋体" w:eastAsia="宋体" w:cs="Arial"/>
                <w:szCs w:val="21"/>
                <w:highlight w:val="none"/>
              </w:rPr>
              <w:t>工艺方案会签</w:t>
            </w:r>
          </w:p>
        </w:tc>
        <w:tc>
          <w:tcPr>
            <w:tcW w:w="2600" w:type="dxa"/>
            <w:vAlign w:val="center"/>
          </w:tcPr>
          <w:p w14:paraId="61D63589">
            <w:pPr>
              <w:widowControl/>
              <w:jc w:val="center"/>
              <w:rPr>
                <w:rFonts w:hint="eastAsia" w:ascii="宋体" w:hAnsi="宋体" w:eastAsia="宋体" w:cs="Arial"/>
                <w:color w:val="000000" w:themeColor="text1"/>
                <w:szCs w:val="21"/>
                <w:highlight w:val="none"/>
                <w14:textFill>
                  <w14:solidFill>
                    <w14:schemeClr w14:val="tx1"/>
                  </w14:solidFill>
                </w14:textFill>
              </w:rPr>
            </w:pPr>
            <w:r>
              <w:rPr>
                <w:rFonts w:hint="eastAsia" w:ascii="宋体" w:hAnsi="宋体" w:eastAsia="宋体" w:cs="Arial"/>
                <w:color w:val="000000" w:themeColor="text1"/>
                <w:szCs w:val="21"/>
                <w:highlight w:val="none"/>
                <w14:textFill>
                  <w14:solidFill>
                    <w14:schemeClr w14:val="tx1"/>
                  </w14:solidFill>
                </w14:textFill>
              </w:rPr>
              <w:t>中标通知后</w:t>
            </w:r>
            <w:r>
              <w:rPr>
                <w:rFonts w:hint="eastAsia" w:ascii="宋体" w:hAnsi="宋体" w:cs="Arial"/>
                <w:color w:val="000000" w:themeColor="text1"/>
                <w:szCs w:val="21"/>
                <w:highlight w:val="none"/>
                <w:lang w:val="en-US" w:eastAsia="zh-CN"/>
                <w14:textFill>
                  <w14:solidFill>
                    <w14:schemeClr w14:val="tx1"/>
                  </w14:solidFill>
                </w14:textFill>
              </w:rPr>
              <w:t>1周</w:t>
            </w:r>
            <w:r>
              <w:rPr>
                <w:rFonts w:hint="eastAsia" w:ascii="宋体" w:hAnsi="宋体" w:eastAsia="宋体" w:cs="Arial"/>
                <w:color w:val="000000" w:themeColor="text1"/>
                <w:szCs w:val="21"/>
                <w:highlight w:val="none"/>
                <w14:textFill>
                  <w14:solidFill>
                    <w14:schemeClr w14:val="tx1"/>
                  </w14:solidFill>
                </w14:textFill>
              </w:rPr>
              <w:t>内</w:t>
            </w:r>
          </w:p>
        </w:tc>
        <w:tc>
          <w:tcPr>
            <w:tcW w:w="1950" w:type="dxa"/>
            <w:tcBorders>
              <w:right w:val="single" w:color="auto" w:sz="4" w:space="0"/>
            </w:tcBorders>
            <w:vAlign w:val="center"/>
          </w:tcPr>
          <w:p w14:paraId="71D0BEC7">
            <w:pPr>
              <w:widowControl/>
              <w:jc w:val="center"/>
              <w:rPr>
                <w:rFonts w:hint="eastAsia" w:ascii="宋体" w:hAnsi="宋体" w:eastAsia="宋体" w:cs="Arial"/>
                <w:szCs w:val="21"/>
                <w:highlight w:val="none"/>
              </w:rPr>
            </w:pPr>
          </w:p>
        </w:tc>
      </w:tr>
      <w:tr w14:paraId="6F65E2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851" w:type="dxa"/>
            <w:tcBorders>
              <w:left w:val="single" w:color="auto" w:sz="4" w:space="0"/>
            </w:tcBorders>
            <w:vAlign w:val="center"/>
          </w:tcPr>
          <w:p w14:paraId="1080EC67">
            <w:pPr>
              <w:widowControl/>
              <w:jc w:val="center"/>
              <w:rPr>
                <w:rFonts w:hint="eastAsia" w:ascii="宋体" w:hAnsi="宋体" w:eastAsia="宋体" w:cs="Arial"/>
                <w:szCs w:val="21"/>
                <w:highlight w:val="none"/>
              </w:rPr>
            </w:pPr>
            <w:r>
              <w:rPr>
                <w:rFonts w:hint="eastAsia" w:ascii="宋体" w:hAnsi="宋体" w:eastAsia="宋体" w:cs="Arial"/>
                <w:szCs w:val="21"/>
                <w:highlight w:val="none"/>
              </w:rPr>
              <w:t>3</w:t>
            </w:r>
          </w:p>
        </w:tc>
        <w:tc>
          <w:tcPr>
            <w:tcW w:w="2915" w:type="dxa"/>
            <w:shd w:val="clear" w:color="auto" w:fill="auto"/>
            <w:vAlign w:val="center"/>
          </w:tcPr>
          <w:p w14:paraId="3CF9D4B4">
            <w:pPr>
              <w:widowControl/>
              <w:jc w:val="center"/>
              <w:rPr>
                <w:rFonts w:hint="eastAsia" w:ascii="宋体" w:hAnsi="宋体" w:eastAsia="宋体" w:cs="Arial"/>
                <w:szCs w:val="21"/>
                <w:highlight w:val="none"/>
              </w:rPr>
            </w:pPr>
            <w:r>
              <w:rPr>
                <w:rFonts w:hint="eastAsia" w:ascii="宋体" w:hAnsi="宋体" w:eastAsia="宋体" w:cs="Arial"/>
                <w:szCs w:val="21"/>
                <w:highlight w:val="none"/>
              </w:rPr>
              <w:t>到货</w:t>
            </w:r>
          </w:p>
        </w:tc>
        <w:tc>
          <w:tcPr>
            <w:tcW w:w="2600" w:type="dxa"/>
            <w:vAlign w:val="center"/>
          </w:tcPr>
          <w:p w14:paraId="5761DA73">
            <w:pPr>
              <w:widowControl/>
              <w:jc w:val="center"/>
              <w:rPr>
                <w:rFonts w:hint="eastAsia" w:ascii="宋体" w:hAnsi="宋体" w:eastAsia="宋体" w:cs="Arial"/>
                <w:color w:val="000000" w:themeColor="text1"/>
                <w:szCs w:val="21"/>
                <w:highlight w:val="none"/>
                <w14:textFill>
                  <w14:solidFill>
                    <w14:schemeClr w14:val="tx1"/>
                  </w14:solidFill>
                </w14:textFill>
              </w:rPr>
            </w:pPr>
            <w:r>
              <w:rPr>
                <w:rFonts w:hint="eastAsia" w:ascii="宋体" w:hAnsi="宋体" w:eastAsia="宋体" w:cs="Arial"/>
                <w:color w:val="000000" w:themeColor="text1"/>
                <w:szCs w:val="21"/>
                <w:highlight w:val="none"/>
                <w14:textFill>
                  <w14:solidFill>
                    <w14:schemeClr w14:val="tx1"/>
                  </w14:solidFill>
                </w14:textFill>
              </w:rPr>
              <w:t>合同签订后</w:t>
            </w:r>
            <w:r>
              <w:rPr>
                <w:rFonts w:hint="eastAsia" w:ascii="宋体" w:hAnsi="宋体" w:cs="Arial"/>
                <w:color w:val="000000" w:themeColor="text1"/>
                <w:szCs w:val="21"/>
                <w:highlight w:val="none"/>
                <w:lang w:val="en-US" w:eastAsia="zh-CN"/>
                <w14:textFill>
                  <w14:solidFill>
                    <w14:schemeClr w14:val="tx1"/>
                  </w14:solidFill>
                </w14:textFill>
              </w:rPr>
              <w:t>1</w:t>
            </w:r>
            <w:r>
              <w:rPr>
                <w:rFonts w:hint="eastAsia" w:ascii="宋体" w:hAnsi="宋体" w:eastAsia="宋体" w:cs="Arial"/>
                <w:color w:val="000000" w:themeColor="text1"/>
                <w:szCs w:val="21"/>
                <w:highlight w:val="none"/>
                <w14:textFill>
                  <w14:solidFill>
                    <w14:schemeClr w14:val="tx1"/>
                  </w14:solidFill>
                </w14:textFill>
              </w:rPr>
              <w:t>个月内</w:t>
            </w:r>
          </w:p>
        </w:tc>
        <w:tc>
          <w:tcPr>
            <w:tcW w:w="1950" w:type="dxa"/>
            <w:tcBorders>
              <w:right w:val="single" w:color="auto" w:sz="4" w:space="0"/>
            </w:tcBorders>
            <w:vAlign w:val="center"/>
          </w:tcPr>
          <w:p w14:paraId="60065E8B">
            <w:pPr>
              <w:widowControl/>
              <w:rPr>
                <w:rFonts w:hint="eastAsia" w:ascii="宋体" w:hAnsi="宋体" w:eastAsia="宋体" w:cs="Arial"/>
                <w:color w:val="C00000"/>
                <w:szCs w:val="21"/>
                <w:highlight w:val="none"/>
              </w:rPr>
            </w:pPr>
          </w:p>
        </w:tc>
      </w:tr>
      <w:tr w14:paraId="65D62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851" w:type="dxa"/>
            <w:tcBorders>
              <w:left w:val="single" w:color="auto" w:sz="4" w:space="0"/>
            </w:tcBorders>
            <w:vAlign w:val="center"/>
          </w:tcPr>
          <w:p w14:paraId="32AF0079">
            <w:pPr>
              <w:widowControl/>
              <w:jc w:val="center"/>
              <w:rPr>
                <w:rFonts w:hint="eastAsia" w:ascii="宋体" w:hAnsi="宋体" w:eastAsia="宋体" w:cs="Arial"/>
                <w:szCs w:val="21"/>
                <w:highlight w:val="none"/>
              </w:rPr>
            </w:pPr>
            <w:r>
              <w:rPr>
                <w:rFonts w:hint="eastAsia" w:ascii="宋体" w:hAnsi="宋体" w:eastAsia="宋体" w:cs="Arial"/>
                <w:szCs w:val="21"/>
                <w:highlight w:val="none"/>
              </w:rPr>
              <w:t>4</w:t>
            </w:r>
          </w:p>
        </w:tc>
        <w:tc>
          <w:tcPr>
            <w:tcW w:w="2915" w:type="dxa"/>
            <w:shd w:val="clear" w:color="auto" w:fill="auto"/>
            <w:vAlign w:val="center"/>
          </w:tcPr>
          <w:p w14:paraId="7EB1EFCE">
            <w:pPr>
              <w:widowControl/>
              <w:jc w:val="center"/>
              <w:rPr>
                <w:rFonts w:hint="eastAsia" w:ascii="宋体" w:hAnsi="宋体" w:eastAsia="宋体" w:cs="Arial"/>
                <w:szCs w:val="21"/>
                <w:highlight w:val="none"/>
              </w:rPr>
            </w:pPr>
            <w:r>
              <w:rPr>
                <w:rFonts w:hint="eastAsia" w:ascii="宋体" w:hAnsi="宋体" w:eastAsia="宋体" w:cs="Arial"/>
                <w:szCs w:val="21"/>
                <w:highlight w:val="none"/>
              </w:rPr>
              <w:t>现场安装调试完成</w:t>
            </w:r>
          </w:p>
        </w:tc>
        <w:tc>
          <w:tcPr>
            <w:tcW w:w="2600" w:type="dxa"/>
            <w:vAlign w:val="center"/>
          </w:tcPr>
          <w:p w14:paraId="0B49A77A">
            <w:pPr>
              <w:widowControl/>
              <w:jc w:val="center"/>
              <w:rPr>
                <w:rFonts w:hint="eastAsia" w:ascii="宋体" w:hAnsi="宋体" w:eastAsia="宋体" w:cs="Arial"/>
                <w:color w:val="000000" w:themeColor="text1"/>
                <w:szCs w:val="21"/>
                <w:highlight w:val="none"/>
                <w14:textFill>
                  <w14:solidFill>
                    <w14:schemeClr w14:val="tx1"/>
                  </w14:solidFill>
                </w14:textFill>
              </w:rPr>
            </w:pPr>
            <w:r>
              <w:rPr>
                <w:rFonts w:hint="eastAsia" w:ascii="宋体" w:hAnsi="宋体" w:eastAsia="宋体" w:cs="Arial"/>
                <w:color w:val="000000" w:themeColor="text1"/>
                <w:szCs w:val="21"/>
                <w:highlight w:val="none"/>
                <w14:textFill>
                  <w14:solidFill>
                    <w14:schemeClr w14:val="tx1"/>
                  </w14:solidFill>
                </w14:textFill>
              </w:rPr>
              <w:t>合同签订后</w:t>
            </w:r>
            <w:r>
              <w:rPr>
                <w:rFonts w:hint="eastAsia" w:ascii="宋体" w:hAnsi="宋体" w:cs="Arial"/>
                <w:color w:val="000000" w:themeColor="text1"/>
                <w:szCs w:val="21"/>
                <w:highlight w:val="none"/>
                <w:lang w:val="en-US" w:eastAsia="zh-CN"/>
                <w14:textFill>
                  <w14:solidFill>
                    <w14:schemeClr w14:val="tx1"/>
                  </w14:solidFill>
                </w14:textFill>
              </w:rPr>
              <w:t>1</w:t>
            </w:r>
            <w:r>
              <w:rPr>
                <w:rFonts w:hint="eastAsia" w:ascii="宋体" w:hAnsi="宋体" w:eastAsia="宋体" w:cs="Arial"/>
                <w:color w:val="000000" w:themeColor="text1"/>
                <w:szCs w:val="21"/>
                <w:highlight w:val="none"/>
                <w14:textFill>
                  <w14:solidFill>
                    <w14:schemeClr w14:val="tx1"/>
                  </w14:solidFill>
                </w14:textFill>
              </w:rPr>
              <w:t>个月内</w:t>
            </w:r>
          </w:p>
        </w:tc>
        <w:tc>
          <w:tcPr>
            <w:tcW w:w="1950" w:type="dxa"/>
            <w:tcBorders>
              <w:right w:val="single" w:color="auto" w:sz="4" w:space="0"/>
            </w:tcBorders>
            <w:vAlign w:val="center"/>
          </w:tcPr>
          <w:p w14:paraId="23AAADB1">
            <w:pPr>
              <w:widowControl/>
              <w:jc w:val="center"/>
              <w:rPr>
                <w:rFonts w:hint="eastAsia" w:ascii="宋体" w:hAnsi="宋体" w:eastAsia="宋体" w:cs="Arial"/>
                <w:szCs w:val="21"/>
                <w:highlight w:val="none"/>
              </w:rPr>
            </w:pPr>
          </w:p>
        </w:tc>
      </w:tr>
    </w:tbl>
    <w:p w14:paraId="63782CFC">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四、技术资料</w:t>
      </w:r>
    </w:p>
    <w:p w14:paraId="50D16DD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1、招标方须在合同签订后 10 个工作日内，向投标方提供本项目全套正式设计文件，包括设备（或材料）各部分的加工图纸、装配图纸、外购件采购清单、技术要求、验收标准等加工采购所需的全部技术资料；</w:t>
      </w:r>
    </w:p>
    <w:p w14:paraId="0FDAE7F8">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2、投标方须负责在货物到货前，提供所供货物的全套质量证明文件，包括但不限于非标件加工精度检测报告、热处理报告、材质证明、外购件原厂合格证书、原厂技术资料、质保承诺文件等；</w:t>
      </w:r>
    </w:p>
    <w:p w14:paraId="21B34B4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3、投标方须负责在终验收前，提供完整的货物交付技术资料，包括装箱单、零部件和备件清单、消耗材料和易损件清单、设备原厂操作维护手册、保养维修手册等相关资料；</w:t>
      </w:r>
    </w:p>
    <w:p w14:paraId="19A7D288">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4、本 “技术资料范围” 所列的技术资料、图纸等，投标方应各提供纸质资料、电子资料（U 盘）各 3 套，每份技术文件应装有目录清单；</w:t>
      </w:r>
    </w:p>
    <w:p w14:paraId="0C179CE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5、投标方须提供完整的所有货物和部件的中文技术资料，技术资料应包含以下内容：</w:t>
      </w:r>
    </w:p>
    <w:p w14:paraId="304029D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.1 所供货物的规格型号、参数说明；</w:t>
      </w:r>
    </w:p>
    <w:p w14:paraId="4CF5BDA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.2 外购设备原厂使用说明书（含机械、电气部分）；</w:t>
      </w:r>
    </w:p>
    <w:p w14:paraId="1F59037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.3 产品合格证书、材质证明、热处理报告、精度检验报告、校准纪录；</w:t>
      </w:r>
    </w:p>
    <w:p w14:paraId="4216C32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.4 装箱单；</w:t>
      </w:r>
    </w:p>
    <w:p w14:paraId="1B928A4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.5 零部件和备件清单；</w:t>
      </w:r>
    </w:p>
    <w:p w14:paraId="733200F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.6 消耗材料和易损件清单；</w:t>
      </w:r>
    </w:p>
    <w:p w14:paraId="1C3E158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.7 外购设备原厂维修和保养手册；</w:t>
      </w:r>
    </w:p>
    <w:p w14:paraId="055E2EF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5</w:t>
      </w:r>
      <w:r>
        <w:rPr>
          <w:rFonts w:hint="eastAsia" w:ascii="宋体" w:hAnsi="宋体" w:eastAsia="宋体" w:cs="宋体"/>
          <w:spacing w:val="-3"/>
          <w:sz w:val="24"/>
          <w:szCs w:val="24"/>
        </w:rPr>
        <w:t>.8 外购设备原厂电气电路图、接线图等；</w:t>
      </w:r>
    </w:p>
    <w:p w14:paraId="093D2143">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五、包装运输</w:t>
      </w:r>
    </w:p>
    <w:p w14:paraId="0931C52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1、设备在包装箱内妥善紧固，确保运输途中及装卸车时不致损坏；</w:t>
      </w:r>
    </w:p>
    <w:p w14:paraId="556563C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2、包装箱应标明尺寸、重量、重心及起吊位置等；</w:t>
      </w:r>
    </w:p>
    <w:p w14:paraId="2DB09CE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3、投标方负责将设备运抵招标方安装现场</w:t>
      </w:r>
      <w:r>
        <w:rPr>
          <w:rFonts w:hint="eastAsia" w:ascii="宋体" w:hAnsi="宋体" w:cs="宋体"/>
          <w:spacing w:val="-3"/>
          <w:sz w:val="24"/>
          <w:szCs w:val="24"/>
          <w:lang w:val="en-US" w:eastAsia="zh-CN"/>
        </w:rPr>
        <w:t>指定位置</w:t>
      </w:r>
      <w:r>
        <w:rPr>
          <w:rFonts w:hint="eastAsia" w:ascii="宋体" w:hAnsi="宋体" w:eastAsia="宋体" w:cs="宋体"/>
          <w:spacing w:val="-3"/>
          <w:sz w:val="24"/>
          <w:szCs w:val="24"/>
        </w:rPr>
        <w:t>，</w:t>
      </w:r>
      <w:r>
        <w:rPr>
          <w:rFonts w:hint="eastAsia" w:ascii="宋体" w:hAnsi="宋体" w:cs="宋体"/>
          <w:spacing w:val="-3"/>
          <w:sz w:val="24"/>
          <w:szCs w:val="24"/>
          <w:lang w:val="en-US" w:eastAsia="zh-CN"/>
        </w:rPr>
        <w:t>并负责设备安装及调试过程中移位等，所有</w:t>
      </w:r>
      <w:r>
        <w:rPr>
          <w:rFonts w:hint="eastAsia" w:ascii="宋体" w:hAnsi="宋体" w:eastAsia="宋体" w:cs="宋体"/>
          <w:spacing w:val="-3"/>
          <w:sz w:val="24"/>
          <w:szCs w:val="24"/>
        </w:rPr>
        <w:t>费用计入投标总价。</w:t>
      </w:r>
    </w:p>
    <w:p w14:paraId="6B7F65A9">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六、验收服务</w:t>
      </w:r>
    </w:p>
    <w:p w14:paraId="116C034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1、投标方在招标方现场进行的、指导或负责的、设备（或材料）的预验收和终验收，应当是免费的；</w:t>
      </w:r>
    </w:p>
    <w:p w14:paraId="77C575A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设备（或材料）验收时，若投标方提供设备（或材料）的技术质量等，与投标方外购的设备（或材料）技术质量等有较大或直接关联时，投标方应能得到其外购设备（或材料）制造厂商（或供应商）的技术支持，并免费提供其必要的现场指导与协调；</w:t>
      </w:r>
    </w:p>
    <w:p w14:paraId="6D3F8BD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3、在投标方所提供设备需要得到招标方建设项目所在地政府或行业主管部门的查验、试验、验收时，投标方应当免费协助招标方完成所需要的工作、材料和服务等。</w:t>
      </w:r>
    </w:p>
    <w:p w14:paraId="39E4A0D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4、终验收后陪产期间中标方安排1名工程师在生产现场进行不少于1个月的陪产。</w:t>
      </w:r>
    </w:p>
    <w:p w14:paraId="12FACA3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5、陪产时间按需方生产时间进行安排，必须保证现场有陪产人员；陪产期内设备发生故障，相关人员必须在60分钟内到达现场；如遇节假日应服从招标方工作安排。</w:t>
      </w:r>
    </w:p>
    <w:p w14:paraId="3A2D959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6、中标方现场陪产人员不配合需方工作时，招标方有权要求中标方更换陪产人员，在需方发出通知后到替换人员到达现场期间时间，不列入陪产期内。</w:t>
      </w:r>
    </w:p>
    <w:p w14:paraId="01CFF535">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七、终验收要求</w:t>
      </w:r>
    </w:p>
    <w:bookmarkEnd w:id="66"/>
    <w:p w14:paraId="21FEACB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1、投标方工作：  </w:t>
      </w:r>
    </w:p>
    <w:p w14:paraId="742AE1C7">
      <w:pPr>
        <w:pStyle w:val="43"/>
        <w:tabs>
          <w:tab w:val="left" w:pos="1164"/>
          <w:tab w:val="left" w:pos="1165"/>
        </w:tabs>
        <w:spacing w:line="360" w:lineRule="auto"/>
        <w:ind w:firstLine="468"/>
        <w:jc w:val="left"/>
        <w:rPr>
          <w:rFonts w:ascii="宋体" w:hAnsi="宋体" w:eastAsia="宋体" w:cs="宋体"/>
          <w:sz w:val="24"/>
          <w:szCs w:val="24"/>
        </w:rPr>
      </w:pPr>
      <w:r>
        <w:rPr>
          <w:rFonts w:ascii="宋体" w:hAnsi="宋体" w:eastAsia="宋体" w:cs="宋体"/>
          <w:sz w:val="24"/>
          <w:szCs w:val="24"/>
        </w:rPr>
        <w:t>（1）负责按合同及技术协议要求，完成分总成夹具非标件加工、外购件采购供货，并承担全部货物至招标方工厂的运输、包装工作，保证包装符合长途运输及仓储防护要求；</w:t>
      </w:r>
    </w:p>
    <w:p w14:paraId="7CB38BD9">
      <w:pPr>
        <w:pStyle w:val="43"/>
        <w:tabs>
          <w:tab w:val="left" w:pos="1164"/>
          <w:tab w:val="left" w:pos="1165"/>
        </w:tabs>
        <w:spacing w:line="360" w:lineRule="auto"/>
        <w:ind w:firstLine="468"/>
        <w:jc w:val="left"/>
        <w:rPr>
          <w:rFonts w:ascii="宋体" w:hAnsi="宋体" w:eastAsia="宋体" w:cs="宋体"/>
          <w:sz w:val="24"/>
          <w:szCs w:val="24"/>
        </w:rPr>
      </w:pPr>
      <w:r>
        <w:rPr>
          <w:rFonts w:ascii="宋体" w:hAnsi="宋体" w:eastAsia="宋体" w:cs="宋体"/>
          <w:sz w:val="24"/>
          <w:szCs w:val="24"/>
        </w:rPr>
        <w:t>（2）配合招标方完成到货验收，对开箱验收中发现的加工质量问题、采购件参数不符、缺件、破损等问题，按招标方要求无条件免费更换、补齐；</w:t>
      </w:r>
    </w:p>
    <w:p w14:paraId="2B5F76F3">
      <w:pPr>
        <w:pStyle w:val="43"/>
        <w:tabs>
          <w:tab w:val="left" w:pos="1164"/>
          <w:tab w:val="left" w:pos="1165"/>
        </w:tabs>
        <w:spacing w:line="360" w:lineRule="auto"/>
        <w:ind w:firstLine="468"/>
        <w:jc w:val="left"/>
        <w:rPr>
          <w:rFonts w:ascii="宋体" w:hAnsi="宋体" w:eastAsia="宋体" w:cs="宋体"/>
          <w:sz w:val="24"/>
          <w:szCs w:val="24"/>
        </w:rPr>
      </w:pPr>
      <w:r>
        <w:rPr>
          <w:rFonts w:ascii="宋体" w:hAnsi="宋体" w:eastAsia="宋体" w:cs="宋体"/>
          <w:sz w:val="24"/>
          <w:szCs w:val="24"/>
        </w:rPr>
        <w:t>（3）在招标方安装、调试过程中，提供所供货物的技术支持，针对加工、采购件本身的技术问题提供解决方案，配合招标方完成调试工作；</w:t>
      </w:r>
    </w:p>
    <w:p w14:paraId="4EF8ED1B">
      <w:pPr>
        <w:pStyle w:val="43"/>
        <w:tabs>
          <w:tab w:val="left" w:pos="1164"/>
          <w:tab w:val="left" w:pos="1165"/>
        </w:tabs>
        <w:spacing w:line="360" w:lineRule="auto"/>
        <w:ind w:firstLine="468"/>
        <w:jc w:val="left"/>
        <w:rPr>
          <w:rFonts w:ascii="宋体" w:hAnsi="宋体" w:eastAsia="宋体" w:cs="宋体"/>
          <w:sz w:val="24"/>
          <w:szCs w:val="24"/>
        </w:rPr>
      </w:pPr>
      <w:r>
        <w:rPr>
          <w:rFonts w:ascii="宋体" w:hAnsi="宋体" w:eastAsia="宋体" w:cs="宋体"/>
          <w:sz w:val="24"/>
          <w:szCs w:val="24"/>
        </w:rPr>
        <w:t>（4）对安装调试过程中发现的、因加工制造或采购质量导致的故障、精度不达标等问题，按招标方要求的时限完成免费维修、更换、返工，确保满足设计及使用要求；</w:t>
      </w:r>
    </w:p>
    <w:p w14:paraId="668F1345">
      <w:pPr>
        <w:pStyle w:val="43"/>
        <w:tabs>
          <w:tab w:val="left" w:pos="1164"/>
          <w:tab w:val="left" w:pos="1165"/>
        </w:tabs>
        <w:spacing w:line="360" w:lineRule="auto"/>
        <w:ind w:firstLine="468"/>
        <w:jc w:val="left"/>
        <w:rPr>
          <w:rFonts w:ascii="宋体" w:hAnsi="宋体" w:eastAsia="宋体" w:cs="宋体"/>
          <w:sz w:val="24"/>
          <w:szCs w:val="24"/>
        </w:rPr>
      </w:pPr>
      <w:r>
        <w:rPr>
          <w:rFonts w:ascii="宋体" w:hAnsi="宋体" w:eastAsia="宋体" w:cs="宋体"/>
          <w:sz w:val="24"/>
          <w:szCs w:val="24"/>
        </w:rPr>
        <w:t>（5）配合招标方完成生产线小批量试制、预验收及终验收相关工作，按要求提供所需的质量证明文件、技术资料，配合完成各项检测工作；</w:t>
      </w:r>
    </w:p>
    <w:p w14:paraId="0EFB9AD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ascii="宋体" w:hAnsi="宋体" w:eastAsia="宋体" w:cs="宋体"/>
          <w:sz w:val="24"/>
          <w:szCs w:val="24"/>
        </w:rPr>
        <w:t>（6）严格遵守招标方现场管理规定，配合招标方协调现场作业与生产改造的时间安排，按需提供相关技术配合。</w:t>
      </w:r>
    </w:p>
    <w:p w14:paraId="20CC88E0">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2、招标方工作：  </w:t>
      </w:r>
    </w:p>
    <w:p w14:paraId="0576885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（1）负责投标方送达的分总成夹具、非标设备及配套零部件的现场卸货、开箱、掏箱、转运工作；负责全套夹具、设备的现场安装、调试工作，对安装调试的质量、精度、进度全面负责；</w:t>
      </w:r>
    </w:p>
    <w:p w14:paraId="32B579F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（2）按生产线平面设计图的要求，负责将全部设备、夹具精准安装到对应工位；</w:t>
      </w:r>
    </w:p>
    <w:p w14:paraId="7141C60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（3）负责夹具、设备的部件组装成整机，完成设备安装调试及精度校准工作；</w:t>
      </w:r>
    </w:p>
    <w:p w14:paraId="4B3BA62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（4）负责接通二次动力电线路和气源管路，对线路、管路的连接合规性、安全性负责；</w:t>
      </w:r>
    </w:p>
    <w:p w14:paraId="6F16BE06">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（5）负责整个生产线的全线联调、空载试运行、负载试运行等全流程调试工作；</w:t>
      </w:r>
    </w:p>
    <w:p w14:paraId="7BFE6284">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（6）在安装、调试过程中，向现场技术及操作人员讲解整套系统的使用、调试、维修、保养、故障预防、分析与排除等方面的技术知识，并完成操作示范、实操培训等相关工作。</w:t>
      </w:r>
    </w:p>
    <w:p w14:paraId="7C7A136B">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 xml:space="preserve">3、验收  </w:t>
      </w:r>
    </w:p>
    <w:p w14:paraId="7247DC5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投标方对所加工的非标件、采购的外购件，在货物出厂前，须严格按照本协议规定、招标方确认的图纸及技术标准进行全项自检，并向招标方提供完整的检验报告书、材质证明、热处理报告、外购件原厂合格证明等相关资料；招标方有权对投标方的生产加工过程、出厂检验过程进行监造，投标方须无条件配合。</w:t>
      </w:r>
    </w:p>
    <w:p w14:paraId="1829799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终验收</w:t>
      </w:r>
    </w:p>
    <w:p w14:paraId="0A2B41B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地点：招标方现场</w:t>
      </w:r>
    </w:p>
    <w:p w14:paraId="6C2E0F9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参加人员：双方人员</w:t>
      </w:r>
    </w:p>
    <w:p w14:paraId="0B718499">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终验收程序： 全套生产线设施安装、调试完成后，由招标方牵头，双方共同在招标方工厂开展最终验收工作。</w:t>
      </w:r>
    </w:p>
    <w:p w14:paraId="2C00BFE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验收内容：</w:t>
      </w:r>
    </w:p>
    <w:p w14:paraId="570A6C1E">
      <w:pPr>
        <w:pStyle w:val="43"/>
        <w:tabs>
          <w:tab w:val="left" w:pos="1164"/>
          <w:tab w:val="left" w:pos="1165"/>
        </w:tabs>
        <w:spacing w:line="360" w:lineRule="auto"/>
        <w:ind w:firstLine="468"/>
        <w:jc w:val="left"/>
        <w:rPr>
          <w:rFonts w:hint="eastAsia" w:ascii="宋体" w:hAnsi="宋体" w:cs="宋体"/>
          <w:spacing w:val="-3"/>
          <w:sz w:val="24"/>
          <w:szCs w:val="24"/>
          <w:lang w:eastAsia="zh-CN"/>
        </w:rPr>
      </w:pPr>
      <w:r>
        <w:rPr>
          <w:rFonts w:hint="eastAsia" w:ascii="宋体" w:hAnsi="宋体" w:cs="宋体"/>
          <w:spacing w:val="-3"/>
          <w:sz w:val="24"/>
          <w:szCs w:val="24"/>
          <w:lang w:val="en-US" w:eastAsia="zh-CN"/>
        </w:rPr>
        <w:t>3.1</w:t>
      </w:r>
      <w:r>
        <w:rPr>
          <w:rFonts w:hint="eastAsia" w:ascii="宋体" w:hAnsi="宋体" w:eastAsia="宋体" w:cs="宋体"/>
          <w:spacing w:val="-3"/>
          <w:sz w:val="24"/>
          <w:szCs w:val="24"/>
        </w:rPr>
        <w:t>含投标方供货的外购件品牌、型号、参数、质量符合性验收</w:t>
      </w:r>
      <w:r>
        <w:rPr>
          <w:rFonts w:hint="eastAsia" w:ascii="宋体" w:hAnsi="宋体" w:cs="宋体"/>
          <w:spacing w:val="-3"/>
          <w:sz w:val="24"/>
          <w:szCs w:val="24"/>
          <w:lang w:eastAsia="zh-CN"/>
        </w:rPr>
        <w:t>；</w:t>
      </w:r>
    </w:p>
    <w:p w14:paraId="02633328">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3.2</w:t>
      </w:r>
      <w:r>
        <w:rPr>
          <w:rFonts w:hint="eastAsia" w:ascii="宋体" w:hAnsi="宋体" w:eastAsia="宋体" w:cs="宋体"/>
          <w:spacing w:val="-3"/>
          <w:sz w:val="24"/>
          <w:szCs w:val="24"/>
        </w:rPr>
        <w:t>最终验收期间，若发现投标方供货范围内的货物存在加工质量问题、外购件不符、破损、缺陷和缺少零件等情况，投标方应根据招标方要求免费更换零部件并解决问题；</w:t>
      </w:r>
    </w:p>
    <w:p w14:paraId="0097623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3.3</w:t>
      </w:r>
      <w:r>
        <w:rPr>
          <w:rFonts w:hint="eastAsia" w:ascii="宋体" w:hAnsi="宋体" w:eastAsia="宋体" w:cs="宋体"/>
          <w:spacing w:val="-3"/>
          <w:sz w:val="24"/>
          <w:szCs w:val="24"/>
        </w:rPr>
        <w:t>若因上述问题严重影响生产进度，投标方应按合同约定承担相应的违约责任，相关情况须记录在终验收报告中。按合同要求验收过程中，若投标方提供的技术资料与本技术协议中规定的内容不符或缺失时，招标方有权要求投标方限期补齐、更换，并按合同约定追究相应责任。</w:t>
      </w:r>
    </w:p>
    <w:p w14:paraId="5B1B9BC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3.4</w:t>
      </w:r>
      <w:r>
        <w:rPr>
          <w:rFonts w:hint="eastAsia" w:ascii="宋体" w:hAnsi="宋体" w:eastAsia="宋体" w:cs="宋体"/>
          <w:spacing w:val="-3"/>
          <w:sz w:val="24"/>
          <w:szCs w:val="24"/>
        </w:rPr>
        <w:t>检验焊装线及投标方供货的夹具、零部件的精度，如发现与合同及本技术协议要求不符，招标方有权要求投标方限期整改，整改后仍不达标，招标方有权推迟或拒绝在验收报告上签字。</w:t>
      </w:r>
    </w:p>
    <w:p w14:paraId="5F27051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cs="宋体"/>
          <w:spacing w:val="-3"/>
          <w:sz w:val="24"/>
          <w:szCs w:val="24"/>
          <w:lang w:val="en-US" w:eastAsia="zh-CN"/>
        </w:rPr>
        <w:t>3.5</w:t>
      </w:r>
      <w:r>
        <w:rPr>
          <w:rFonts w:hint="eastAsia" w:ascii="宋体" w:hAnsi="宋体" w:eastAsia="宋体" w:cs="宋体"/>
          <w:spacing w:val="-3"/>
          <w:sz w:val="24"/>
          <w:szCs w:val="24"/>
        </w:rPr>
        <w:t>机器设备及各总成夹具在招标方现场连续稳定运转，连续生产 2 个月，投标方供货范围内的货物无质量问题，生产线设备运行稳定、产品质量达标，视为终验收通过。终验收合格后，双方共同签署终验收合格报告。</w:t>
      </w:r>
    </w:p>
    <w:p w14:paraId="58914F24">
      <w:pPr>
        <w:pStyle w:val="23"/>
        <w:ind w:firstLine="0" w:firstLineChars="0"/>
        <w:outlineLvl w:val="9"/>
        <w:rPr>
          <w:rFonts w:hint="eastAsia" w:hAnsi="宋体" w:eastAsia="宋体" w:cs="宋体"/>
          <w:b/>
          <w:bCs w:val="0"/>
          <w:sz w:val="24"/>
          <w:szCs w:val="24"/>
        </w:rPr>
      </w:pPr>
      <w:r>
        <w:rPr>
          <w:rFonts w:hint="eastAsia" w:hAnsi="宋体" w:eastAsia="宋体" w:cs="宋体"/>
          <w:b/>
          <w:bCs w:val="0"/>
          <w:sz w:val="24"/>
          <w:szCs w:val="24"/>
        </w:rPr>
        <w:t>八、产品制造及检验标准</w:t>
      </w:r>
    </w:p>
    <w:p w14:paraId="5996092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1、充分考虑产品及安装费用，选择最佳建设、改造设计方案；</w:t>
      </w:r>
    </w:p>
    <w:p w14:paraId="6BE9ADF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2、充分考虑甲方的技术要求；</w:t>
      </w:r>
    </w:p>
    <w:p w14:paraId="7EC3377D">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3、满足国家相关规定及强制性条文；</w:t>
      </w:r>
    </w:p>
    <w:p w14:paraId="2234AC20">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九、培训</w:t>
      </w:r>
    </w:p>
    <w:p w14:paraId="59BC08E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1、技术培训</w:t>
      </w:r>
    </w:p>
    <w:p w14:paraId="1DADCE53">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1.1</w:t>
      </w:r>
      <w:r>
        <w:rPr>
          <w:rFonts w:hint="eastAsia" w:ascii="宋体" w:hAnsi="宋体" w:cs="宋体"/>
          <w:spacing w:val="-3"/>
          <w:sz w:val="24"/>
          <w:szCs w:val="24"/>
          <w:lang w:val="en-US" w:eastAsia="zh-CN"/>
        </w:rPr>
        <w:t>招</w:t>
      </w:r>
      <w:r>
        <w:rPr>
          <w:rFonts w:hint="eastAsia" w:ascii="宋体" w:hAnsi="宋体" w:eastAsia="宋体" w:cs="宋体"/>
          <w:spacing w:val="-3"/>
          <w:sz w:val="24"/>
          <w:szCs w:val="24"/>
        </w:rPr>
        <w:t>标方承担设备安装、调试、培训及验收等工作；</w:t>
      </w:r>
    </w:p>
    <w:p w14:paraId="2FD1022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1.2具体分为入门培训、应用培训两部分；</w:t>
      </w:r>
    </w:p>
    <w:p w14:paraId="004D186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1.3入门培训：培训内容包括操作规程、基本原理、设备管理,设备的基本结构、工作原理等；</w:t>
      </w:r>
    </w:p>
    <w:p w14:paraId="22C03596">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十、售后服务</w:t>
      </w:r>
    </w:p>
    <w:p w14:paraId="42D47EC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1、在质保期之内，如发现投标方所提供的设备（或材料）存在问题，需要投标方配合解决时，投标方须在接到通知后市内</w:t>
      </w:r>
      <w:r>
        <w:rPr>
          <w:rFonts w:hint="eastAsia" w:ascii="宋体" w:hAnsi="宋体" w:cs="宋体"/>
          <w:spacing w:val="-3"/>
          <w:sz w:val="24"/>
          <w:szCs w:val="24"/>
          <w:lang w:val="en-US" w:eastAsia="zh-CN"/>
        </w:rPr>
        <w:t>2</w:t>
      </w:r>
      <w:r>
        <w:rPr>
          <w:rFonts w:hint="eastAsia" w:ascii="宋体" w:hAnsi="宋体" w:eastAsia="宋体" w:cs="宋体"/>
          <w:spacing w:val="-3"/>
          <w:sz w:val="24"/>
          <w:szCs w:val="24"/>
        </w:rPr>
        <w:t>小时 、省内8小时、省外  24  小时内派有关人员到达现场，解决问题；</w:t>
      </w:r>
    </w:p>
    <w:p w14:paraId="6D10767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2、在质保期之后，如发现投标方所提供的设备（或材料）存在问题，需要投标方配合解决时，投标方须在接到通知后市内</w:t>
      </w:r>
      <w:r>
        <w:rPr>
          <w:rFonts w:hint="eastAsia" w:ascii="宋体" w:hAnsi="宋体" w:cs="宋体"/>
          <w:spacing w:val="-3"/>
          <w:sz w:val="24"/>
          <w:szCs w:val="24"/>
          <w:lang w:val="en-US" w:eastAsia="zh-CN"/>
        </w:rPr>
        <w:t>2</w:t>
      </w:r>
      <w:r>
        <w:rPr>
          <w:rFonts w:hint="eastAsia" w:ascii="宋体" w:hAnsi="宋体" w:eastAsia="宋体" w:cs="宋体"/>
          <w:spacing w:val="-3"/>
          <w:sz w:val="24"/>
          <w:szCs w:val="24"/>
        </w:rPr>
        <w:t>小时 、省内</w:t>
      </w:r>
      <w:r>
        <w:rPr>
          <w:rFonts w:hint="eastAsia" w:ascii="宋体" w:hAnsi="宋体" w:cs="宋体"/>
          <w:spacing w:val="-3"/>
          <w:sz w:val="24"/>
          <w:szCs w:val="24"/>
          <w:lang w:val="en-US" w:eastAsia="zh-CN"/>
        </w:rPr>
        <w:t>8</w:t>
      </w:r>
      <w:r>
        <w:rPr>
          <w:rFonts w:hint="eastAsia" w:ascii="宋体" w:hAnsi="宋体" w:eastAsia="宋体" w:cs="宋体"/>
          <w:spacing w:val="-3"/>
          <w:sz w:val="24"/>
          <w:szCs w:val="24"/>
        </w:rPr>
        <w:t>小时 、省外</w:t>
      </w:r>
      <w:r>
        <w:rPr>
          <w:rFonts w:hint="eastAsia" w:ascii="宋体" w:hAnsi="宋体" w:cs="宋体"/>
          <w:spacing w:val="-3"/>
          <w:sz w:val="24"/>
          <w:szCs w:val="24"/>
          <w:lang w:val="en-US" w:eastAsia="zh-CN"/>
        </w:rPr>
        <w:t>24</w:t>
      </w:r>
      <w:r>
        <w:rPr>
          <w:rFonts w:hint="eastAsia" w:ascii="宋体" w:hAnsi="宋体" w:eastAsia="宋体" w:cs="宋体"/>
          <w:spacing w:val="-3"/>
          <w:sz w:val="24"/>
          <w:szCs w:val="24"/>
        </w:rPr>
        <w:t>小时内派有关人员到达现场，协助招标方解决问题；</w:t>
      </w:r>
    </w:p>
    <w:p w14:paraId="2B9E0C86">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3、所有的售后服务均由投标方受理。如果发生问题并且收到报告，应当在2小时内予以答复；</w:t>
      </w:r>
    </w:p>
    <w:p w14:paraId="6953413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4、投标方应为招标方提供最佳的服务。</w:t>
      </w:r>
    </w:p>
    <w:p w14:paraId="39FA3206">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十一、质保期</w:t>
      </w:r>
    </w:p>
    <w:p w14:paraId="4E5DF5DB">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1、投标方所提供设备（或材料）涉及的全部供货范围内的设备、材料、资料、技术等，除合同特别约定外， 均自设备（或材料）终验收签字生效之日起，不低于12个月；</w:t>
      </w:r>
    </w:p>
    <w:p w14:paraId="05ADBF0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2、在质保期内，凡属非招标方原因出现的故障所更换的元件，自更换之日起重新按前述时间进行质保；</w:t>
      </w:r>
    </w:p>
    <w:p w14:paraId="75875685">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3、在质保期内，投标方应提供免费的技术支持；</w:t>
      </w:r>
    </w:p>
    <w:p w14:paraId="640F35B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4、保修期结束后，投标方必须向中国重汽集团</w:t>
      </w:r>
      <w:r>
        <w:rPr>
          <w:rFonts w:hint="eastAsia" w:ascii="宋体" w:hAnsi="宋体" w:cs="宋体"/>
          <w:spacing w:val="-3"/>
          <w:sz w:val="24"/>
          <w:szCs w:val="24"/>
          <w:lang w:val="en-US" w:eastAsia="zh-CN"/>
        </w:rPr>
        <w:t>济宁商用车公司</w:t>
      </w:r>
      <w:r>
        <w:rPr>
          <w:rFonts w:hint="eastAsia" w:ascii="宋体" w:hAnsi="宋体" w:eastAsia="宋体" w:cs="宋体"/>
          <w:spacing w:val="-3"/>
          <w:sz w:val="24"/>
          <w:szCs w:val="24"/>
        </w:rPr>
        <w:t>提供设备终身有偿服务。保修期从设备终验收之日开始算起。</w:t>
      </w:r>
    </w:p>
    <w:p w14:paraId="368D4C3B">
      <w:pPr>
        <w:pStyle w:val="23"/>
        <w:ind w:firstLine="0" w:firstLineChars="0"/>
        <w:rPr>
          <w:rFonts w:hint="eastAsia" w:hAnsi="宋体" w:eastAsia="宋体" w:cs="宋体"/>
          <w:b/>
          <w:bCs w:val="0"/>
          <w:sz w:val="24"/>
          <w:szCs w:val="24"/>
        </w:rPr>
      </w:pPr>
      <w:r>
        <w:rPr>
          <w:rFonts w:hint="eastAsia" w:hAnsi="宋体" w:eastAsia="宋体" w:cs="宋体"/>
          <w:b/>
          <w:bCs w:val="0"/>
          <w:sz w:val="24"/>
          <w:szCs w:val="24"/>
        </w:rPr>
        <w:t>十二、备件及耗材</w:t>
      </w:r>
    </w:p>
    <w:bookmarkEnd w:id="65"/>
    <w:p w14:paraId="65B25297">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1.招标人招标文件所指备品备件、易损件和专用耗材，是招标人为保证设备质保期之后正常运行一年所自备自用的备品备件、易损件和专用耗材；</w:t>
      </w:r>
    </w:p>
    <w:p w14:paraId="05175EEC">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质保期之内正常需要的备品备件、易损件和专用耗材全部包括在供货范围之内而不属于本条款界定的范围（应有明细）。</w:t>
      </w:r>
    </w:p>
    <w:p w14:paraId="6CA14512">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2.供货范围包括易损件和专用耗材的制造图纸及其技术要求等资料，如涉及专有技术或无法提供，应在投标文件中予以澄清或说明。</w:t>
      </w:r>
    </w:p>
    <w:p w14:paraId="01E3AC5E">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3投标方需提供必须的备品备件清单（备品备件明确名称、型号、规格、厂家、产地、价格，单独报价）；</w:t>
      </w:r>
    </w:p>
    <w:p w14:paraId="16584A1F">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4易损件和专用耗材，其费用应分类单列，并计入投标总报价之内；</w:t>
      </w:r>
    </w:p>
    <w:p w14:paraId="5420550A">
      <w:pPr>
        <w:pStyle w:val="43"/>
        <w:tabs>
          <w:tab w:val="left" w:pos="1164"/>
          <w:tab w:val="left" w:pos="1165"/>
        </w:tabs>
        <w:spacing w:line="360" w:lineRule="auto"/>
        <w:ind w:firstLine="468"/>
        <w:jc w:val="left"/>
        <w:rPr>
          <w:rFonts w:hint="eastAsia" w:ascii="宋体" w:hAnsi="宋体" w:eastAsia="宋体" w:cs="宋体"/>
          <w:spacing w:val="-3"/>
          <w:sz w:val="24"/>
          <w:szCs w:val="24"/>
        </w:rPr>
      </w:pPr>
      <w:r>
        <w:rPr>
          <w:rFonts w:hint="eastAsia" w:ascii="宋体" w:hAnsi="宋体" w:eastAsia="宋体" w:cs="宋体"/>
          <w:spacing w:val="-3"/>
          <w:sz w:val="24"/>
          <w:szCs w:val="24"/>
        </w:rPr>
        <w:t>5投标方应提供设备维修所必需的专用工具，并附详细清单（包括名称、型号、规格、单位、数量、生产厂家、单价、总价等条目，单独报价）。</w:t>
      </w:r>
    </w:p>
    <w:p w14:paraId="776B3FF0">
      <w:pPr>
        <w:widowControl/>
        <w:jc w:val="left"/>
        <w:rPr>
          <w:rFonts w:hint="eastAsia" w:ascii="宋体" w:hAnsi="宋体" w:eastAsia="宋体" w:cs="宋体"/>
          <w:bCs/>
          <w:kern w:val="28"/>
          <w:sz w:val="24"/>
          <w:szCs w:val="24"/>
        </w:rPr>
      </w:pPr>
      <w:r>
        <w:rPr>
          <w:rFonts w:hint="eastAsia" w:hAnsi="宋体" w:eastAsia="宋体" w:cs="宋体"/>
          <w:sz w:val="24"/>
          <w:szCs w:val="24"/>
        </w:rPr>
        <w:br w:type="page"/>
      </w:r>
    </w:p>
    <w:p w14:paraId="4956DC36">
      <w:pPr>
        <w:pStyle w:val="2"/>
      </w:pPr>
      <w:bookmarkStart w:id="67" w:name="_Toc32672"/>
      <w:r>
        <w:rPr>
          <w:rStyle w:val="46"/>
          <w:rFonts w:hint="eastAsia"/>
          <w:b/>
          <w:bCs/>
        </w:rPr>
        <w:t>第五章 服务标准及要求</w:t>
      </w:r>
      <w:bookmarkEnd w:id="67"/>
    </w:p>
    <w:p w14:paraId="244AD2D2">
      <w:pPr>
        <w:spacing w:line="360" w:lineRule="auto"/>
        <w:ind w:firstLine="482" w:firstLineChars="200"/>
        <w:rPr>
          <w:rFonts w:hint="eastAsia" w:ascii="宋体" w:hAnsi="宋体"/>
          <w:b/>
          <w:sz w:val="24"/>
        </w:rPr>
      </w:pPr>
      <w:bookmarkStart w:id="68" w:name="_Toc328489369"/>
      <w:bookmarkStart w:id="69" w:name="_Toc328489323"/>
      <w:r>
        <w:rPr>
          <w:rFonts w:hint="eastAsia" w:ascii="宋体" w:hAnsi="宋体"/>
          <w:b/>
          <w:sz w:val="24"/>
        </w:rPr>
        <w:t>一、招标范围</w:t>
      </w:r>
    </w:p>
    <w:p w14:paraId="6586758A">
      <w:pPr>
        <w:ind w:firstLine="482" w:firstLineChars="200"/>
        <w:rPr>
          <w:rFonts w:hint="eastAsia" w:ascii="宋体" w:hAnsi="宋体"/>
          <w:b/>
          <w:sz w:val="24"/>
        </w:rPr>
      </w:pP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1580"/>
        <w:gridCol w:w="1527"/>
        <w:gridCol w:w="1681"/>
        <w:gridCol w:w="2655"/>
      </w:tblGrid>
      <w:tr w14:paraId="49D22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654" w:type="dxa"/>
            <w:vAlign w:val="center"/>
          </w:tcPr>
          <w:p w14:paraId="72581243">
            <w:pPr>
              <w:jc w:val="center"/>
              <w:rPr>
                <w:sz w:val="24"/>
              </w:rPr>
            </w:pPr>
            <w:r>
              <w:rPr>
                <w:rFonts w:hint="eastAsia"/>
                <w:sz w:val="24"/>
              </w:rPr>
              <w:t>货物名称</w:t>
            </w:r>
          </w:p>
        </w:tc>
        <w:tc>
          <w:tcPr>
            <w:tcW w:w="1580" w:type="dxa"/>
            <w:vAlign w:val="center"/>
          </w:tcPr>
          <w:p w14:paraId="37C17A18">
            <w:pPr>
              <w:jc w:val="center"/>
              <w:rPr>
                <w:sz w:val="24"/>
              </w:rPr>
            </w:pPr>
            <w:r>
              <w:rPr>
                <w:rFonts w:hint="eastAsia"/>
                <w:sz w:val="24"/>
              </w:rPr>
              <w:t>规格/型号</w:t>
            </w:r>
          </w:p>
        </w:tc>
        <w:tc>
          <w:tcPr>
            <w:tcW w:w="1527" w:type="dxa"/>
            <w:vAlign w:val="center"/>
          </w:tcPr>
          <w:p w14:paraId="1475B7F9">
            <w:pPr>
              <w:jc w:val="center"/>
              <w:rPr>
                <w:sz w:val="24"/>
              </w:rPr>
            </w:pPr>
            <w:r>
              <w:rPr>
                <w:rFonts w:hint="eastAsia"/>
                <w:sz w:val="24"/>
              </w:rPr>
              <w:t>数量</w:t>
            </w:r>
          </w:p>
        </w:tc>
        <w:tc>
          <w:tcPr>
            <w:tcW w:w="1681" w:type="dxa"/>
            <w:vAlign w:val="center"/>
          </w:tcPr>
          <w:p w14:paraId="031F895A">
            <w:pPr>
              <w:jc w:val="center"/>
              <w:rPr>
                <w:sz w:val="24"/>
              </w:rPr>
            </w:pPr>
            <w:r>
              <w:rPr>
                <w:rFonts w:hint="eastAsia"/>
                <w:sz w:val="24"/>
              </w:rPr>
              <w:t>交货方式</w:t>
            </w:r>
          </w:p>
        </w:tc>
        <w:tc>
          <w:tcPr>
            <w:tcW w:w="2655" w:type="dxa"/>
            <w:vAlign w:val="center"/>
          </w:tcPr>
          <w:p w14:paraId="6BE4F684">
            <w:pPr>
              <w:jc w:val="center"/>
              <w:rPr>
                <w:sz w:val="24"/>
              </w:rPr>
            </w:pPr>
            <w:r>
              <w:rPr>
                <w:rFonts w:hint="eastAsia"/>
                <w:sz w:val="24"/>
              </w:rPr>
              <w:t>交货地点</w:t>
            </w:r>
          </w:p>
        </w:tc>
      </w:tr>
      <w:tr w14:paraId="5F838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654" w:type="dxa"/>
            <w:vAlign w:val="center"/>
          </w:tcPr>
          <w:p w14:paraId="1E621188">
            <w:pPr>
              <w:widowControl/>
              <w:jc w:val="center"/>
              <w:rPr>
                <w:b w:val="0"/>
                <w:bCs w:val="0"/>
                <w:color w:val="auto"/>
                <w:sz w:val="22"/>
                <w:szCs w:val="22"/>
              </w:rPr>
            </w:pPr>
            <w:r>
              <w:rPr>
                <w:rFonts w:hint="eastAsia"/>
                <w:b w:val="0"/>
                <w:bCs w:val="0"/>
                <w:color w:val="auto"/>
                <w:sz w:val="22"/>
                <w:szCs w:val="22"/>
              </w:rPr>
              <w:t>焊装螺母焊机安全改进技改项目</w:t>
            </w:r>
          </w:p>
        </w:tc>
        <w:tc>
          <w:tcPr>
            <w:tcW w:w="1580" w:type="dxa"/>
            <w:vAlign w:val="center"/>
          </w:tcPr>
          <w:p w14:paraId="33476147">
            <w:pPr>
              <w:jc w:val="center"/>
              <w:rPr>
                <w:b w:val="0"/>
                <w:bCs w:val="0"/>
                <w:color w:val="auto"/>
                <w:sz w:val="22"/>
                <w:szCs w:val="22"/>
              </w:rPr>
            </w:pPr>
            <w:r>
              <w:rPr>
                <w:rFonts w:hint="eastAsia"/>
                <w:b w:val="0"/>
                <w:bCs w:val="0"/>
                <w:color w:val="auto"/>
                <w:sz w:val="22"/>
                <w:szCs w:val="22"/>
              </w:rPr>
              <w:t>满足我方实际需求</w:t>
            </w:r>
          </w:p>
        </w:tc>
        <w:tc>
          <w:tcPr>
            <w:tcW w:w="1527" w:type="dxa"/>
            <w:vAlign w:val="center"/>
          </w:tcPr>
          <w:p w14:paraId="546BB696">
            <w:pPr>
              <w:jc w:val="center"/>
              <w:rPr>
                <w:b w:val="0"/>
                <w:bCs w:val="0"/>
                <w:color w:val="auto"/>
                <w:sz w:val="22"/>
                <w:szCs w:val="22"/>
              </w:rPr>
            </w:pPr>
            <w:r>
              <w:rPr>
                <w:rFonts w:hint="eastAsia"/>
                <w:b w:val="0"/>
                <w:bCs w:val="0"/>
                <w:color w:val="auto"/>
                <w:sz w:val="22"/>
                <w:szCs w:val="22"/>
                <w:lang w:val="en-US" w:eastAsia="zh-CN"/>
              </w:rPr>
              <w:t>3</w:t>
            </w:r>
            <w:r>
              <w:rPr>
                <w:rFonts w:hint="eastAsia"/>
                <w:b w:val="0"/>
                <w:bCs w:val="0"/>
                <w:color w:val="auto"/>
                <w:sz w:val="22"/>
                <w:szCs w:val="22"/>
              </w:rPr>
              <w:t>套</w:t>
            </w:r>
          </w:p>
        </w:tc>
        <w:tc>
          <w:tcPr>
            <w:tcW w:w="1681" w:type="dxa"/>
            <w:vAlign w:val="center"/>
          </w:tcPr>
          <w:p w14:paraId="43487182">
            <w:pPr>
              <w:jc w:val="center"/>
              <w:rPr>
                <w:b w:val="0"/>
                <w:bCs w:val="0"/>
                <w:color w:val="auto"/>
                <w:sz w:val="22"/>
                <w:szCs w:val="22"/>
              </w:rPr>
            </w:pPr>
            <w:r>
              <w:rPr>
                <w:rFonts w:hint="eastAsia"/>
                <w:b w:val="0"/>
                <w:bCs w:val="0"/>
                <w:color w:val="auto"/>
                <w:sz w:val="22"/>
                <w:szCs w:val="22"/>
              </w:rPr>
              <w:t>交钥匙方式</w:t>
            </w:r>
          </w:p>
        </w:tc>
        <w:tc>
          <w:tcPr>
            <w:tcW w:w="2655" w:type="dxa"/>
            <w:vAlign w:val="center"/>
          </w:tcPr>
          <w:p w14:paraId="4D3759F9">
            <w:pPr>
              <w:jc w:val="center"/>
              <w:rPr>
                <w:b w:val="0"/>
                <w:bCs w:val="0"/>
                <w:color w:val="auto"/>
                <w:sz w:val="22"/>
                <w:szCs w:val="22"/>
              </w:rPr>
            </w:pPr>
            <w:r>
              <w:rPr>
                <w:rFonts w:hint="eastAsia"/>
                <w:b w:val="0"/>
                <w:bCs w:val="0"/>
                <w:color w:val="auto"/>
                <w:sz w:val="22"/>
                <w:szCs w:val="22"/>
              </w:rPr>
              <w:t>山东省济宁市诗仙路369号济宁商用车厂区内</w:t>
            </w:r>
          </w:p>
        </w:tc>
      </w:tr>
    </w:tbl>
    <w:p w14:paraId="53B16D07">
      <w:pPr>
        <w:rPr>
          <w:rFonts w:hint="eastAsia" w:ascii="宋体" w:hAnsi="宋体"/>
          <w:sz w:val="24"/>
        </w:rPr>
      </w:pPr>
    </w:p>
    <w:p w14:paraId="58B09808">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1.1该工程为交钥匙工程，投标方负责甲方项目的制造与服务。</w:t>
      </w:r>
    </w:p>
    <w:p w14:paraId="09C559BB">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731000D8">
      <w:pPr>
        <w:spacing w:line="360" w:lineRule="auto"/>
        <w:ind w:firstLine="482" w:firstLineChars="200"/>
        <w:rPr>
          <w:rFonts w:hint="eastAsia" w:ascii="宋体" w:hAnsi="宋体"/>
          <w:b/>
          <w:sz w:val="24"/>
        </w:rPr>
      </w:pPr>
      <w:r>
        <w:rPr>
          <w:rFonts w:hint="eastAsia" w:ascii="宋体" w:hAnsi="宋体"/>
          <w:b/>
          <w:sz w:val="24"/>
        </w:rPr>
        <w:t>二、进度控制</w:t>
      </w:r>
      <w:bookmarkEnd w:id="68"/>
      <w:bookmarkEnd w:id="69"/>
      <w:bookmarkStart w:id="70" w:name="_Toc328489324"/>
      <w:bookmarkStart w:id="71" w:name="_Toc328489370"/>
    </w:p>
    <w:bookmarkEnd w:id="70"/>
    <w:bookmarkEnd w:id="71"/>
    <w:p w14:paraId="47FD5B39">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5DA1842E">
      <w:pPr>
        <w:spacing w:line="360" w:lineRule="auto"/>
        <w:ind w:firstLine="482" w:firstLineChars="200"/>
        <w:rPr>
          <w:rFonts w:hint="eastAsia" w:ascii="宋体" w:hAnsi="宋体"/>
          <w:b/>
          <w:sz w:val="24"/>
        </w:rPr>
      </w:pPr>
      <w:bookmarkStart w:id="72" w:name="_Toc328489326"/>
      <w:bookmarkStart w:id="73" w:name="_Toc328489372"/>
      <w:r>
        <w:rPr>
          <w:rFonts w:hint="eastAsia" w:ascii="宋体" w:hAnsi="宋体"/>
          <w:b/>
          <w:sz w:val="24"/>
        </w:rPr>
        <w:t>三、设备验收</w:t>
      </w:r>
      <w:bookmarkEnd w:id="72"/>
      <w:bookmarkEnd w:id="73"/>
    </w:p>
    <w:p w14:paraId="12B53AB7">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4D9A26CB">
      <w:pPr>
        <w:spacing w:line="360" w:lineRule="auto"/>
        <w:ind w:firstLine="482" w:firstLineChars="200"/>
        <w:rPr>
          <w:rFonts w:hint="eastAsia" w:ascii="宋体" w:hAnsi="宋体"/>
          <w:b/>
          <w:sz w:val="24"/>
        </w:rPr>
      </w:pPr>
      <w:bookmarkStart w:id="74" w:name="_Toc328489329"/>
      <w:bookmarkStart w:id="75" w:name="_Toc328489375"/>
      <w:r>
        <w:rPr>
          <w:rFonts w:hint="eastAsia" w:ascii="宋体" w:hAnsi="宋体"/>
          <w:b/>
          <w:sz w:val="24"/>
        </w:rPr>
        <w:t>四、售后服务</w:t>
      </w:r>
      <w:bookmarkEnd w:id="74"/>
      <w:bookmarkEnd w:id="75"/>
    </w:p>
    <w:p w14:paraId="5AD350D0">
      <w:pPr>
        <w:spacing w:line="360" w:lineRule="auto"/>
        <w:ind w:firstLine="480" w:firstLineChars="200"/>
        <w:rPr>
          <w:rFonts w:hint="eastAsia" w:ascii="宋体" w:hAnsi="宋体" w:cs="Times New Roman"/>
          <w:sz w:val="24"/>
        </w:rPr>
      </w:pP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r>
        <w:rPr>
          <w:rFonts w:hint="eastAsia" w:ascii="宋体" w:hAnsi="宋体" w:cs="Times New Roman"/>
          <w:sz w:val="24"/>
        </w:rPr>
        <w:t>因质量原因，元器件及零部件保修期内损坏，保修期自恢复（更换新件）之日起顺延一年。</w:t>
      </w:r>
    </w:p>
    <w:p w14:paraId="77D00FA1">
      <w:pPr>
        <w:spacing w:line="360" w:lineRule="auto"/>
        <w:ind w:firstLine="482" w:firstLineChars="200"/>
        <w:rPr>
          <w:rFonts w:hint="eastAsia" w:ascii="宋体" w:hAnsi="宋体"/>
          <w:b/>
          <w:sz w:val="24"/>
        </w:rPr>
      </w:pPr>
      <w:bookmarkStart w:id="76" w:name="_Toc328489376"/>
      <w:bookmarkStart w:id="77" w:name="_Toc328489330"/>
      <w:r>
        <w:rPr>
          <w:rFonts w:hint="eastAsia" w:ascii="宋体" w:hAnsi="宋体"/>
          <w:b/>
          <w:sz w:val="24"/>
        </w:rPr>
        <w:t>五、随机提供资料及备件</w:t>
      </w:r>
      <w:bookmarkEnd w:id="76"/>
      <w:bookmarkEnd w:id="77"/>
    </w:p>
    <w:p w14:paraId="03F48C0D">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7AD8C3D">
      <w:pPr>
        <w:spacing w:line="360" w:lineRule="auto"/>
        <w:ind w:firstLine="482" w:firstLineChars="200"/>
        <w:jc w:val="left"/>
        <w:rPr>
          <w:rFonts w:ascii="宋体" w:cs="宋体"/>
          <w:b/>
          <w:bCs/>
          <w:sz w:val="24"/>
        </w:r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p w14:paraId="67EA1B0D">
      <w:pPr>
        <w:widowControl/>
        <w:jc w:val="left"/>
        <w:rPr>
          <w:rFonts w:ascii="宋体" w:cs="宋体"/>
          <w:b/>
          <w:bCs/>
          <w:sz w:val="24"/>
        </w:rPr>
      </w:pPr>
      <w:r>
        <w:rPr>
          <w:rFonts w:ascii="宋体" w:cs="宋体"/>
          <w:b/>
          <w:bCs/>
          <w:sz w:val="24"/>
        </w:rPr>
        <w:br w:type="page"/>
      </w:r>
    </w:p>
    <w:p w14:paraId="678CAA81">
      <w:pPr>
        <w:spacing w:line="360" w:lineRule="auto"/>
        <w:ind w:firstLine="420" w:firstLineChars="200"/>
        <w:jc w:val="left"/>
        <w:sectPr>
          <w:pgSz w:w="11906" w:h="16838"/>
          <w:pgMar w:top="1440" w:right="1800" w:bottom="1440" w:left="1800" w:header="851" w:footer="992" w:gutter="0"/>
          <w:cols w:space="720" w:num="1"/>
          <w:docGrid w:type="lines" w:linePitch="312" w:charSpace="0"/>
        </w:sectPr>
      </w:pPr>
    </w:p>
    <w:bookmarkEnd w:id="26"/>
    <w:p w14:paraId="130D0D9E">
      <w:pPr>
        <w:pStyle w:val="2"/>
        <w:rPr>
          <w:rStyle w:val="46"/>
          <w:b/>
          <w:bCs/>
        </w:rPr>
      </w:pPr>
      <w:bookmarkStart w:id="78" w:name="_Toc518655787"/>
      <w:bookmarkStart w:id="79" w:name="_Toc21617"/>
      <w:bookmarkStart w:id="80" w:name="_Toc37059827"/>
      <w:bookmarkStart w:id="81" w:name="_Toc119413766"/>
      <w:bookmarkStart w:id="82" w:name="_Toc301469810"/>
      <w:r>
        <w:rPr>
          <w:rStyle w:val="46"/>
          <w:rFonts w:hint="eastAsia"/>
          <w:b/>
          <w:bCs/>
        </w:rPr>
        <w:t>第六章  设备采购合同</w:t>
      </w:r>
      <w:bookmarkEnd w:id="78"/>
    </w:p>
    <w:p w14:paraId="0C7C1B25">
      <w:pPr>
        <w:pStyle w:val="2"/>
        <w:rPr>
          <w:rStyle w:val="46"/>
          <w:b/>
          <w:bCs/>
        </w:rPr>
      </w:pPr>
      <w:bookmarkStart w:id="83" w:name="_Toc17849"/>
      <w:r>
        <w:rPr>
          <w:rStyle w:val="46"/>
          <w:rFonts w:hint="eastAsia"/>
          <w:b/>
          <w:bCs/>
        </w:rPr>
        <w:t>（以经相关部门审核的最终签署版本为准）</w:t>
      </w:r>
      <w:bookmarkEnd w:id="79"/>
      <w:bookmarkEnd w:id="80"/>
      <w:bookmarkEnd w:id="83"/>
    </w:p>
    <w:p w14:paraId="1A6A1D4A">
      <w:pPr>
        <w:adjustRightInd w:val="0"/>
        <w:snapToGrid w:val="0"/>
        <w:spacing w:line="360" w:lineRule="auto"/>
        <w:jc w:val="left"/>
        <w:rPr>
          <w:rFonts w:hint="eastAsia" w:ascii="宋体" w:hAnsi="宋体"/>
          <w:sz w:val="20"/>
          <w:szCs w:val="20"/>
        </w:rPr>
      </w:pPr>
      <w:bookmarkStart w:id="84"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85" w:name="_Toc11930"/>
      <w:bookmarkStart w:id="86" w:name="_Toc19169"/>
      <w:bookmarkStart w:id="87" w:name="_Toc11823"/>
      <w:bookmarkStart w:id="88" w:name="_Toc16330018"/>
      <w:bookmarkStart w:id="89" w:name="_Toc17619"/>
      <w:r>
        <w:rPr>
          <w:rFonts w:hint="eastAsia" w:ascii="仿宋_GB2312" w:hAnsi="仿宋_GB2312" w:eastAsia="仿宋_GB2312" w:cs="仿宋_GB2312"/>
          <w:sz w:val="24"/>
          <w:szCs w:val="24"/>
        </w:rPr>
        <w:t>1 合同设备</w:t>
      </w:r>
      <w:bookmarkEnd w:id="85"/>
      <w:bookmarkEnd w:id="86"/>
      <w:bookmarkEnd w:id="87"/>
      <w:bookmarkEnd w:id="88"/>
      <w:bookmarkEnd w:id="89"/>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0" w:name="_Toc32510"/>
      <w:bookmarkStart w:id="91" w:name="_Toc22800"/>
      <w:bookmarkStart w:id="92" w:name="_Toc29026"/>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93" w:name="_Toc16330019"/>
      <w:bookmarkStart w:id="94" w:name="_Toc13311"/>
      <w:r>
        <w:rPr>
          <w:rFonts w:hint="eastAsia" w:ascii="仿宋_GB2312" w:hAnsi="仿宋_GB2312" w:eastAsia="仿宋_GB2312" w:cs="仿宋_GB2312"/>
          <w:sz w:val="24"/>
          <w:szCs w:val="24"/>
        </w:rPr>
        <w:t>2 包装</w:t>
      </w:r>
      <w:bookmarkEnd w:id="90"/>
      <w:bookmarkEnd w:id="91"/>
      <w:bookmarkEnd w:id="92"/>
      <w:bookmarkEnd w:id="93"/>
      <w:bookmarkEnd w:id="94"/>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95" w:name="_Toc21008"/>
      <w:bookmarkStart w:id="96" w:name="_Toc2833"/>
      <w:bookmarkStart w:id="97" w:name="_Toc27453"/>
      <w:bookmarkStart w:id="98" w:name="_Toc16330020"/>
      <w:bookmarkStart w:id="99" w:name="_Toc27144"/>
      <w:r>
        <w:rPr>
          <w:rFonts w:hint="eastAsia" w:ascii="仿宋_GB2312" w:hAnsi="仿宋_GB2312" w:eastAsia="仿宋_GB2312" w:cs="仿宋_GB2312"/>
          <w:sz w:val="24"/>
          <w:szCs w:val="24"/>
        </w:rPr>
        <w:t>3 运输标记</w:t>
      </w:r>
      <w:bookmarkEnd w:id="95"/>
      <w:bookmarkEnd w:id="96"/>
      <w:bookmarkEnd w:id="97"/>
      <w:bookmarkEnd w:id="98"/>
      <w:bookmarkEnd w:id="99"/>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6133"/>
      <w:bookmarkStart w:id="101" w:name="_Toc25103"/>
      <w:bookmarkStart w:id="102" w:name="_Toc7431"/>
      <w:bookmarkStart w:id="103" w:name="_Toc16330021"/>
      <w:bookmarkStart w:id="104" w:name="_Toc10630"/>
      <w:r>
        <w:rPr>
          <w:rFonts w:hint="eastAsia" w:ascii="仿宋_GB2312" w:hAnsi="仿宋_GB2312" w:eastAsia="仿宋_GB2312" w:cs="仿宋_GB2312"/>
          <w:sz w:val="24"/>
          <w:szCs w:val="24"/>
        </w:rPr>
        <w:t>4 检验</w:t>
      </w:r>
      <w:bookmarkEnd w:id="100"/>
      <w:bookmarkEnd w:id="101"/>
      <w:bookmarkEnd w:id="102"/>
      <w:bookmarkEnd w:id="103"/>
      <w:bookmarkEnd w:id="104"/>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05" w:name="_Toc16330022"/>
      <w:bookmarkStart w:id="106" w:name="_Toc11217"/>
      <w:bookmarkStart w:id="107" w:name="_Toc20531"/>
      <w:bookmarkStart w:id="108" w:name="_Toc19850"/>
      <w:bookmarkStart w:id="109" w:name="_Toc24467"/>
      <w:r>
        <w:rPr>
          <w:rFonts w:hint="eastAsia" w:ascii="仿宋_GB2312" w:hAnsi="仿宋_GB2312" w:eastAsia="仿宋_GB2312" w:cs="仿宋_GB2312"/>
          <w:sz w:val="24"/>
          <w:szCs w:val="24"/>
        </w:rPr>
        <w:t>5 权利担保</w:t>
      </w:r>
      <w:bookmarkEnd w:id="105"/>
      <w:bookmarkEnd w:id="106"/>
      <w:bookmarkEnd w:id="107"/>
      <w:bookmarkEnd w:id="108"/>
      <w:bookmarkEnd w:id="109"/>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0" w:name="_Toc14809"/>
      <w:bookmarkStart w:id="111" w:name="_Toc11759"/>
      <w:bookmarkStart w:id="112" w:name="_Toc27500"/>
      <w:bookmarkStart w:id="113" w:name="_Toc21842"/>
      <w:bookmarkStart w:id="114" w:name="_Toc16330023"/>
      <w:r>
        <w:rPr>
          <w:rFonts w:hint="eastAsia" w:ascii="仿宋_GB2312" w:hAnsi="仿宋_GB2312" w:eastAsia="仿宋_GB2312" w:cs="仿宋_GB2312"/>
          <w:sz w:val="24"/>
          <w:szCs w:val="24"/>
        </w:rPr>
        <w:t>6 交货</w:t>
      </w:r>
      <w:bookmarkEnd w:id="110"/>
      <w:bookmarkEnd w:id="111"/>
      <w:bookmarkEnd w:id="112"/>
      <w:bookmarkEnd w:id="113"/>
      <w:bookmarkEnd w:id="114"/>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15" w:name="_Toc6532"/>
      <w:bookmarkStart w:id="116" w:name="_Toc2984"/>
      <w:bookmarkStart w:id="117" w:name="_Toc25510"/>
      <w:bookmarkStart w:id="118" w:name="_Toc16330024"/>
      <w:bookmarkStart w:id="119" w:name="_Toc8024"/>
      <w:r>
        <w:rPr>
          <w:rFonts w:hint="eastAsia" w:ascii="仿宋_GB2312" w:hAnsi="仿宋_GB2312" w:eastAsia="仿宋_GB2312" w:cs="仿宋_GB2312"/>
          <w:sz w:val="24"/>
          <w:szCs w:val="24"/>
        </w:rPr>
        <w:t>7 安装、调试</w:t>
      </w:r>
      <w:bookmarkEnd w:id="115"/>
      <w:bookmarkEnd w:id="116"/>
      <w:bookmarkEnd w:id="117"/>
      <w:bookmarkEnd w:id="118"/>
      <w:bookmarkEnd w:id="119"/>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0" w:name="_Toc14098"/>
      <w:bookmarkStart w:id="121" w:name="_Toc16330025"/>
      <w:bookmarkStart w:id="122" w:name="_Toc14260"/>
      <w:bookmarkStart w:id="123" w:name="_Toc19374"/>
      <w:bookmarkStart w:id="124" w:name="_Toc6350"/>
      <w:r>
        <w:rPr>
          <w:rFonts w:hint="eastAsia" w:ascii="仿宋_GB2312" w:hAnsi="仿宋_GB2312" w:eastAsia="仿宋_GB2312" w:cs="仿宋_GB2312"/>
          <w:sz w:val="24"/>
          <w:szCs w:val="24"/>
        </w:rPr>
        <w:t>8 价款与支付</w:t>
      </w:r>
      <w:bookmarkEnd w:id="120"/>
      <w:bookmarkEnd w:id="121"/>
      <w:bookmarkEnd w:id="122"/>
      <w:bookmarkEnd w:id="123"/>
      <w:bookmarkEnd w:id="124"/>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19954B02">
      <w:pPr>
        <w:spacing w:line="360" w:lineRule="auto"/>
        <w:ind w:firstLine="453" w:firstLineChars="189"/>
        <w:rPr>
          <w:rFonts w:hint="eastAsia" w:ascii="仿宋_GB2312" w:hAnsi="仿宋_GB2312" w:eastAsia="仿宋_GB2312" w:cs="仿宋_GB2312"/>
          <w:sz w:val="24"/>
        </w:rPr>
      </w:pPr>
      <w:bookmarkStart w:id="125" w:name="_Toc25708"/>
      <w:bookmarkStart w:id="126" w:name="_Toc16330026"/>
      <w:bookmarkStart w:id="127" w:name="_Toc24085"/>
      <w:bookmarkStart w:id="128" w:name="_Toc6726"/>
      <w:bookmarkStart w:id="129" w:name="_Toc3230"/>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合同生效、设备全部到齐无质量问题后，卖方提交金额为合同含税价款30%的收据及合同全额30%增值税专用发票(税率为13%，正本一份，复印件二份)，经买方依照财务制度审核无误后支付。</w:t>
      </w:r>
    </w:p>
    <w:p w14:paraId="23905C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设备经安装、调试最终验收合格后，卖方提交金额为合同含税价款 60 %的收据及合同全额70 %增值税专用发票(税率为13%，正本一份，复印件二份)并附带该套合同设备最终验收报告的原件及其复印件两份，经买方依照财务制度审核无误后支付。</w:t>
      </w:r>
    </w:p>
    <w:p w14:paraId="48B386E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C.</w:t>
      </w:r>
      <w:r>
        <w:rPr>
          <w:rFonts w:hint="eastAsia" w:ascii="仿宋_GB2312" w:hAnsi="仿宋_GB2312" w:eastAsia="仿宋_GB2312" w:cs="仿宋_GB2312"/>
          <w:sz w:val="24"/>
        </w:rPr>
        <w:t>合同含税总价款的10%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25"/>
      <w:bookmarkEnd w:id="126"/>
      <w:bookmarkEnd w:id="127"/>
      <w:bookmarkEnd w:id="128"/>
      <w:bookmarkEnd w:id="129"/>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0" w:name="_Toc2169"/>
      <w:bookmarkStart w:id="131" w:name="_Toc16330027"/>
      <w:bookmarkStart w:id="132" w:name="_Toc15570"/>
      <w:bookmarkStart w:id="133" w:name="_Toc10359"/>
      <w:bookmarkStart w:id="134" w:name="_Toc12927"/>
      <w:r>
        <w:rPr>
          <w:rFonts w:hint="eastAsia" w:ascii="仿宋_GB2312" w:hAnsi="仿宋_GB2312" w:eastAsia="仿宋_GB2312" w:cs="仿宋_GB2312"/>
          <w:sz w:val="24"/>
          <w:szCs w:val="24"/>
        </w:rPr>
        <w:t>10法定责任</w:t>
      </w:r>
      <w:bookmarkEnd w:id="130"/>
      <w:bookmarkEnd w:id="131"/>
      <w:bookmarkEnd w:id="132"/>
      <w:bookmarkEnd w:id="133"/>
      <w:bookmarkEnd w:id="134"/>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35" w:name="_Toc30381"/>
      <w:bookmarkStart w:id="136" w:name="_Toc18967"/>
      <w:bookmarkStart w:id="137" w:name="_Toc9708"/>
      <w:bookmarkStart w:id="138" w:name="_Toc27314"/>
      <w:bookmarkStart w:id="139" w:name="_Toc16330028"/>
      <w:r>
        <w:rPr>
          <w:rFonts w:hint="eastAsia" w:ascii="仿宋_GB2312" w:hAnsi="仿宋_GB2312" w:eastAsia="仿宋_GB2312" w:cs="仿宋_GB2312"/>
          <w:sz w:val="24"/>
          <w:szCs w:val="24"/>
        </w:rPr>
        <w:t>11 违约责任</w:t>
      </w:r>
      <w:bookmarkEnd w:id="135"/>
      <w:bookmarkEnd w:id="136"/>
      <w:bookmarkEnd w:id="137"/>
      <w:bookmarkEnd w:id="138"/>
      <w:bookmarkEnd w:id="139"/>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0" w:name="_Toc31554"/>
      <w:bookmarkStart w:id="141" w:name="_Toc16330029"/>
      <w:bookmarkStart w:id="142" w:name="_Toc21020"/>
      <w:bookmarkStart w:id="143" w:name="_Toc1827"/>
      <w:bookmarkStart w:id="144" w:name="_Toc9172"/>
      <w:r>
        <w:rPr>
          <w:rFonts w:hint="eastAsia" w:ascii="仿宋_GB2312" w:hAnsi="仿宋_GB2312" w:eastAsia="仿宋_GB2312" w:cs="仿宋_GB2312"/>
          <w:sz w:val="24"/>
          <w:szCs w:val="24"/>
        </w:rPr>
        <w:t>12 合同的终止与解除</w:t>
      </w:r>
      <w:bookmarkEnd w:id="140"/>
      <w:bookmarkEnd w:id="141"/>
      <w:bookmarkEnd w:id="142"/>
      <w:bookmarkEnd w:id="143"/>
      <w:bookmarkEnd w:id="144"/>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45" w:name="_Toc31945"/>
      <w:bookmarkStart w:id="146" w:name="_Toc8620"/>
      <w:bookmarkStart w:id="147" w:name="_Toc13671"/>
      <w:bookmarkStart w:id="148" w:name="_Toc16330030"/>
      <w:bookmarkStart w:id="149" w:name="_Toc20000"/>
      <w:r>
        <w:rPr>
          <w:rFonts w:hint="eastAsia" w:ascii="仿宋_GB2312" w:hAnsi="仿宋_GB2312" w:eastAsia="仿宋_GB2312" w:cs="仿宋_GB2312"/>
          <w:sz w:val="24"/>
          <w:szCs w:val="24"/>
        </w:rPr>
        <w:t>13 不可抗力</w:t>
      </w:r>
      <w:bookmarkEnd w:id="145"/>
      <w:bookmarkEnd w:id="146"/>
      <w:bookmarkEnd w:id="147"/>
      <w:bookmarkEnd w:id="148"/>
      <w:bookmarkEnd w:id="149"/>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0" w:name="_Toc28106"/>
      <w:bookmarkStart w:id="151" w:name="_Toc637"/>
      <w:bookmarkStart w:id="152" w:name="_Toc31243"/>
      <w:bookmarkStart w:id="153" w:name="_Toc16330031"/>
      <w:bookmarkStart w:id="154" w:name="_Toc30389"/>
      <w:r>
        <w:rPr>
          <w:rFonts w:hint="eastAsia" w:ascii="仿宋_GB2312" w:hAnsi="仿宋_GB2312" w:eastAsia="仿宋_GB2312" w:cs="仿宋_GB2312"/>
          <w:sz w:val="24"/>
          <w:szCs w:val="24"/>
        </w:rPr>
        <w:t>14 通讯</w:t>
      </w:r>
      <w:bookmarkEnd w:id="150"/>
      <w:bookmarkEnd w:id="151"/>
      <w:bookmarkEnd w:id="152"/>
      <w:bookmarkEnd w:id="153"/>
      <w:bookmarkEnd w:id="154"/>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55" w:name="_Toc11290"/>
      <w:bookmarkStart w:id="156" w:name="_Toc9177"/>
      <w:bookmarkStart w:id="157" w:name="_Toc12984"/>
      <w:bookmarkStart w:id="158" w:name="_Toc9915"/>
      <w:bookmarkStart w:id="159" w:name="_Toc16330032"/>
      <w:r>
        <w:rPr>
          <w:rFonts w:hint="eastAsia" w:ascii="仿宋_GB2312" w:hAnsi="仿宋_GB2312" w:eastAsia="仿宋_GB2312" w:cs="仿宋_GB2312"/>
          <w:sz w:val="24"/>
          <w:szCs w:val="24"/>
        </w:rPr>
        <w:t>15 适用法律及争议解决</w:t>
      </w:r>
      <w:bookmarkEnd w:id="155"/>
      <w:bookmarkEnd w:id="156"/>
      <w:bookmarkEnd w:id="157"/>
      <w:bookmarkEnd w:id="158"/>
      <w:bookmarkEnd w:id="159"/>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0" w:name="_Toc18207"/>
      <w:bookmarkStart w:id="161" w:name="_Toc23765"/>
      <w:bookmarkStart w:id="162" w:name="_Toc16330033"/>
      <w:bookmarkStart w:id="163" w:name="_Toc4599"/>
      <w:bookmarkStart w:id="164" w:name="_Toc23906"/>
      <w:r>
        <w:rPr>
          <w:rFonts w:hint="eastAsia" w:ascii="仿宋_GB2312" w:hAnsi="仿宋_GB2312" w:eastAsia="仿宋_GB2312" w:cs="仿宋_GB2312"/>
          <w:sz w:val="24"/>
          <w:szCs w:val="24"/>
        </w:rPr>
        <w:t>16 附件</w:t>
      </w:r>
      <w:bookmarkEnd w:id="160"/>
      <w:bookmarkEnd w:id="161"/>
      <w:bookmarkEnd w:id="162"/>
      <w:bookmarkEnd w:id="163"/>
      <w:bookmarkEnd w:id="164"/>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65" w:name="_Toc27202"/>
      <w:bookmarkStart w:id="166" w:name="_Toc26739"/>
      <w:bookmarkStart w:id="167" w:name="_Toc16330034"/>
      <w:bookmarkStart w:id="168" w:name="_Toc31331"/>
      <w:bookmarkStart w:id="169" w:name="_Toc17656"/>
      <w:r>
        <w:rPr>
          <w:rFonts w:hint="eastAsia" w:ascii="仿宋_GB2312" w:hAnsi="仿宋_GB2312" w:eastAsia="仿宋_GB2312" w:cs="仿宋_GB2312"/>
          <w:sz w:val="24"/>
          <w:szCs w:val="24"/>
        </w:rPr>
        <w:t>17 其他规定</w:t>
      </w:r>
      <w:bookmarkEnd w:id="165"/>
      <w:bookmarkEnd w:id="166"/>
      <w:bookmarkEnd w:id="167"/>
      <w:bookmarkEnd w:id="168"/>
      <w:bookmarkEnd w:id="169"/>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0" w:name="_Toc17952"/>
      <w:bookmarkStart w:id="171" w:name="_Toc19077"/>
      <w:bookmarkStart w:id="172" w:name="_Toc16330035"/>
      <w:bookmarkStart w:id="173" w:name="_Toc29136"/>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74" w:name="_Toc19820"/>
      <w:r>
        <w:rPr>
          <w:rFonts w:hint="eastAsia" w:ascii="仿宋_GB2312" w:hAnsi="仿宋_GB2312" w:eastAsia="仿宋_GB2312" w:cs="仿宋_GB2312"/>
          <w:sz w:val="24"/>
          <w:szCs w:val="24"/>
        </w:rPr>
        <w:t>18 签署事项</w:t>
      </w:r>
      <w:bookmarkEnd w:id="170"/>
      <w:bookmarkEnd w:id="171"/>
      <w:bookmarkEnd w:id="172"/>
      <w:bookmarkEnd w:id="173"/>
      <w:bookmarkEnd w:id="174"/>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6ACA04A1">
      <w:pPr>
        <w:jc w:val="right"/>
        <w:rPr>
          <w:rFonts w:hint="eastAsia" w:ascii="宋体" w:hAnsi="宋体"/>
        </w:rPr>
      </w:pPr>
      <w:r>
        <w:rPr>
          <w:rFonts w:hint="eastAsia" w:ascii="宋体" w:hAnsi="宋体"/>
          <w:sz w:val="24"/>
        </w:rPr>
        <w:t xml:space="preserve">                          </w:t>
      </w:r>
      <w:bookmarkEnd w:id="84"/>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1"/>
    <w:bookmarkEnd w:id="82"/>
    <w:p w14:paraId="15B0AB2B">
      <w:pPr>
        <w:pStyle w:val="2"/>
      </w:pPr>
      <w:bookmarkStart w:id="175" w:name="_Toc17510"/>
      <w:bookmarkStart w:id="176" w:name="_Toc6299"/>
      <w:r>
        <w:rPr>
          <w:rFonts w:hint="eastAsia"/>
        </w:rPr>
        <w:t>第七章 投标文件格式</w:t>
      </w:r>
      <w:bookmarkEnd w:id="175"/>
      <w:bookmarkEnd w:id="176"/>
    </w:p>
    <w:p w14:paraId="64BCE412">
      <w:pPr>
        <w:pStyle w:val="3"/>
        <w:spacing w:before="156"/>
      </w:pPr>
      <w:bookmarkStart w:id="177" w:name="_Toc146698136"/>
      <w:bookmarkStart w:id="178" w:name="_Toc4150"/>
      <w:bookmarkStart w:id="179" w:name="_Toc9331"/>
      <w:r>
        <w:rPr>
          <w:rFonts w:hint="eastAsia"/>
        </w:rPr>
        <w:t>一、投标函</w:t>
      </w:r>
      <w:bookmarkEnd w:id="177"/>
      <w:bookmarkEnd w:id="178"/>
      <w:bookmarkEnd w:id="179"/>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2"/>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2"/>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2"/>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2"/>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2"/>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2"/>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0" w:name="_Toc146698137"/>
      <w:bookmarkStart w:id="181" w:name="_Toc216"/>
      <w:bookmarkStart w:id="182" w:name="_Toc29501"/>
      <w:r>
        <w:rPr>
          <w:rFonts w:hint="eastAsia"/>
        </w:rPr>
        <w:t>二、法定代表人授权书</w:t>
      </w:r>
      <w:bookmarkEnd w:id="180"/>
      <w:bookmarkEnd w:id="181"/>
      <w:bookmarkEnd w:id="182"/>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83" w:name="_Toc301469812"/>
      <w:bookmarkStart w:id="184" w:name="_Toc119413768"/>
    </w:p>
    <w:bookmarkEnd w:id="183"/>
    <w:bookmarkEnd w:id="184"/>
    <w:p w14:paraId="33C77D45">
      <w:pPr>
        <w:pStyle w:val="3"/>
        <w:spacing w:before="156"/>
      </w:pPr>
      <w:bookmarkStart w:id="185" w:name="_Hlt119329906"/>
      <w:bookmarkEnd w:id="185"/>
      <w:bookmarkStart w:id="186" w:name="_Toc11449"/>
      <w:bookmarkStart w:id="187" w:name="_Toc11854"/>
      <w:bookmarkStart w:id="188" w:name="_Toc146698138"/>
      <w:r>
        <w:rPr>
          <w:rFonts w:hint="eastAsia"/>
          <w:sz w:val="24"/>
          <w:szCs w:val="24"/>
        </w:rPr>
        <w:t>三、</w:t>
      </w:r>
      <w:r>
        <w:rPr>
          <w:rFonts w:hint="eastAsia"/>
        </w:rPr>
        <w:t>唱标单</w:t>
      </w:r>
      <w:bookmarkEnd w:id="186"/>
      <w:bookmarkEnd w:id="187"/>
      <w:bookmarkEnd w:id="188"/>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89" w:name="_Toc301469814"/>
      <w:bookmarkStart w:id="190"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1" w:name="_Toc30398"/>
      <w:bookmarkStart w:id="192" w:name="_Toc22187"/>
      <w:bookmarkStart w:id="193" w:name="_Toc146698139"/>
      <w:r>
        <w:rPr>
          <w:rFonts w:hint="eastAsia"/>
        </w:rPr>
        <w:t>四、企业基本情况</w:t>
      </w:r>
      <w:bookmarkEnd w:id="189"/>
      <w:bookmarkEnd w:id="190"/>
      <w:r>
        <w:rPr>
          <w:rFonts w:hint="eastAsia"/>
        </w:rPr>
        <w:t>介绍</w:t>
      </w:r>
      <w:bookmarkEnd w:id="191"/>
      <w:bookmarkEnd w:id="192"/>
      <w:bookmarkEnd w:id="193"/>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94" w:name="_Toc301469815"/>
            <w:bookmarkStart w:id="195"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196" w:name="_Toc16064006"/>
      <w:bookmarkStart w:id="197" w:name="_Toc146698140"/>
      <w:bookmarkStart w:id="198" w:name="_Toc6833"/>
      <w:bookmarkStart w:id="199" w:name="_Toc8525"/>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196"/>
      <w:bookmarkEnd w:id="197"/>
      <w:bookmarkEnd w:id="198"/>
      <w:bookmarkEnd w:id="199"/>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2</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3</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0" w:name="_Toc12385"/>
      <w:bookmarkStart w:id="201" w:name="_Toc146698141"/>
      <w:bookmarkStart w:id="202" w:name="_Toc16064001"/>
      <w:bookmarkStart w:id="203" w:name="_Toc13417"/>
      <w:bookmarkStart w:id="204" w:name="_Toc6247"/>
      <w:bookmarkStart w:id="205" w:name="_Toc17701"/>
      <w:bookmarkStart w:id="206" w:name="_Toc14471"/>
      <w:bookmarkStart w:id="207" w:name="_Toc17817351"/>
      <w:bookmarkStart w:id="208" w:name="_Toc20930"/>
      <w:r>
        <w:rPr>
          <w:rFonts w:hint="eastAsia"/>
        </w:rPr>
        <w:t>六、投标保证金</w:t>
      </w:r>
      <w:bookmarkEnd w:id="200"/>
      <w:bookmarkEnd w:id="201"/>
      <w:bookmarkEnd w:id="202"/>
      <w:bookmarkEnd w:id="203"/>
      <w:bookmarkEnd w:id="204"/>
      <w:bookmarkEnd w:id="205"/>
      <w:bookmarkEnd w:id="206"/>
      <w:bookmarkEnd w:id="207"/>
      <w:bookmarkEnd w:id="208"/>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09" w:name="_Toc146698142"/>
      <w:bookmarkStart w:id="210" w:name="_Toc10110"/>
      <w:bookmarkStart w:id="211" w:name="_Toc21223"/>
      <w:r>
        <w:rPr>
          <w:rFonts w:hint="eastAsia"/>
        </w:rPr>
        <w:t>七、项目负责人简历表</w:t>
      </w:r>
      <w:bookmarkEnd w:id="209"/>
      <w:bookmarkEnd w:id="210"/>
      <w:bookmarkEnd w:id="21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2"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13" w:name="_Toc30903"/>
      <w:bookmarkStart w:id="214"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2"/>
      <w:bookmarkEnd w:id="213"/>
      <w:bookmarkEnd w:id="214"/>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94"/>
    <w:bookmarkEnd w:id="195"/>
    <w:p w14:paraId="0F28EE13">
      <w:pPr>
        <w:pStyle w:val="3"/>
        <w:spacing w:before="156"/>
      </w:pPr>
      <w:bookmarkStart w:id="215" w:name="_Toc146698143"/>
      <w:bookmarkStart w:id="216" w:name="_Toc13973"/>
      <w:bookmarkStart w:id="217" w:name="_Toc13648"/>
      <w:r>
        <w:rPr>
          <w:rFonts w:hint="eastAsia"/>
        </w:rPr>
        <w:t>九、方案、承诺及其他</w:t>
      </w:r>
      <w:bookmarkEnd w:id="215"/>
      <w:bookmarkEnd w:id="216"/>
      <w:bookmarkEnd w:id="217"/>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3"/>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3"/>
        </w:numPr>
        <w:spacing w:line="360" w:lineRule="auto"/>
        <w:rPr>
          <w:rFonts w:ascii="宋体" w:cs="宋体"/>
          <w:sz w:val="24"/>
        </w:rPr>
      </w:pPr>
      <w:r>
        <w:rPr>
          <w:rFonts w:hint="eastAsia" w:ascii="宋体" w:cs="宋体"/>
          <w:sz w:val="24"/>
        </w:rPr>
        <w:t>对投标项目的合理化建议；</w:t>
      </w:r>
    </w:p>
    <w:p w14:paraId="4F2C864D">
      <w:pPr>
        <w:numPr>
          <w:ilvl w:val="0"/>
          <w:numId w:val="13"/>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3"/>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3"/>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18" w:name="_Toc5516"/>
      <w:bookmarkStart w:id="219" w:name="_Toc146698144"/>
      <w:bookmarkStart w:id="220" w:name="_Toc4580"/>
      <w:r>
        <w:rPr>
          <w:rFonts w:hint="eastAsia"/>
        </w:rPr>
        <w:t>十、相关法律法规清单</w:t>
      </w:r>
      <w:bookmarkEnd w:id="218"/>
      <w:bookmarkEnd w:id="219"/>
      <w:bookmarkEnd w:id="220"/>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1" w:name="_Toc38011323"/>
      <w:bookmarkStart w:id="222" w:name="_Toc26462"/>
      <w:bookmarkStart w:id="223" w:name="_Toc146698145"/>
      <w:bookmarkStart w:id="224" w:name="_Toc26480"/>
      <w:r>
        <w:rPr>
          <w:rFonts w:hint="eastAsia"/>
        </w:rPr>
        <w:t>十一、商务、技术偏离表</w:t>
      </w:r>
      <w:bookmarkEnd w:id="221"/>
      <w:bookmarkEnd w:id="222"/>
      <w:bookmarkEnd w:id="223"/>
      <w:bookmarkEnd w:id="224"/>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25" w:name="_Toc15477"/>
      <w:bookmarkStart w:id="226" w:name="_Toc146698146"/>
      <w:bookmarkStart w:id="227" w:name="_Toc232"/>
      <w:bookmarkStart w:id="228" w:name="_Toc16064009"/>
      <w:r>
        <w:rPr>
          <w:rFonts w:hint="eastAsia"/>
        </w:rPr>
        <w:t>十二、其它资信材料</w:t>
      </w:r>
      <w:bookmarkEnd w:id="225"/>
      <w:bookmarkEnd w:id="226"/>
      <w:bookmarkEnd w:id="227"/>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28"/>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29"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29"/>
    </w:p>
    <w:p w14:paraId="41A48591">
      <w:pPr>
        <w:pStyle w:val="4"/>
        <w:numPr>
          <w:ilvl w:val="0"/>
          <w:numId w:val="14"/>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7"/>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8"/>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9"/>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0"/>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1"/>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2"/>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3"/>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0"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0"/>
    </w:p>
    <w:p w14:paraId="58CB8766">
      <w:pPr>
        <w:spacing w:line="360" w:lineRule="auto"/>
        <w:outlineLvl w:val="9"/>
        <w:rPr>
          <w:rFonts w:hint="eastAsia" w:ascii="宋体" w:hAnsi="宋体" w:cs="宋体"/>
          <w:sz w:val="24"/>
        </w:rPr>
      </w:pPr>
      <w:bookmarkStart w:id="231" w:name="_Toc29877"/>
      <w:r>
        <w:rPr>
          <w:rFonts w:ascii="宋体" w:hAnsi="宋体" w:cs="宋体"/>
          <w:color w:val="000000"/>
          <w:sz w:val="24"/>
        </w:rPr>
        <w:t>点击查看进入查看中标项目详情</w:t>
      </w:r>
      <w:bookmarkEnd w:id="231"/>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8">
    <w:nsid w:val="32B4CFF0"/>
    <w:multiLevelType w:val="singleLevel"/>
    <w:tmpl w:val="32B4CFF0"/>
    <w:lvl w:ilvl="0" w:tentative="0">
      <w:start w:val="3"/>
      <w:numFmt w:val="chineseCounting"/>
      <w:suff w:val="space"/>
      <w:lvlText w:val="第%1章"/>
      <w:lvlJc w:val="left"/>
      <w:rPr>
        <w:rFonts w:hint="eastAsia"/>
      </w:rPr>
    </w:lvl>
  </w:abstractNum>
  <w:abstractNum w:abstractNumId="9">
    <w:nsid w:val="4F81FD32"/>
    <w:multiLevelType w:val="singleLevel"/>
    <w:tmpl w:val="4F81FD32"/>
    <w:lvl w:ilvl="0" w:tentative="0">
      <w:start w:val="1"/>
      <w:numFmt w:val="chineseCounting"/>
      <w:suff w:val="space"/>
      <w:lvlText w:val="第%1章"/>
      <w:lvlJc w:val="left"/>
      <w:rPr>
        <w:rFonts w:hint="eastAsia"/>
      </w:rPr>
    </w:lvl>
  </w:abstractNum>
  <w:abstractNum w:abstractNumId="10">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1">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9"/>
  </w:num>
  <w:num w:numId="2">
    <w:abstractNumId w:val="12"/>
  </w:num>
  <w:num w:numId="3">
    <w:abstractNumId w:val="5"/>
  </w:num>
  <w:num w:numId="4">
    <w:abstractNumId w:val="6"/>
  </w:num>
  <w:num w:numId="5">
    <w:abstractNumId w:val="11"/>
  </w:num>
  <w:num w:numId="6">
    <w:abstractNumId w:val="2"/>
  </w:num>
  <w:num w:numId="7">
    <w:abstractNumId w:val="7"/>
  </w:num>
  <w:num w:numId="8">
    <w:abstractNumId w:val="3"/>
  </w:num>
  <w:num w:numId="9">
    <w:abstractNumId w:val="13"/>
  </w:num>
  <w:num w:numId="10">
    <w:abstractNumId w:val="1"/>
  </w:num>
  <w:num w:numId="11">
    <w:abstractNumId w:val="8"/>
  </w:num>
  <w:num w:numId="12">
    <w:abstractNumId w:val="10"/>
  </w:num>
  <w:num w:numId="13">
    <w:abstractNumId w:val="4"/>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0E6A"/>
    <w:rsid w:val="00FE10DD"/>
    <w:rsid w:val="00FE1F3E"/>
    <w:rsid w:val="00FE7A8F"/>
    <w:rsid w:val="00FE7CE4"/>
    <w:rsid w:val="00FF10F8"/>
    <w:rsid w:val="00FF193A"/>
    <w:rsid w:val="00FF3716"/>
    <w:rsid w:val="00FF54E7"/>
    <w:rsid w:val="010A0887"/>
    <w:rsid w:val="011B57BD"/>
    <w:rsid w:val="01297420"/>
    <w:rsid w:val="01B42948"/>
    <w:rsid w:val="02101F8F"/>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791EDF"/>
    <w:rsid w:val="05CD25D7"/>
    <w:rsid w:val="05CD3FD8"/>
    <w:rsid w:val="05E912CD"/>
    <w:rsid w:val="05EA3EAD"/>
    <w:rsid w:val="06521C32"/>
    <w:rsid w:val="06741515"/>
    <w:rsid w:val="067803E8"/>
    <w:rsid w:val="06C97BAD"/>
    <w:rsid w:val="06E06011"/>
    <w:rsid w:val="07512980"/>
    <w:rsid w:val="07550729"/>
    <w:rsid w:val="07B7674A"/>
    <w:rsid w:val="07FF5CCC"/>
    <w:rsid w:val="0820745B"/>
    <w:rsid w:val="08615656"/>
    <w:rsid w:val="086E682C"/>
    <w:rsid w:val="087A7083"/>
    <w:rsid w:val="087E697D"/>
    <w:rsid w:val="09111BA8"/>
    <w:rsid w:val="091B0441"/>
    <w:rsid w:val="09261188"/>
    <w:rsid w:val="094F2FDA"/>
    <w:rsid w:val="09831699"/>
    <w:rsid w:val="09A61816"/>
    <w:rsid w:val="0A020E0E"/>
    <w:rsid w:val="0A3718CA"/>
    <w:rsid w:val="0A4A6522"/>
    <w:rsid w:val="0A613847"/>
    <w:rsid w:val="0AA45322"/>
    <w:rsid w:val="0AEA0C42"/>
    <w:rsid w:val="0AEB3965"/>
    <w:rsid w:val="0B6E61C8"/>
    <w:rsid w:val="0BA87365"/>
    <w:rsid w:val="0C3C1C77"/>
    <w:rsid w:val="0C602D4B"/>
    <w:rsid w:val="0C7B59E7"/>
    <w:rsid w:val="0C8A331D"/>
    <w:rsid w:val="0D0535FB"/>
    <w:rsid w:val="0D1819FC"/>
    <w:rsid w:val="0D1B16BD"/>
    <w:rsid w:val="0D2210AE"/>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9A7465"/>
    <w:rsid w:val="119D37D8"/>
    <w:rsid w:val="120D4FB9"/>
    <w:rsid w:val="120D6537"/>
    <w:rsid w:val="12192A7F"/>
    <w:rsid w:val="123A77D4"/>
    <w:rsid w:val="12716E79"/>
    <w:rsid w:val="13567491"/>
    <w:rsid w:val="13766589"/>
    <w:rsid w:val="13A715D8"/>
    <w:rsid w:val="13A7357D"/>
    <w:rsid w:val="13F270A2"/>
    <w:rsid w:val="14101BB4"/>
    <w:rsid w:val="14E37DDB"/>
    <w:rsid w:val="1539280F"/>
    <w:rsid w:val="153E6F68"/>
    <w:rsid w:val="158E56BC"/>
    <w:rsid w:val="165266BB"/>
    <w:rsid w:val="169627DE"/>
    <w:rsid w:val="16E21F48"/>
    <w:rsid w:val="16F0324C"/>
    <w:rsid w:val="17173305"/>
    <w:rsid w:val="177056C4"/>
    <w:rsid w:val="17A70B2D"/>
    <w:rsid w:val="17D13AF8"/>
    <w:rsid w:val="17E256C1"/>
    <w:rsid w:val="18162E07"/>
    <w:rsid w:val="18297E3F"/>
    <w:rsid w:val="184B447B"/>
    <w:rsid w:val="187F767F"/>
    <w:rsid w:val="18F77513"/>
    <w:rsid w:val="192B3D79"/>
    <w:rsid w:val="1960209C"/>
    <w:rsid w:val="19830327"/>
    <w:rsid w:val="19E94CA8"/>
    <w:rsid w:val="19F0751F"/>
    <w:rsid w:val="1A4E5290"/>
    <w:rsid w:val="1A943A2A"/>
    <w:rsid w:val="1AA2738A"/>
    <w:rsid w:val="1B1E1106"/>
    <w:rsid w:val="1B23671D"/>
    <w:rsid w:val="1B303273"/>
    <w:rsid w:val="1B3B6C75"/>
    <w:rsid w:val="1BB56FD7"/>
    <w:rsid w:val="1BC05D1A"/>
    <w:rsid w:val="1BD92F6B"/>
    <w:rsid w:val="1C150E11"/>
    <w:rsid w:val="1C2975EA"/>
    <w:rsid w:val="1C2C7853"/>
    <w:rsid w:val="1C6174EF"/>
    <w:rsid w:val="1D52056E"/>
    <w:rsid w:val="1D6679DA"/>
    <w:rsid w:val="1DB20E32"/>
    <w:rsid w:val="1DF876AE"/>
    <w:rsid w:val="1E7F010E"/>
    <w:rsid w:val="1E9163CE"/>
    <w:rsid w:val="1EA115F7"/>
    <w:rsid w:val="1ED74BBB"/>
    <w:rsid w:val="1F114ADE"/>
    <w:rsid w:val="1F37640F"/>
    <w:rsid w:val="1F5E781E"/>
    <w:rsid w:val="1F805BDB"/>
    <w:rsid w:val="209C5373"/>
    <w:rsid w:val="20A36E98"/>
    <w:rsid w:val="20E9018A"/>
    <w:rsid w:val="211B5721"/>
    <w:rsid w:val="21401FB1"/>
    <w:rsid w:val="21634AA0"/>
    <w:rsid w:val="217F22BE"/>
    <w:rsid w:val="21DA0A2A"/>
    <w:rsid w:val="225E003A"/>
    <w:rsid w:val="22B67E76"/>
    <w:rsid w:val="22F17E3D"/>
    <w:rsid w:val="22FF2CD1"/>
    <w:rsid w:val="22FF7345"/>
    <w:rsid w:val="23033334"/>
    <w:rsid w:val="23420CD4"/>
    <w:rsid w:val="23621DAC"/>
    <w:rsid w:val="23824610"/>
    <w:rsid w:val="23EE7EF8"/>
    <w:rsid w:val="23F05801"/>
    <w:rsid w:val="23FB7A24"/>
    <w:rsid w:val="2427069B"/>
    <w:rsid w:val="24282BD7"/>
    <w:rsid w:val="244333C9"/>
    <w:rsid w:val="24523BCF"/>
    <w:rsid w:val="2466188F"/>
    <w:rsid w:val="2473514F"/>
    <w:rsid w:val="24A01056"/>
    <w:rsid w:val="251057B2"/>
    <w:rsid w:val="25560E57"/>
    <w:rsid w:val="259F7BD4"/>
    <w:rsid w:val="26707106"/>
    <w:rsid w:val="26D149F5"/>
    <w:rsid w:val="26EC20B9"/>
    <w:rsid w:val="27DA63B5"/>
    <w:rsid w:val="27DD6708"/>
    <w:rsid w:val="27F044F5"/>
    <w:rsid w:val="287B3E0D"/>
    <w:rsid w:val="288527C5"/>
    <w:rsid w:val="28C64B8B"/>
    <w:rsid w:val="293E1C33"/>
    <w:rsid w:val="2A9D329F"/>
    <w:rsid w:val="2AA84549"/>
    <w:rsid w:val="2B045B24"/>
    <w:rsid w:val="2B395AE8"/>
    <w:rsid w:val="2B5C6CCB"/>
    <w:rsid w:val="2B7E1F97"/>
    <w:rsid w:val="2BDE39C1"/>
    <w:rsid w:val="2BF16674"/>
    <w:rsid w:val="2C254BFC"/>
    <w:rsid w:val="2C8120E3"/>
    <w:rsid w:val="2C84151C"/>
    <w:rsid w:val="2CA40D8B"/>
    <w:rsid w:val="2CB4110C"/>
    <w:rsid w:val="2CD32336"/>
    <w:rsid w:val="2CD461FD"/>
    <w:rsid w:val="2CF0667B"/>
    <w:rsid w:val="2D250928"/>
    <w:rsid w:val="2D445493"/>
    <w:rsid w:val="2D5A6413"/>
    <w:rsid w:val="2D643AC8"/>
    <w:rsid w:val="2D711EA3"/>
    <w:rsid w:val="2DBA2F99"/>
    <w:rsid w:val="2DDE33CA"/>
    <w:rsid w:val="2DEB2456"/>
    <w:rsid w:val="2DEC0BF0"/>
    <w:rsid w:val="2E37532D"/>
    <w:rsid w:val="2ED646D8"/>
    <w:rsid w:val="2F9F0337"/>
    <w:rsid w:val="2FA5374C"/>
    <w:rsid w:val="300D35B1"/>
    <w:rsid w:val="30583662"/>
    <w:rsid w:val="30B11567"/>
    <w:rsid w:val="31124E12"/>
    <w:rsid w:val="312834D6"/>
    <w:rsid w:val="31451B20"/>
    <w:rsid w:val="31493966"/>
    <w:rsid w:val="31F406E5"/>
    <w:rsid w:val="32151B4F"/>
    <w:rsid w:val="3227669B"/>
    <w:rsid w:val="32621481"/>
    <w:rsid w:val="32662B2D"/>
    <w:rsid w:val="32676D99"/>
    <w:rsid w:val="32784BE7"/>
    <w:rsid w:val="32852B12"/>
    <w:rsid w:val="331D68E6"/>
    <w:rsid w:val="3321284B"/>
    <w:rsid w:val="3342126C"/>
    <w:rsid w:val="335313EB"/>
    <w:rsid w:val="341A770D"/>
    <w:rsid w:val="341C0956"/>
    <w:rsid w:val="347C1484"/>
    <w:rsid w:val="35951B6D"/>
    <w:rsid w:val="35B35A26"/>
    <w:rsid w:val="35C32D10"/>
    <w:rsid w:val="35D52583"/>
    <w:rsid w:val="35E5163A"/>
    <w:rsid w:val="36285FC9"/>
    <w:rsid w:val="36363080"/>
    <w:rsid w:val="36A007CA"/>
    <w:rsid w:val="36BA1B48"/>
    <w:rsid w:val="36E542BE"/>
    <w:rsid w:val="36E72620"/>
    <w:rsid w:val="371D2FC5"/>
    <w:rsid w:val="37EF0ACB"/>
    <w:rsid w:val="38001ED1"/>
    <w:rsid w:val="380C2659"/>
    <w:rsid w:val="380D1E8F"/>
    <w:rsid w:val="384F6AB9"/>
    <w:rsid w:val="38936A5B"/>
    <w:rsid w:val="38A72926"/>
    <w:rsid w:val="38C5252E"/>
    <w:rsid w:val="396653E1"/>
    <w:rsid w:val="39C26CA9"/>
    <w:rsid w:val="39DA5D11"/>
    <w:rsid w:val="3A16005A"/>
    <w:rsid w:val="3A2B3AE8"/>
    <w:rsid w:val="3A951791"/>
    <w:rsid w:val="3AAE75AD"/>
    <w:rsid w:val="3AB745F8"/>
    <w:rsid w:val="3AFD21CD"/>
    <w:rsid w:val="3B282E85"/>
    <w:rsid w:val="3B7C4566"/>
    <w:rsid w:val="3B8239A2"/>
    <w:rsid w:val="3B8254FA"/>
    <w:rsid w:val="3BA36271"/>
    <w:rsid w:val="3BA8156F"/>
    <w:rsid w:val="3BB875D4"/>
    <w:rsid w:val="3BEB0FF0"/>
    <w:rsid w:val="3C3945D7"/>
    <w:rsid w:val="3C42023F"/>
    <w:rsid w:val="3C7975EF"/>
    <w:rsid w:val="3CBD1FF1"/>
    <w:rsid w:val="3CE533DA"/>
    <w:rsid w:val="3D2407E5"/>
    <w:rsid w:val="3D956BAE"/>
    <w:rsid w:val="3DAB0230"/>
    <w:rsid w:val="3DB64500"/>
    <w:rsid w:val="3DDC6B9F"/>
    <w:rsid w:val="3DEB3974"/>
    <w:rsid w:val="3E377335"/>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20D690D"/>
    <w:rsid w:val="43566252"/>
    <w:rsid w:val="43827BD5"/>
    <w:rsid w:val="43B70399"/>
    <w:rsid w:val="43CF6B77"/>
    <w:rsid w:val="43E63B53"/>
    <w:rsid w:val="445D199D"/>
    <w:rsid w:val="44937BC0"/>
    <w:rsid w:val="44C45512"/>
    <w:rsid w:val="44DB0BE7"/>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7F62EAE"/>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63EC8"/>
    <w:rsid w:val="4DE730E2"/>
    <w:rsid w:val="4DFA7839"/>
    <w:rsid w:val="4EE50033"/>
    <w:rsid w:val="4F366C62"/>
    <w:rsid w:val="4F4C51A7"/>
    <w:rsid w:val="4F6F0FB6"/>
    <w:rsid w:val="4F9662F5"/>
    <w:rsid w:val="4FA6442F"/>
    <w:rsid w:val="50384F67"/>
    <w:rsid w:val="50414462"/>
    <w:rsid w:val="505B2CB5"/>
    <w:rsid w:val="50751C6F"/>
    <w:rsid w:val="507F68C2"/>
    <w:rsid w:val="51473A96"/>
    <w:rsid w:val="515057DB"/>
    <w:rsid w:val="515C28DB"/>
    <w:rsid w:val="51A91A73"/>
    <w:rsid w:val="52495D62"/>
    <w:rsid w:val="527C4008"/>
    <w:rsid w:val="52EB0BFB"/>
    <w:rsid w:val="52F944DF"/>
    <w:rsid w:val="53774E87"/>
    <w:rsid w:val="53B86E42"/>
    <w:rsid w:val="53BF62DB"/>
    <w:rsid w:val="53EE4E13"/>
    <w:rsid w:val="54020833"/>
    <w:rsid w:val="54B62144"/>
    <w:rsid w:val="54CA318A"/>
    <w:rsid w:val="54F04B86"/>
    <w:rsid w:val="550D29FA"/>
    <w:rsid w:val="55212BBF"/>
    <w:rsid w:val="5536081F"/>
    <w:rsid w:val="5563538C"/>
    <w:rsid w:val="55A1274B"/>
    <w:rsid w:val="56116B96"/>
    <w:rsid w:val="56CB2446"/>
    <w:rsid w:val="56E71615"/>
    <w:rsid w:val="56EA45CC"/>
    <w:rsid w:val="570E1939"/>
    <w:rsid w:val="57923F19"/>
    <w:rsid w:val="57A44166"/>
    <w:rsid w:val="57AD6FAC"/>
    <w:rsid w:val="57D74425"/>
    <w:rsid w:val="58762279"/>
    <w:rsid w:val="589A2E73"/>
    <w:rsid w:val="58EC0AEC"/>
    <w:rsid w:val="58F35BBD"/>
    <w:rsid w:val="59914276"/>
    <w:rsid w:val="59930314"/>
    <w:rsid w:val="59EB0841"/>
    <w:rsid w:val="5A1B7FE4"/>
    <w:rsid w:val="5A351563"/>
    <w:rsid w:val="5A4C03FF"/>
    <w:rsid w:val="5A4F04ED"/>
    <w:rsid w:val="5A4F4DEE"/>
    <w:rsid w:val="5A764561"/>
    <w:rsid w:val="5AB111D9"/>
    <w:rsid w:val="5AC650B1"/>
    <w:rsid w:val="5AC728CE"/>
    <w:rsid w:val="5AEE6697"/>
    <w:rsid w:val="5B0A30BD"/>
    <w:rsid w:val="5B8B3C95"/>
    <w:rsid w:val="5B9708A5"/>
    <w:rsid w:val="5BA9321C"/>
    <w:rsid w:val="5BE10EF6"/>
    <w:rsid w:val="5BE757FA"/>
    <w:rsid w:val="5C0A69D0"/>
    <w:rsid w:val="5CBE6754"/>
    <w:rsid w:val="5CE24905"/>
    <w:rsid w:val="5CE24DE9"/>
    <w:rsid w:val="5CEA7A12"/>
    <w:rsid w:val="5D101FB3"/>
    <w:rsid w:val="5D2E41D4"/>
    <w:rsid w:val="5E3E3A04"/>
    <w:rsid w:val="5E5203C1"/>
    <w:rsid w:val="5EE06817"/>
    <w:rsid w:val="5F1100B7"/>
    <w:rsid w:val="5F284DA7"/>
    <w:rsid w:val="5F677827"/>
    <w:rsid w:val="5FBB029F"/>
    <w:rsid w:val="5FD71F38"/>
    <w:rsid w:val="5FDD5159"/>
    <w:rsid w:val="5FED7EEF"/>
    <w:rsid w:val="600951E3"/>
    <w:rsid w:val="60151A0B"/>
    <w:rsid w:val="606D371C"/>
    <w:rsid w:val="6084664B"/>
    <w:rsid w:val="608E5F22"/>
    <w:rsid w:val="609847B1"/>
    <w:rsid w:val="60C72E91"/>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3E4272"/>
    <w:rsid w:val="665B5EF5"/>
    <w:rsid w:val="665E28AE"/>
    <w:rsid w:val="6665218B"/>
    <w:rsid w:val="66A87E90"/>
    <w:rsid w:val="67324930"/>
    <w:rsid w:val="679338AF"/>
    <w:rsid w:val="67F24A7A"/>
    <w:rsid w:val="67F636E3"/>
    <w:rsid w:val="67F9196E"/>
    <w:rsid w:val="68E568A5"/>
    <w:rsid w:val="68EF720B"/>
    <w:rsid w:val="696003C2"/>
    <w:rsid w:val="69766E90"/>
    <w:rsid w:val="69A3580E"/>
    <w:rsid w:val="6A263BDB"/>
    <w:rsid w:val="6A622576"/>
    <w:rsid w:val="6A6B466F"/>
    <w:rsid w:val="6ABE0946"/>
    <w:rsid w:val="6AD062F3"/>
    <w:rsid w:val="6AE37815"/>
    <w:rsid w:val="6AEA48B3"/>
    <w:rsid w:val="6AF724BA"/>
    <w:rsid w:val="6AFC0A9E"/>
    <w:rsid w:val="6B0E2F02"/>
    <w:rsid w:val="6B3A05FB"/>
    <w:rsid w:val="6BD91AAD"/>
    <w:rsid w:val="6BDB366C"/>
    <w:rsid w:val="6BE52F25"/>
    <w:rsid w:val="6C215F10"/>
    <w:rsid w:val="6C564F9A"/>
    <w:rsid w:val="6C6343C5"/>
    <w:rsid w:val="6C7D5C01"/>
    <w:rsid w:val="6C961BE6"/>
    <w:rsid w:val="6CA519DB"/>
    <w:rsid w:val="6CC462B9"/>
    <w:rsid w:val="6D9C5573"/>
    <w:rsid w:val="6DEC122C"/>
    <w:rsid w:val="6EBB23EB"/>
    <w:rsid w:val="6F294145"/>
    <w:rsid w:val="6F50310A"/>
    <w:rsid w:val="6FBF7BB3"/>
    <w:rsid w:val="6FEE2012"/>
    <w:rsid w:val="6FF9085B"/>
    <w:rsid w:val="70074E3A"/>
    <w:rsid w:val="70D74D9E"/>
    <w:rsid w:val="714D0321"/>
    <w:rsid w:val="716A0DD5"/>
    <w:rsid w:val="72012769"/>
    <w:rsid w:val="72153BAA"/>
    <w:rsid w:val="72575846"/>
    <w:rsid w:val="72691DDC"/>
    <w:rsid w:val="72772B96"/>
    <w:rsid w:val="72BB4362"/>
    <w:rsid w:val="72C038D5"/>
    <w:rsid w:val="72FE1DE6"/>
    <w:rsid w:val="730135C5"/>
    <w:rsid w:val="73307239"/>
    <w:rsid w:val="73404866"/>
    <w:rsid w:val="734B0D50"/>
    <w:rsid w:val="735E1767"/>
    <w:rsid w:val="737E5EEA"/>
    <w:rsid w:val="73AB61EB"/>
    <w:rsid w:val="73B06FFE"/>
    <w:rsid w:val="741F797E"/>
    <w:rsid w:val="74D31C0E"/>
    <w:rsid w:val="74EE7C94"/>
    <w:rsid w:val="75107AB0"/>
    <w:rsid w:val="7537114E"/>
    <w:rsid w:val="753E66A3"/>
    <w:rsid w:val="758406F8"/>
    <w:rsid w:val="759346CD"/>
    <w:rsid w:val="759B3DBA"/>
    <w:rsid w:val="75AA26A3"/>
    <w:rsid w:val="767055A8"/>
    <w:rsid w:val="767A2659"/>
    <w:rsid w:val="76E11F70"/>
    <w:rsid w:val="77184757"/>
    <w:rsid w:val="77BC614F"/>
    <w:rsid w:val="783B2B41"/>
    <w:rsid w:val="78646D0D"/>
    <w:rsid w:val="78E24696"/>
    <w:rsid w:val="790A0589"/>
    <w:rsid w:val="795804B5"/>
    <w:rsid w:val="79B60841"/>
    <w:rsid w:val="7A2860D9"/>
    <w:rsid w:val="7AB66A3C"/>
    <w:rsid w:val="7B036FEB"/>
    <w:rsid w:val="7B2A40D3"/>
    <w:rsid w:val="7B486307"/>
    <w:rsid w:val="7BA515C3"/>
    <w:rsid w:val="7BC335A0"/>
    <w:rsid w:val="7BFF10BB"/>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70633D"/>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79</Pages>
  <Words>2612</Words>
  <Characters>2829</Characters>
  <Lines>244</Lines>
  <Paragraphs>68</Paragraphs>
  <TotalTime>43</TotalTime>
  <ScaleCrop>false</ScaleCrop>
  <LinksUpToDate>false</LinksUpToDate>
  <CharactersWithSpaces>2874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2026-03-16T00:52:57Z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