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车架底盘面漆喷涂项目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FSCZB2025110098</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人：中国重汽集团济南商用车有限公司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16139D9B">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12</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24</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C831C0F">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w:t>
      </w:r>
      <w:r>
        <w:rPr>
          <w:rFonts w:hint="eastAsia"/>
          <w:highlight w:val="none"/>
        </w:rPr>
        <w:t>称：</w:t>
      </w:r>
      <w:r>
        <w:rPr>
          <w:rFonts w:hint="eastAsia"/>
          <w:highlight w:val="none"/>
          <w:lang w:val="en-US" w:eastAsia="zh-CN"/>
        </w:rPr>
        <w:t>车架底盘面漆喷涂项目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FSCZB2025110098</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rPr>
        <w:t>公开招标</w:t>
      </w:r>
    </w:p>
    <w:p w14:paraId="6028441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lang w:val="en-US" w:eastAsia="zh-CN"/>
        </w:rPr>
        <w:t>项目概况：为提高车架底盘整体防腐性能，对车架底盘进行面漆喷涂。车架部底盘面漆喷涂项目，涉及车架底盘产品第一道喷涂面漆、第二道喷涂面漆、点修等喷漆和修补漆业务。</w:t>
      </w:r>
    </w:p>
    <w:p w14:paraId="742B3A8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highlight w:val="none"/>
        </w:rPr>
      </w:pPr>
      <w:r>
        <w:rPr>
          <w:rFonts w:hint="eastAsia"/>
          <w:highlight w:val="none"/>
          <w:lang w:val="en-US" w:eastAsia="zh-CN"/>
        </w:rPr>
        <w:t>此外，还需要承担配件车架总成、试制订单车架总成的喷漆业务。</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w:t>
      </w:r>
      <w:r>
        <w:rPr>
          <w:rFonts w:hint="eastAsia" w:ascii="宋体" w:hAnsi="宋体" w:eastAsia="宋体" w:cs="宋体"/>
          <w:i w:val="0"/>
          <w:iCs w:val="0"/>
          <w:caps w:val="0"/>
          <w:color w:val="0F1115"/>
          <w:spacing w:val="0"/>
          <w:sz w:val="21"/>
          <w:szCs w:val="21"/>
          <w:highlight w:val="none"/>
          <w:shd w:val="clear" w:fill="FFFFFF"/>
        </w:rPr>
        <w:t>民币</w:t>
      </w:r>
      <w:r>
        <w:rPr>
          <w:rFonts w:hint="eastAsia" w:hAnsi="宋体" w:cs="宋体"/>
          <w:i w:val="0"/>
          <w:iCs w:val="0"/>
          <w:caps w:val="0"/>
          <w:color w:val="0F1115"/>
          <w:spacing w:val="0"/>
          <w:sz w:val="21"/>
          <w:szCs w:val="21"/>
          <w:highlight w:val="none"/>
          <w:shd w:val="clear" w:fill="FFFFFF"/>
          <w:lang w:val="en-US" w:eastAsia="zh-CN"/>
        </w:rPr>
        <w:t>240.88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招标人名称：中国重汽集团济南商用车有限公司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7"/>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联系人：</w:t>
      </w:r>
      <w:r>
        <w:rPr>
          <w:rFonts w:hint="eastAsia" w:ascii="宋体" w:hAnsi="Courier New" w:cs="Times New Roman"/>
          <w:kern w:val="2"/>
          <w:sz w:val="21"/>
          <w:highlight w:val="none"/>
          <w:lang w:val="en-US" w:eastAsia="zh-CN" w:bidi="ar-SA"/>
        </w:rPr>
        <w:t>曹长路</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19861850202</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caochanglu@sinotruk.com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2D30BE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1.投标人须遵守《中华人民共和国招标投标法》《中华人民共和国民法典》及其它有关的法律和法规；为中华人民共和国境内注册的独立法人机构，具有独立承担民事责任能力。</w:t>
      </w:r>
    </w:p>
    <w:p w14:paraId="305B62B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2.公司成立三年以上（以营业执照成立日期到开标当日满三年为准）注册资金不能少于1000万（目前为中国重汽提供服务的供应商不受该条件限制）；经营范围满足招标项目需求；具有ISO9001或IATF16949质量体系认证证书，业务范围必须包含喷涂类生产。</w:t>
      </w:r>
    </w:p>
    <w:p w14:paraId="4A24D5C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3.在社会上和重汽集团内的其它招标过程中没有不良行为记录；无招标违规、谎报年度报告信息、提供虚假资质资料等行为或其他行政处罚记录。</w:t>
      </w:r>
    </w:p>
    <w:p w14:paraId="25CEB58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4.具有健全的财务会计制度，财务状况和市场行为良好。没有处于被有权机关吊销营业执照、吊销资质、停业整顿、取消投标资格以及财产被接管、冻结或进入破产程序等。</w:t>
      </w:r>
    </w:p>
    <w:p w14:paraId="702FD2A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5.投标人的直接或间接股东、法定代表人、董事、监事、高管非重汽员工及其亲属。</w:t>
      </w:r>
    </w:p>
    <w:p w14:paraId="5C86BB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6.在“国家企业信用信息公示系统”、“中国执行信息公开网”、“信用中国”、“天眼查”“裁判文书网”等信息平台中，无行政处罚及失信记录等信息</w:t>
      </w:r>
    </w:p>
    <w:p w14:paraId="5557788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7.投标人没有被列入招标人处《黑名单》（《黑名单》指投标人与招标人在以往或正在进行的合作中，存在招标人认为的违反合同约定或违反法律法规等的失信行为）的。</w:t>
      </w:r>
    </w:p>
    <w:p w14:paraId="123E95C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8.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需提供企业最近半年完税证明、信用证明材料（征信报告）；年度纳税信用评价信息（可从电子税务局查询截图，需加盖公章）；企业对外担保说明（写明贵单位对外有无对外担保和质押业务，需加盖公章）。</w:t>
      </w:r>
    </w:p>
    <w:p w14:paraId="792A2F9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9.投标人须具有履行合同所必须的设备、财务、技术、服务等方面的资质和能力。</w:t>
      </w:r>
    </w:p>
    <w:p w14:paraId="29A6C0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10.投标人须具有完全履行招标文件的所有要求的能力，需提供近几年类似项目业绩证明。</w:t>
      </w:r>
    </w:p>
    <w:p w14:paraId="3D74FA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11.投标人须认可招标人的工作指令，包括节、假日能正常开展工作的要求。</w:t>
      </w:r>
    </w:p>
    <w:p w14:paraId="2934A9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12.投标人必须是最终投标、签订合同的单位，不得以任何理由将已中标项目以任何形式分包或转包给其他单位。</w:t>
      </w:r>
    </w:p>
    <w:p w14:paraId="0A91916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13.禁止底盘面漆涉及的零部件、辅料的供应商参与所供货产品的外包服务。</w:t>
      </w:r>
    </w:p>
    <w:p w14:paraId="3CBB3B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14.本次招标项目不接受联合体投标。</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12月8日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60C6517F">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highlight w:val="yellow"/>
          <w:lang w:val="en-US" w:eastAsia="zh-CN"/>
        </w:rPr>
      </w:pPr>
      <w:r>
        <w:rPr>
          <w:rFonts w:hint="eastAsia" w:ascii="宋体" w:hAnsi="宋体" w:eastAsia="宋体" w:cs="Times New Roman"/>
          <w:szCs w:val="21"/>
          <w:lang w:val="en-US" w:eastAsia="zh-CN"/>
        </w:rPr>
        <w:t>每</w:t>
      </w:r>
      <w:r>
        <w:rPr>
          <w:rFonts w:hint="eastAsia" w:ascii="宋体" w:hAnsi="宋体" w:eastAsia="宋体" w:cs="Times New Roman"/>
          <w:szCs w:val="21"/>
        </w:rPr>
        <w:t>部分</w:t>
      </w:r>
      <w:r>
        <w:rPr>
          <w:rFonts w:hint="eastAsia" w:ascii="宋体" w:hAnsi="宋体" w:eastAsia="宋体" w:cs="Times New Roman"/>
          <w:szCs w:val="21"/>
          <w:lang w:val="en-US" w:eastAsia="zh-CN"/>
        </w:rPr>
        <w:t>分别单独胶装成</w:t>
      </w:r>
      <w:r>
        <w:rPr>
          <w:rFonts w:hint="eastAsia" w:ascii="宋体" w:hAnsi="宋体" w:eastAsia="宋体" w:cs="Times New Roman"/>
          <w:szCs w:val="21"/>
        </w:rPr>
        <w:t>册</w:t>
      </w:r>
      <w:r>
        <w:rPr>
          <w:rFonts w:hint="eastAsia" w:ascii="宋体" w:hAnsi="宋体" w:eastAsia="宋体" w:cs="Times New Roman"/>
          <w:szCs w:val="21"/>
          <w:lang w:eastAsia="zh-CN"/>
        </w:rPr>
        <w:t>、</w:t>
      </w:r>
      <w:r>
        <w:rPr>
          <w:rFonts w:hint="eastAsia" w:ascii="宋体" w:hAnsi="宋体" w:eastAsia="宋体" w:cs="Times New Roman"/>
          <w:szCs w:val="21"/>
        </w:rPr>
        <w:t>禁止将不同类的投标文件编写进同一标书，违反上述要求投标的按无效投标处理。</w:t>
      </w:r>
      <w:r>
        <w:rPr>
          <w:rFonts w:hint="eastAsia" w:cs="Times New Roman"/>
          <w:highlight w:val="yellow"/>
          <w:lang w:val="en-US" w:eastAsia="zh-CN"/>
        </w:rPr>
        <w:t>将正本一份邮寄到济南市章丘区世纪大道7777号重汽章丘工业园5号门济南商用车有限公司。</w:t>
      </w:r>
    </w:p>
    <w:p w14:paraId="5B05604B">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highlight w:val="yellow"/>
          <w:lang w:val="en-US" w:eastAsia="zh-CN"/>
        </w:rPr>
      </w:pPr>
      <w:r>
        <w:rPr>
          <w:rFonts w:hint="eastAsia" w:cs="Times New Roman"/>
          <w:highlight w:val="yellow"/>
          <w:lang w:val="en-US" w:eastAsia="zh-CN"/>
        </w:rPr>
        <w:t>联系人及联系方式：曹长路19861850202</w:t>
      </w:r>
    </w:p>
    <w:p w14:paraId="138F0634">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宋体" w:eastAsia="宋体" w:cs="宋体"/>
          <w:sz w:val="24"/>
          <w:szCs w:val="24"/>
          <w:highlight w:val="yellow"/>
          <w:lang w:val="en-US" w:eastAsia="zh-CN"/>
        </w:rPr>
      </w:pPr>
      <w:r>
        <w:rPr>
          <w:rFonts w:hint="eastAsia"/>
          <w:highlight w:val="yellow"/>
          <w:lang w:val="en-US" w:eastAsia="zh-CN"/>
        </w:rPr>
        <w:t>投标文件</w:t>
      </w:r>
      <w:r>
        <w:rPr>
          <w:rFonts w:hint="eastAsia" w:ascii="宋体" w:hAnsi="Courier New" w:eastAsia="宋体" w:cs="Times New Roman"/>
          <w:highlight w:val="yellow"/>
          <w:lang w:val="en-US" w:eastAsia="zh-CN"/>
        </w:rPr>
        <w:t>递交</w:t>
      </w:r>
      <w:r>
        <w:rPr>
          <w:rFonts w:hint="eastAsia"/>
          <w:highlight w:val="yellow"/>
          <w:lang w:val="en-US" w:eastAsia="zh-CN"/>
        </w:rPr>
        <w:t>截止时间：</w:t>
      </w:r>
      <w:r>
        <w:rPr>
          <w:rFonts w:hint="eastAsia"/>
          <w:highlight w:val="yellow"/>
          <w:u w:val="single"/>
          <w:lang w:val="en-US" w:eastAsia="zh-CN"/>
        </w:rPr>
        <w:t>2025年12月12日9:00:00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14:paraId="0C250A4B">
      <w:pPr>
        <w:pStyle w:val="76"/>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宋体"/>
          <w:lang w:val="en-US" w:eastAsia="zh-CN"/>
        </w:rPr>
      </w:pPr>
      <w:r>
        <w:rPr>
          <w:rFonts w:hint="eastAsia" w:ascii="宋体" w:hAnsi="宋体" w:eastAsia="宋体" w:cs="宋体"/>
          <w:b/>
          <w:bCs/>
          <w:sz w:val="24"/>
          <w:szCs w:val="24"/>
          <w:highlight w:val="yellow"/>
          <w:lang w:val="en-US" w:eastAsia="zh-CN"/>
        </w:rPr>
        <w:t>若逾期未在中国重汽e采通平台上传电子标书，即便递交了纸版投标文件，一律视为无效投标。</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F689E4F">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5FAE5E7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lang w:eastAsia="zh-CN"/>
        </w:rPr>
      </w:pPr>
      <w:r>
        <w:rPr>
          <w:rFonts w:hint="eastAsia" w:cs="Times New Roman"/>
          <w:highlight w:val="none"/>
        </w:rPr>
        <w:t>详见技术标书</w:t>
      </w:r>
      <w:r>
        <w:rPr>
          <w:rFonts w:hint="eastAsia" w:cs="Times New Roman"/>
          <w:highlight w:val="none"/>
          <w:lang w:eastAsia="zh-CN"/>
        </w:rPr>
        <w:t>。</w:t>
      </w:r>
    </w:p>
    <w:p w14:paraId="6E70AD9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highlight w:val="none"/>
          <w:lang w:val="en-US" w:eastAsia="zh-CN"/>
        </w:rPr>
      </w:pPr>
      <w:r>
        <w:rPr>
          <w:rFonts w:hint="eastAsia" w:cs="Times New Roman"/>
          <w:highlight w:val="none"/>
          <w:lang w:val="en-US" w:eastAsia="zh-CN"/>
        </w:rPr>
        <w:t>1.2.1投标承诺函</w:t>
      </w:r>
      <w:r>
        <w:rPr>
          <w:rFonts w:hint="eastAsia" w:cs="Times New Roman"/>
          <w:highlight w:val="none"/>
          <w:lang w:val="en-US" w:eastAsia="zh-CN"/>
        </w:rPr>
        <w:br w:type="textWrapping"/>
      </w:r>
      <w:r>
        <w:rPr>
          <w:rFonts w:hint="eastAsia" w:cs="Times New Roman"/>
          <w:highlight w:val="none"/>
          <w:lang w:val="en-US" w:eastAsia="zh-CN"/>
        </w:rPr>
        <w:t>1.2.2服务承诺函</w:t>
      </w:r>
      <w:r>
        <w:rPr>
          <w:rFonts w:hint="eastAsia" w:cs="Times New Roman"/>
          <w:highlight w:val="none"/>
          <w:lang w:val="en-US" w:eastAsia="zh-CN"/>
        </w:rPr>
        <w:br w:type="textWrapping"/>
      </w:r>
      <w:r>
        <w:rPr>
          <w:rFonts w:hint="eastAsia" w:cs="Times New Roman"/>
          <w:highlight w:val="none"/>
          <w:lang w:val="en-US" w:eastAsia="zh-CN"/>
        </w:rPr>
        <w:t>1.2.3质量承诺函、</w:t>
      </w:r>
      <w:r>
        <w:rPr>
          <w:rFonts w:hint="eastAsia" w:cs="Times New Roman"/>
          <w:highlight w:val="none"/>
          <w:lang w:val="en-US" w:eastAsia="zh-CN"/>
        </w:rPr>
        <w:br w:type="textWrapping"/>
      </w:r>
      <w:r>
        <w:rPr>
          <w:rFonts w:hint="eastAsia" w:cs="Times New Roman"/>
          <w:highlight w:val="none"/>
          <w:lang w:val="en-US" w:eastAsia="zh-CN"/>
        </w:rPr>
        <w:t>1.2.4技术规格偏离表</w:t>
      </w:r>
      <w:r>
        <w:rPr>
          <w:rFonts w:hint="eastAsia" w:cs="Times New Roman"/>
          <w:highlight w:val="none"/>
          <w:lang w:val="en-US" w:eastAsia="zh-CN"/>
        </w:rPr>
        <w:br w:type="textWrapping"/>
      </w:r>
      <w:r>
        <w:rPr>
          <w:rFonts w:hint="eastAsia" w:cs="Times New Roman"/>
          <w:highlight w:val="none"/>
          <w:lang w:val="en-US" w:eastAsia="zh-CN"/>
        </w:rPr>
        <w:t>1.2.5同类项目经营业绩一览表</w:t>
      </w:r>
      <w:r>
        <w:rPr>
          <w:rFonts w:hint="eastAsia" w:cs="Times New Roman"/>
          <w:highlight w:val="none"/>
          <w:lang w:val="en-US" w:eastAsia="zh-CN"/>
        </w:rPr>
        <w:br w:type="textWrapping"/>
      </w:r>
      <w:r>
        <w:rPr>
          <w:rFonts w:hint="eastAsia" w:cs="Times New Roman"/>
          <w:highlight w:val="none"/>
          <w:lang w:val="en-US" w:eastAsia="zh-CN"/>
        </w:rPr>
        <w:t>1.2.6业务外包组织设计、实施方案及项目进度计划</w:t>
      </w:r>
      <w:r>
        <w:rPr>
          <w:rFonts w:hint="eastAsia" w:cs="Times New Roman"/>
          <w:highlight w:val="none"/>
          <w:lang w:val="en-US" w:eastAsia="zh-CN"/>
        </w:rPr>
        <w:br w:type="textWrapping"/>
      </w:r>
      <w:r>
        <w:rPr>
          <w:rFonts w:hint="eastAsia" w:cs="Times New Roman"/>
          <w:highlight w:val="none"/>
          <w:lang w:val="en-US" w:eastAsia="zh-CN"/>
        </w:rPr>
        <w:t>1.2.7投标人认为需要提交的其它文件。</w:t>
      </w:r>
      <w:r>
        <w:rPr>
          <w:rFonts w:hint="eastAsia" w:cs="Times New Roman"/>
          <w:highlight w:val="none"/>
          <w:lang w:val="en-US" w:eastAsia="zh-CN"/>
        </w:rPr>
        <w:br w:type="textWrapping"/>
      </w:r>
      <w:r>
        <w:rPr>
          <w:rFonts w:hint="eastAsia" w:cs="Times New Roman"/>
          <w:highlight w:val="none"/>
          <w:lang w:val="en-US" w:eastAsia="zh-CN"/>
        </w:rPr>
        <w:t>注：技术规格偏离表可做正偏离，但不允许有低于本招标文件相关要求的情况出现，否则视为主动放弃本项目投标。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240.88</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7BA647F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20000</w:t>
      </w:r>
      <w:r>
        <w:rPr>
          <w:rFonts w:hint="eastAsia"/>
          <w:highlight w:val="none"/>
        </w:rPr>
        <w:t>元</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开户银行：中国银行股份有限公司章丘支行</w:t>
      </w:r>
      <w:r>
        <w:rPr>
          <w:rFonts w:hint="eastAsia" w:cs="Times New Roman"/>
        </w:rPr>
        <w:br w:type="textWrapping"/>
      </w:r>
      <w:r>
        <w:rPr>
          <w:rFonts w:hint="eastAsia" w:cs="Times New Roman"/>
        </w:rPr>
        <w:t>户名：中国重汽集团济南商用车有限公司</w:t>
      </w:r>
      <w:r>
        <w:rPr>
          <w:rFonts w:hint="eastAsia" w:cs="Times New Roman"/>
        </w:rPr>
        <w:br w:type="textWrapping"/>
      </w:r>
      <w:r>
        <w:rPr>
          <w:rFonts w:hint="eastAsia" w:cs="Times New Roman"/>
        </w:rPr>
        <w:t>账号：226005574527</w:t>
      </w:r>
      <w:r>
        <w:rPr>
          <w:rFonts w:hint="eastAsia" w:cs="Times New Roman"/>
        </w:rPr>
        <w:br w:type="textWrapping"/>
      </w:r>
      <w:r>
        <w:rPr>
          <w:rFonts w:hint="eastAsia" w:cs="Times New Roman"/>
        </w:rPr>
        <w:t>行号：104451040689</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bookmarkStart w:id="24" w:name="_GoBack"/>
      <w:bookmarkEnd w:id="24"/>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Courier New" w:eastAsia="宋体" w:cs="Times New Roman"/>
          <w:b/>
          <w:bCs w:val="0"/>
          <w:color w:val="000000" w:themeColor="text1"/>
          <w:kern w:val="2"/>
          <w:sz w:val="21"/>
          <w:highlight w:val="none"/>
          <w:u w:val="none"/>
          <w:lang w:val="en-US" w:eastAsia="zh-CN" w:bidi="ar-SA"/>
          <w14:textFill>
            <w14:solidFill>
              <w14:schemeClr w14:val="tx1"/>
            </w14:solidFill>
          </w14:textFill>
        </w:rPr>
        <w:t>线上</w:t>
      </w:r>
      <w:r>
        <w:rPr>
          <w:rFonts w:hint="eastAsia" w:cs="Times New Roman"/>
          <w:b/>
          <w:bCs w:val="0"/>
          <w:color w:val="000000" w:themeColor="text1"/>
          <w:highlight w:val="none"/>
          <w:u w:val="none"/>
          <w:lang w:val="en-US" w:eastAsia="zh-CN"/>
          <w14:textFill>
            <w14:solidFill>
              <w14:schemeClr w14:val="tx1"/>
            </w14:solidFill>
          </w14:textFill>
        </w:rPr>
        <w:t>招标</w:t>
      </w:r>
      <w:r>
        <w:rPr>
          <w:rFonts w:hint="eastAsia" w:ascii="宋体" w:hAnsi="Courier New" w:eastAsia="宋体" w:cs="Times New Roman"/>
          <w:b/>
          <w:bCs w:val="0"/>
          <w:color w:val="000000" w:themeColor="text1"/>
          <w:kern w:val="2"/>
          <w:sz w:val="21"/>
          <w:highlight w:val="none"/>
          <w:u w:val="non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因招标人原因，允许各投标方通过视频会议等形式线上招标，所需过程资料均通过e采通进行提报，由</w:t>
      </w:r>
      <w:r>
        <w:rPr>
          <w:rFonts w:hint="eastAsia" w:ascii="宋体" w:hAnsi="宋体" w:eastAsia="宋体" w:cs="宋体"/>
          <w:color w:val="000000" w:themeColor="text1"/>
          <w:sz w:val="21"/>
          <w:szCs w:val="21"/>
          <w:highlight w:val="none"/>
          <w:u w:val="none"/>
          <w14:textFill>
            <w14:solidFill>
              <w14:schemeClr w14:val="tx1"/>
            </w14:solidFill>
          </w14:textFill>
        </w:rPr>
        <w:t>招标人创建视频链接</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2E1C69A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cs="Times New Roman"/>
          <w:b/>
          <w:bCs w:val="0"/>
          <w:color w:val="000000" w:themeColor="text1"/>
          <w:highlight w:val="none"/>
          <w:lang w:val="en-US" w:eastAsia="zh-CN"/>
          <w14:textFill>
            <w14:solidFill>
              <w14:schemeClr w14:val="tx1"/>
            </w14:solidFill>
          </w14:textFill>
        </w:rPr>
      </w:pPr>
      <w:r>
        <w:rPr>
          <w:rFonts w:hint="eastAsia" w:cs="Times New Roman"/>
          <w:b/>
          <w:bCs w:val="0"/>
          <w:color w:val="000000" w:themeColor="text1"/>
          <w:highlight w:val="none"/>
          <w:lang w:val="en-US" w:eastAsia="zh-CN"/>
          <w14:textFill>
            <w14:solidFill>
              <w14:schemeClr w14:val="tx1"/>
            </w14:solidFill>
          </w14:textFill>
        </w:rPr>
        <w:t>合理最低价有技术</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u w:val="singl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67CC9B84">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CAD4238">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评标工作由招标人为该项目依法组织的、由五人及以上单数成员组成的评标专家小组负责，参照以下评分标准，按技术入围合理最低价确定中标人，即由评标工作小组按照国家招投标有关规定，本着公平、公正、公开、有序的原则，在最大限度地满足招标文件实质性要求的前提下，按照招标文件中规定的各项因素进行综合评审。</w:t>
      </w:r>
    </w:p>
    <w:p w14:paraId="2F89A7E1">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投标前请各投标方按照标书技术要求对项目方案进行充分准备，有意投标的单位应默认认同上述开标、评标过程，无异议。对未入围投标方及未中标人不做任何解释。</w:t>
      </w:r>
    </w:p>
    <w:p w14:paraId="4EFA220D">
      <w:pPr>
        <w:spacing w:line="360" w:lineRule="auto"/>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技术评分标准</w:t>
      </w:r>
    </w:p>
    <w:tbl>
      <w:tblPr>
        <w:tblStyle w:val="30"/>
        <w:tblW w:w="50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168"/>
        <w:gridCol w:w="1168"/>
        <w:gridCol w:w="5813"/>
        <w:gridCol w:w="761"/>
      </w:tblGrid>
      <w:tr w14:paraId="6CF9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6CF93937">
            <w:pPr>
              <w:jc w:val="center"/>
              <w:rPr>
                <w:rFonts w:hint="eastAsia" w:hAnsi="宋体"/>
                <w:b/>
                <w:bCs/>
                <w:szCs w:val="21"/>
              </w:rPr>
            </w:pPr>
            <w:bookmarkStart w:id="6" w:name="OLE_LINK4"/>
            <w:r>
              <w:rPr>
                <w:rFonts w:hint="eastAsia"/>
                <w:b/>
                <w:bCs/>
              </w:rPr>
              <w:t>序号</w:t>
            </w:r>
          </w:p>
        </w:tc>
        <w:tc>
          <w:tcPr>
            <w:tcW w:w="620" w:type="pct"/>
            <w:vAlign w:val="center"/>
          </w:tcPr>
          <w:p w14:paraId="3014F3C9">
            <w:pPr>
              <w:jc w:val="center"/>
              <w:rPr>
                <w:rFonts w:hint="eastAsia" w:hAnsi="宋体"/>
                <w:b/>
                <w:bCs/>
                <w:szCs w:val="21"/>
              </w:rPr>
            </w:pPr>
            <w:r>
              <w:rPr>
                <w:rFonts w:hint="eastAsia"/>
                <w:b/>
                <w:bCs/>
              </w:rPr>
              <w:t>评审类别</w:t>
            </w:r>
          </w:p>
        </w:tc>
        <w:tc>
          <w:tcPr>
            <w:tcW w:w="620" w:type="pct"/>
            <w:vAlign w:val="center"/>
          </w:tcPr>
          <w:p w14:paraId="2ED922CA">
            <w:pPr>
              <w:jc w:val="center"/>
              <w:rPr>
                <w:rFonts w:hint="eastAsia" w:hAnsi="宋体"/>
                <w:b/>
                <w:bCs/>
                <w:szCs w:val="21"/>
              </w:rPr>
            </w:pPr>
            <w:r>
              <w:rPr>
                <w:rFonts w:hint="eastAsia"/>
                <w:b/>
                <w:bCs/>
              </w:rPr>
              <w:t>评审内容</w:t>
            </w:r>
          </w:p>
        </w:tc>
        <w:tc>
          <w:tcPr>
            <w:tcW w:w="3086" w:type="pct"/>
            <w:vAlign w:val="center"/>
          </w:tcPr>
          <w:p w14:paraId="5B185EC5">
            <w:pPr>
              <w:jc w:val="center"/>
              <w:rPr>
                <w:rFonts w:hint="eastAsia" w:hAnsi="宋体"/>
                <w:b/>
                <w:bCs/>
                <w:szCs w:val="21"/>
              </w:rPr>
            </w:pPr>
            <w:r>
              <w:rPr>
                <w:rFonts w:hint="eastAsia"/>
                <w:b/>
                <w:bCs/>
              </w:rPr>
              <w:t>评分标准</w:t>
            </w:r>
          </w:p>
        </w:tc>
        <w:tc>
          <w:tcPr>
            <w:tcW w:w="404" w:type="pct"/>
            <w:vAlign w:val="center"/>
          </w:tcPr>
          <w:p w14:paraId="50F89F08">
            <w:pPr>
              <w:jc w:val="center"/>
              <w:rPr>
                <w:rFonts w:hint="eastAsia" w:hAnsi="宋体"/>
                <w:b/>
                <w:bCs/>
                <w:szCs w:val="21"/>
              </w:rPr>
            </w:pPr>
            <w:r>
              <w:rPr>
                <w:rFonts w:hint="eastAsia"/>
                <w:b/>
                <w:bCs/>
              </w:rPr>
              <w:t>最高得分</w:t>
            </w:r>
          </w:p>
        </w:tc>
      </w:tr>
      <w:tr w14:paraId="5910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61C8A23">
            <w:pPr>
              <w:jc w:val="center"/>
              <w:rPr>
                <w:rFonts w:hint="eastAsia" w:hAnsi="宋体"/>
                <w:szCs w:val="21"/>
              </w:rPr>
            </w:pPr>
            <w:r>
              <w:rPr>
                <w:rFonts w:hint="eastAsia" w:hAnsi="宋体"/>
                <w:szCs w:val="21"/>
              </w:rPr>
              <w:t>1</w:t>
            </w:r>
          </w:p>
        </w:tc>
        <w:tc>
          <w:tcPr>
            <w:tcW w:w="620" w:type="pct"/>
            <w:vMerge w:val="restart"/>
            <w:vAlign w:val="center"/>
          </w:tcPr>
          <w:p w14:paraId="4FEC3C0D">
            <w:pPr>
              <w:jc w:val="center"/>
              <w:rPr>
                <w:rFonts w:hint="eastAsia" w:hAnsi="宋体"/>
                <w:szCs w:val="21"/>
              </w:rPr>
            </w:pPr>
            <w:r>
              <w:rPr>
                <w:rFonts w:hint="eastAsia"/>
              </w:rPr>
              <w:t>综合实力</w:t>
            </w:r>
          </w:p>
        </w:tc>
        <w:tc>
          <w:tcPr>
            <w:tcW w:w="620" w:type="pct"/>
            <w:vAlign w:val="center"/>
          </w:tcPr>
          <w:p w14:paraId="34C8A8AC">
            <w:pPr>
              <w:jc w:val="center"/>
              <w:rPr>
                <w:rFonts w:hint="eastAsia" w:hAnsi="宋体"/>
                <w:szCs w:val="21"/>
              </w:rPr>
            </w:pPr>
            <w:r>
              <w:rPr>
                <w:rFonts w:hint="eastAsia" w:hAnsi="宋体"/>
                <w:szCs w:val="21"/>
              </w:rPr>
              <w:t>项目经验</w:t>
            </w:r>
          </w:p>
        </w:tc>
        <w:tc>
          <w:tcPr>
            <w:tcW w:w="3086" w:type="pct"/>
            <w:vAlign w:val="center"/>
          </w:tcPr>
          <w:p w14:paraId="10FBA22F">
            <w:pPr>
              <w:rPr>
                <w:rFonts w:hint="eastAsia" w:hAnsi="宋体"/>
                <w:szCs w:val="21"/>
              </w:rPr>
            </w:pPr>
            <w:r>
              <w:rPr>
                <w:rFonts w:hint="eastAsia" w:hAnsi="宋体"/>
                <w:szCs w:val="21"/>
              </w:rPr>
              <w:t>1、有汽车制造业内相关项目经验的每个案例加2分（需提供相关合同等证明材料），最高6分；2、投标人提供自2021年</w:t>
            </w:r>
            <w:r>
              <w:rPr>
                <w:rFonts w:hAnsi="宋体"/>
                <w:szCs w:val="21"/>
              </w:rPr>
              <w:t>1</w:t>
            </w:r>
            <w:r>
              <w:rPr>
                <w:rFonts w:hint="eastAsia" w:hAnsi="宋体"/>
                <w:szCs w:val="21"/>
              </w:rPr>
              <w:t>月</w:t>
            </w:r>
            <w:r>
              <w:rPr>
                <w:rFonts w:hAnsi="宋体"/>
                <w:szCs w:val="21"/>
              </w:rPr>
              <w:t>1</w:t>
            </w:r>
            <w:r>
              <w:rPr>
                <w:rFonts w:hint="eastAsia" w:hAnsi="宋体"/>
                <w:szCs w:val="21"/>
              </w:rPr>
              <w:t>日至20</w:t>
            </w:r>
            <w:r>
              <w:rPr>
                <w:rFonts w:hAnsi="宋体"/>
                <w:szCs w:val="21"/>
              </w:rPr>
              <w:t>2</w:t>
            </w:r>
            <w:r>
              <w:rPr>
                <w:rFonts w:hint="eastAsia" w:hAnsi="宋体"/>
                <w:szCs w:val="21"/>
              </w:rPr>
              <w:t>3年</w:t>
            </w:r>
            <w:r>
              <w:rPr>
                <w:rFonts w:hAnsi="宋体"/>
                <w:szCs w:val="21"/>
              </w:rPr>
              <w:t>12</w:t>
            </w:r>
            <w:r>
              <w:rPr>
                <w:rFonts w:hint="eastAsia" w:hAnsi="宋体"/>
                <w:szCs w:val="21"/>
              </w:rPr>
              <w:t>月</w:t>
            </w:r>
            <w:r>
              <w:rPr>
                <w:rFonts w:hAnsi="宋体"/>
                <w:szCs w:val="21"/>
              </w:rPr>
              <w:t>31</w:t>
            </w:r>
            <w:r>
              <w:rPr>
                <w:rFonts w:hint="eastAsia" w:hAnsi="宋体"/>
                <w:szCs w:val="21"/>
              </w:rPr>
              <w:t>日项目案例中，已实施最大的相关业务规模，赋分1-4分。</w:t>
            </w:r>
          </w:p>
        </w:tc>
        <w:tc>
          <w:tcPr>
            <w:tcW w:w="404" w:type="pct"/>
            <w:vAlign w:val="center"/>
          </w:tcPr>
          <w:p w14:paraId="2089946E">
            <w:pPr>
              <w:jc w:val="center"/>
              <w:rPr>
                <w:rFonts w:hint="eastAsia" w:hAnsi="宋体"/>
                <w:szCs w:val="21"/>
              </w:rPr>
            </w:pPr>
            <w:r>
              <w:rPr>
                <w:rFonts w:hint="eastAsia" w:hAnsi="宋体"/>
                <w:szCs w:val="21"/>
              </w:rPr>
              <w:t>1</w:t>
            </w:r>
            <w:r>
              <w:rPr>
                <w:rFonts w:hAnsi="宋体"/>
                <w:szCs w:val="21"/>
              </w:rPr>
              <w:t>0</w:t>
            </w:r>
          </w:p>
        </w:tc>
      </w:tr>
      <w:tr w14:paraId="366F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588FAC98">
            <w:pPr>
              <w:jc w:val="center"/>
              <w:rPr>
                <w:rFonts w:hint="eastAsia" w:hAnsi="宋体"/>
                <w:szCs w:val="21"/>
              </w:rPr>
            </w:pPr>
            <w:r>
              <w:rPr>
                <w:rFonts w:hint="eastAsia" w:hAnsi="宋体"/>
                <w:szCs w:val="21"/>
              </w:rPr>
              <w:t>2</w:t>
            </w:r>
          </w:p>
        </w:tc>
        <w:tc>
          <w:tcPr>
            <w:tcW w:w="620" w:type="pct"/>
            <w:vMerge w:val="continue"/>
            <w:vAlign w:val="center"/>
          </w:tcPr>
          <w:p w14:paraId="1ADD2334">
            <w:pPr>
              <w:jc w:val="center"/>
              <w:rPr>
                <w:rFonts w:hint="eastAsia" w:hAnsi="宋体"/>
                <w:szCs w:val="21"/>
              </w:rPr>
            </w:pPr>
          </w:p>
        </w:tc>
        <w:tc>
          <w:tcPr>
            <w:tcW w:w="620" w:type="pct"/>
            <w:vAlign w:val="center"/>
          </w:tcPr>
          <w:p w14:paraId="309C4F85">
            <w:pPr>
              <w:jc w:val="center"/>
              <w:rPr>
                <w:rFonts w:hint="eastAsia" w:hAnsi="宋体"/>
                <w:szCs w:val="21"/>
              </w:rPr>
            </w:pPr>
            <w:r>
              <w:rPr>
                <w:rFonts w:hint="eastAsia" w:hAnsi="宋体"/>
                <w:szCs w:val="21"/>
              </w:rPr>
              <w:t>企业规模</w:t>
            </w:r>
          </w:p>
        </w:tc>
        <w:tc>
          <w:tcPr>
            <w:tcW w:w="3086" w:type="pct"/>
            <w:vAlign w:val="center"/>
          </w:tcPr>
          <w:p w14:paraId="77A35BAF">
            <w:pPr>
              <w:rPr>
                <w:rFonts w:hint="eastAsia" w:hAnsi="宋体"/>
                <w:szCs w:val="21"/>
              </w:rPr>
            </w:pPr>
            <w:r>
              <w:rPr>
                <w:rFonts w:hint="eastAsia" w:hAnsi="宋体"/>
                <w:szCs w:val="21"/>
              </w:rPr>
              <w:t>财务报表中的现金流量表为准：年度现金流入流出金额小于</w:t>
            </w:r>
            <w:r>
              <w:rPr>
                <w:rFonts w:hAnsi="宋体"/>
                <w:szCs w:val="21"/>
              </w:rPr>
              <w:t>800</w:t>
            </w:r>
            <w:r>
              <w:rPr>
                <w:rFonts w:hint="eastAsia" w:hAnsi="宋体"/>
                <w:szCs w:val="21"/>
              </w:rPr>
              <w:t>万得6分，</w:t>
            </w:r>
            <w:r>
              <w:rPr>
                <w:rFonts w:hAnsi="宋体"/>
                <w:szCs w:val="21"/>
              </w:rPr>
              <w:t>800</w:t>
            </w:r>
            <w:r>
              <w:rPr>
                <w:rFonts w:hint="eastAsia" w:hAnsi="宋体"/>
                <w:szCs w:val="21"/>
              </w:rPr>
              <w:t>万-</w:t>
            </w:r>
            <w:r>
              <w:rPr>
                <w:rFonts w:hAnsi="宋体"/>
                <w:szCs w:val="21"/>
              </w:rPr>
              <w:t>1</w:t>
            </w:r>
            <w:r>
              <w:rPr>
                <w:rFonts w:hint="eastAsia" w:hAnsi="宋体"/>
                <w:szCs w:val="21"/>
              </w:rPr>
              <w:t>2</w:t>
            </w:r>
            <w:r>
              <w:rPr>
                <w:rFonts w:hAnsi="宋体"/>
                <w:szCs w:val="21"/>
              </w:rPr>
              <w:t>00</w:t>
            </w:r>
            <w:r>
              <w:rPr>
                <w:rFonts w:hint="eastAsia" w:hAnsi="宋体"/>
                <w:szCs w:val="21"/>
              </w:rPr>
              <w:t>万得8分，大于</w:t>
            </w:r>
            <w:r>
              <w:rPr>
                <w:rFonts w:hAnsi="宋体"/>
                <w:szCs w:val="21"/>
              </w:rPr>
              <w:t>1200</w:t>
            </w:r>
            <w:r>
              <w:rPr>
                <w:rFonts w:hint="eastAsia" w:hAnsi="宋体"/>
                <w:szCs w:val="21"/>
              </w:rPr>
              <w:t>万得10分。</w:t>
            </w:r>
          </w:p>
        </w:tc>
        <w:tc>
          <w:tcPr>
            <w:tcW w:w="404" w:type="pct"/>
            <w:vAlign w:val="center"/>
          </w:tcPr>
          <w:p w14:paraId="51013585">
            <w:pPr>
              <w:jc w:val="center"/>
              <w:rPr>
                <w:rFonts w:hint="eastAsia" w:hAnsi="宋体"/>
                <w:szCs w:val="21"/>
              </w:rPr>
            </w:pPr>
            <w:r>
              <w:rPr>
                <w:rFonts w:hAnsi="宋体"/>
                <w:szCs w:val="21"/>
              </w:rPr>
              <w:t>10</w:t>
            </w:r>
          </w:p>
        </w:tc>
      </w:tr>
      <w:tr w14:paraId="426D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5D600DF6">
            <w:pPr>
              <w:jc w:val="center"/>
              <w:rPr>
                <w:rFonts w:hint="eastAsia" w:hAnsi="宋体"/>
                <w:szCs w:val="21"/>
              </w:rPr>
            </w:pPr>
            <w:r>
              <w:rPr>
                <w:rFonts w:hAnsi="宋体"/>
                <w:szCs w:val="21"/>
              </w:rPr>
              <w:t>3</w:t>
            </w:r>
          </w:p>
        </w:tc>
        <w:tc>
          <w:tcPr>
            <w:tcW w:w="620" w:type="pct"/>
            <w:vAlign w:val="center"/>
          </w:tcPr>
          <w:p w14:paraId="49046F28">
            <w:pPr>
              <w:jc w:val="center"/>
              <w:rPr>
                <w:rFonts w:hint="eastAsia" w:hAnsi="宋体"/>
                <w:szCs w:val="21"/>
              </w:rPr>
            </w:pPr>
            <w:r>
              <w:rPr>
                <w:rFonts w:hint="eastAsia"/>
              </w:rPr>
              <w:t>项目资源配置</w:t>
            </w:r>
          </w:p>
        </w:tc>
        <w:tc>
          <w:tcPr>
            <w:tcW w:w="620" w:type="pct"/>
            <w:vAlign w:val="center"/>
          </w:tcPr>
          <w:p w14:paraId="4A2934BC">
            <w:pPr>
              <w:jc w:val="center"/>
              <w:rPr>
                <w:rFonts w:hint="eastAsia" w:hAnsi="宋体"/>
                <w:szCs w:val="21"/>
              </w:rPr>
            </w:pPr>
            <w:r>
              <w:rPr>
                <w:rFonts w:hint="eastAsia" w:hAnsi="宋体"/>
                <w:szCs w:val="21"/>
              </w:rPr>
              <w:t>人员</w:t>
            </w:r>
          </w:p>
        </w:tc>
        <w:tc>
          <w:tcPr>
            <w:tcW w:w="3086" w:type="pct"/>
            <w:vAlign w:val="center"/>
          </w:tcPr>
          <w:p w14:paraId="29D8FD05">
            <w:pPr>
              <w:rPr>
                <w:rFonts w:hint="eastAsia" w:hAnsi="宋体"/>
                <w:szCs w:val="21"/>
              </w:rPr>
            </w:pPr>
            <w:r>
              <w:rPr>
                <w:rFonts w:hint="eastAsia" w:hAnsi="宋体"/>
                <w:szCs w:val="21"/>
              </w:rPr>
              <w:t>管理架构及项目人员配置合理，满足基本运营要求得6分；有人员规划及测算依据的加4分。</w:t>
            </w:r>
          </w:p>
        </w:tc>
        <w:tc>
          <w:tcPr>
            <w:tcW w:w="404" w:type="pct"/>
            <w:vAlign w:val="center"/>
          </w:tcPr>
          <w:p w14:paraId="046F71CD">
            <w:pPr>
              <w:jc w:val="center"/>
              <w:rPr>
                <w:rFonts w:hint="eastAsia" w:hAnsi="宋体"/>
                <w:szCs w:val="21"/>
              </w:rPr>
            </w:pPr>
            <w:r>
              <w:rPr>
                <w:rFonts w:hAnsi="宋体"/>
                <w:szCs w:val="21"/>
              </w:rPr>
              <w:t>10</w:t>
            </w:r>
          </w:p>
        </w:tc>
      </w:tr>
      <w:tr w14:paraId="2FCC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7C4D1961">
            <w:pPr>
              <w:jc w:val="center"/>
              <w:rPr>
                <w:rFonts w:hint="eastAsia" w:hAnsi="宋体"/>
                <w:szCs w:val="21"/>
              </w:rPr>
            </w:pPr>
            <w:r>
              <w:rPr>
                <w:rFonts w:hAnsi="宋体"/>
                <w:szCs w:val="21"/>
              </w:rPr>
              <w:t>4</w:t>
            </w:r>
          </w:p>
        </w:tc>
        <w:tc>
          <w:tcPr>
            <w:tcW w:w="620" w:type="pct"/>
            <w:vMerge w:val="restart"/>
            <w:vAlign w:val="center"/>
          </w:tcPr>
          <w:p w14:paraId="34D38B43">
            <w:pPr>
              <w:jc w:val="center"/>
            </w:pPr>
            <w:r>
              <w:rPr>
                <w:rFonts w:hint="eastAsia"/>
              </w:rPr>
              <w:t>项目管理</w:t>
            </w:r>
          </w:p>
          <w:p w14:paraId="329247E8">
            <w:pPr>
              <w:jc w:val="center"/>
              <w:rPr>
                <w:rFonts w:hint="eastAsia" w:hAnsi="宋体"/>
                <w:szCs w:val="21"/>
              </w:rPr>
            </w:pPr>
            <w:r>
              <w:rPr>
                <w:rFonts w:hint="eastAsia" w:hAnsi="宋体"/>
                <w:szCs w:val="21"/>
              </w:rPr>
              <w:t>（需提供材料证明）</w:t>
            </w:r>
          </w:p>
        </w:tc>
        <w:tc>
          <w:tcPr>
            <w:tcW w:w="620" w:type="pct"/>
            <w:vAlign w:val="center"/>
          </w:tcPr>
          <w:p w14:paraId="30DD5C75">
            <w:pPr>
              <w:jc w:val="center"/>
              <w:rPr>
                <w:rFonts w:hint="eastAsia" w:hAnsi="宋体"/>
                <w:szCs w:val="21"/>
              </w:rPr>
            </w:pPr>
            <w:r>
              <w:rPr>
                <w:rFonts w:hint="eastAsia" w:hAnsi="宋体"/>
                <w:szCs w:val="21"/>
              </w:rPr>
              <w:t>现场管理</w:t>
            </w:r>
          </w:p>
        </w:tc>
        <w:tc>
          <w:tcPr>
            <w:tcW w:w="3086" w:type="pct"/>
            <w:vAlign w:val="center"/>
          </w:tcPr>
          <w:p w14:paraId="3730D1CA">
            <w:pPr>
              <w:rPr>
                <w:rFonts w:hint="eastAsia" w:hAnsi="宋体"/>
                <w:szCs w:val="21"/>
              </w:rPr>
            </w:pPr>
            <w:r>
              <w:rPr>
                <w:rFonts w:hint="eastAsia" w:hAnsi="宋体"/>
                <w:szCs w:val="21"/>
              </w:rPr>
              <w:t>保证现场按5S管理，有管理流程或文件要求，根据流程或文件覆盖度、详细度，自主赋分。</w:t>
            </w:r>
          </w:p>
        </w:tc>
        <w:tc>
          <w:tcPr>
            <w:tcW w:w="404" w:type="pct"/>
            <w:vAlign w:val="center"/>
          </w:tcPr>
          <w:p w14:paraId="66ED11B1">
            <w:pPr>
              <w:jc w:val="center"/>
              <w:rPr>
                <w:rFonts w:hint="eastAsia" w:hAnsi="宋体"/>
                <w:szCs w:val="21"/>
              </w:rPr>
            </w:pPr>
            <w:r>
              <w:rPr>
                <w:rFonts w:hint="eastAsia" w:hAnsi="宋体"/>
                <w:szCs w:val="21"/>
              </w:rPr>
              <w:t>1</w:t>
            </w:r>
            <w:r>
              <w:rPr>
                <w:rFonts w:hAnsi="宋体"/>
                <w:szCs w:val="21"/>
              </w:rPr>
              <w:t>0</w:t>
            </w:r>
          </w:p>
        </w:tc>
      </w:tr>
      <w:tr w14:paraId="1720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55946CA5">
            <w:pPr>
              <w:jc w:val="center"/>
              <w:rPr>
                <w:rFonts w:hint="eastAsia" w:hAnsi="宋体"/>
                <w:szCs w:val="21"/>
              </w:rPr>
            </w:pPr>
            <w:r>
              <w:rPr>
                <w:rFonts w:hAnsi="宋体"/>
                <w:szCs w:val="21"/>
              </w:rPr>
              <w:t>5</w:t>
            </w:r>
          </w:p>
        </w:tc>
        <w:tc>
          <w:tcPr>
            <w:tcW w:w="620" w:type="pct"/>
            <w:vMerge w:val="continue"/>
            <w:vAlign w:val="center"/>
          </w:tcPr>
          <w:p w14:paraId="3A18DF84">
            <w:pPr>
              <w:jc w:val="center"/>
              <w:rPr>
                <w:rFonts w:hint="eastAsia" w:hAnsi="宋体"/>
                <w:szCs w:val="21"/>
              </w:rPr>
            </w:pPr>
          </w:p>
        </w:tc>
        <w:tc>
          <w:tcPr>
            <w:tcW w:w="620" w:type="pct"/>
            <w:vAlign w:val="center"/>
          </w:tcPr>
          <w:p w14:paraId="6743A22B">
            <w:pPr>
              <w:jc w:val="center"/>
              <w:rPr>
                <w:rFonts w:hint="eastAsia" w:hAnsi="宋体"/>
                <w:szCs w:val="21"/>
              </w:rPr>
            </w:pPr>
            <w:r>
              <w:rPr>
                <w:rFonts w:hint="eastAsia" w:hAnsi="宋体"/>
                <w:szCs w:val="21"/>
              </w:rPr>
              <w:t>作业流程设计</w:t>
            </w:r>
          </w:p>
        </w:tc>
        <w:tc>
          <w:tcPr>
            <w:tcW w:w="3086" w:type="pct"/>
            <w:vAlign w:val="center"/>
          </w:tcPr>
          <w:p w14:paraId="28B135F2">
            <w:pPr>
              <w:rPr>
                <w:rFonts w:hint="eastAsia" w:hAnsi="宋体"/>
                <w:szCs w:val="21"/>
              </w:rPr>
            </w:pPr>
            <w:r>
              <w:rPr>
                <w:rFonts w:hint="eastAsia" w:hAnsi="宋体"/>
                <w:szCs w:val="21"/>
              </w:rPr>
              <w:t>有运营范围内的作业流程文件、指导书或管理制度，根据流程制度的先进性、完善性、柔性、自动化程度等综合评审，自主赋分。</w:t>
            </w:r>
          </w:p>
        </w:tc>
        <w:tc>
          <w:tcPr>
            <w:tcW w:w="404" w:type="pct"/>
            <w:vAlign w:val="center"/>
          </w:tcPr>
          <w:p w14:paraId="316F5517">
            <w:pPr>
              <w:jc w:val="center"/>
              <w:rPr>
                <w:rFonts w:hint="eastAsia" w:hAnsi="宋体"/>
                <w:szCs w:val="21"/>
              </w:rPr>
            </w:pPr>
            <w:r>
              <w:rPr>
                <w:rFonts w:hint="eastAsia" w:hAnsi="宋体"/>
                <w:szCs w:val="21"/>
              </w:rPr>
              <w:t>1</w:t>
            </w:r>
            <w:r>
              <w:rPr>
                <w:rFonts w:hAnsi="宋体"/>
                <w:szCs w:val="21"/>
              </w:rPr>
              <w:t>0</w:t>
            </w:r>
          </w:p>
        </w:tc>
      </w:tr>
      <w:tr w14:paraId="3CEA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44BE1383">
            <w:pPr>
              <w:jc w:val="center"/>
              <w:rPr>
                <w:rFonts w:hint="eastAsia" w:hAnsi="宋体"/>
                <w:szCs w:val="21"/>
              </w:rPr>
            </w:pPr>
            <w:r>
              <w:rPr>
                <w:rFonts w:hAnsi="宋体"/>
                <w:szCs w:val="21"/>
              </w:rPr>
              <w:t>6</w:t>
            </w:r>
          </w:p>
        </w:tc>
        <w:tc>
          <w:tcPr>
            <w:tcW w:w="620" w:type="pct"/>
            <w:vMerge w:val="continue"/>
            <w:vAlign w:val="center"/>
          </w:tcPr>
          <w:p w14:paraId="4AFF7336">
            <w:pPr>
              <w:jc w:val="center"/>
              <w:rPr>
                <w:rFonts w:hint="eastAsia" w:hAnsi="宋体"/>
                <w:szCs w:val="21"/>
              </w:rPr>
            </w:pPr>
          </w:p>
        </w:tc>
        <w:tc>
          <w:tcPr>
            <w:tcW w:w="620" w:type="pct"/>
            <w:vAlign w:val="center"/>
          </w:tcPr>
          <w:p w14:paraId="44F3CAAA">
            <w:pPr>
              <w:jc w:val="center"/>
              <w:rPr>
                <w:rFonts w:hint="eastAsia" w:hAnsi="宋体"/>
                <w:szCs w:val="21"/>
              </w:rPr>
            </w:pPr>
            <w:r>
              <w:rPr>
                <w:rFonts w:hint="eastAsia" w:hAnsi="宋体"/>
                <w:szCs w:val="21"/>
              </w:rPr>
              <w:t>紧急响应机制</w:t>
            </w:r>
          </w:p>
        </w:tc>
        <w:tc>
          <w:tcPr>
            <w:tcW w:w="3086" w:type="pct"/>
            <w:vAlign w:val="center"/>
          </w:tcPr>
          <w:p w14:paraId="57B2B2C0">
            <w:pPr>
              <w:rPr>
                <w:rFonts w:hint="eastAsia" w:hAnsi="宋体"/>
                <w:szCs w:val="21"/>
              </w:rPr>
            </w:pPr>
            <w:r>
              <w:rPr>
                <w:rFonts w:hint="eastAsia" w:hAnsi="宋体"/>
                <w:szCs w:val="21"/>
              </w:rPr>
              <w:t>有应急管理措施及方案的，自主赋分1-10分。</w:t>
            </w:r>
          </w:p>
        </w:tc>
        <w:tc>
          <w:tcPr>
            <w:tcW w:w="404" w:type="pct"/>
            <w:vAlign w:val="center"/>
          </w:tcPr>
          <w:p w14:paraId="7D80452A">
            <w:pPr>
              <w:jc w:val="center"/>
              <w:rPr>
                <w:rFonts w:hint="eastAsia" w:hAnsi="宋体"/>
                <w:szCs w:val="21"/>
              </w:rPr>
            </w:pPr>
            <w:r>
              <w:rPr>
                <w:rFonts w:hAnsi="宋体"/>
                <w:szCs w:val="21"/>
              </w:rPr>
              <w:t>10</w:t>
            </w:r>
          </w:p>
        </w:tc>
      </w:tr>
      <w:tr w14:paraId="20BB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065167F6">
            <w:pPr>
              <w:jc w:val="center"/>
              <w:rPr>
                <w:rFonts w:hint="eastAsia" w:hAnsi="宋体"/>
                <w:szCs w:val="21"/>
              </w:rPr>
            </w:pPr>
            <w:r>
              <w:rPr>
                <w:rFonts w:hAnsi="宋体"/>
                <w:szCs w:val="21"/>
              </w:rPr>
              <w:t>7</w:t>
            </w:r>
          </w:p>
        </w:tc>
        <w:tc>
          <w:tcPr>
            <w:tcW w:w="620" w:type="pct"/>
            <w:vAlign w:val="center"/>
          </w:tcPr>
          <w:p w14:paraId="7C0E0774">
            <w:pPr>
              <w:jc w:val="center"/>
              <w:rPr>
                <w:rFonts w:hint="eastAsia" w:hAnsi="宋体"/>
                <w:szCs w:val="21"/>
              </w:rPr>
            </w:pPr>
            <w:r>
              <w:rPr>
                <w:rFonts w:hint="eastAsia"/>
              </w:rPr>
              <w:t>项目方案</w:t>
            </w:r>
          </w:p>
        </w:tc>
        <w:tc>
          <w:tcPr>
            <w:tcW w:w="620" w:type="pct"/>
            <w:vAlign w:val="center"/>
          </w:tcPr>
          <w:p w14:paraId="4140EB18">
            <w:pPr>
              <w:jc w:val="center"/>
              <w:rPr>
                <w:rFonts w:hint="eastAsia" w:hAnsi="宋体"/>
                <w:szCs w:val="21"/>
              </w:rPr>
            </w:pPr>
            <w:r>
              <w:rPr>
                <w:rFonts w:hint="eastAsia"/>
              </w:rPr>
              <w:t>方案设计</w:t>
            </w:r>
          </w:p>
        </w:tc>
        <w:tc>
          <w:tcPr>
            <w:tcW w:w="3086" w:type="pct"/>
            <w:vAlign w:val="center"/>
          </w:tcPr>
          <w:p w14:paraId="7287DE98">
            <w:pPr>
              <w:rPr>
                <w:rFonts w:hint="eastAsia" w:hAnsi="宋体"/>
                <w:szCs w:val="21"/>
              </w:rPr>
            </w:pPr>
            <w:r>
              <w:rPr>
                <w:rFonts w:hint="eastAsia" w:hAnsi="宋体"/>
                <w:szCs w:val="21"/>
              </w:rPr>
              <w:t>当前业务具体实施方案，自主赋分1-40分。</w:t>
            </w:r>
          </w:p>
        </w:tc>
        <w:tc>
          <w:tcPr>
            <w:tcW w:w="404" w:type="pct"/>
            <w:vAlign w:val="center"/>
          </w:tcPr>
          <w:p w14:paraId="6173561E">
            <w:pPr>
              <w:jc w:val="center"/>
              <w:rPr>
                <w:rFonts w:hint="eastAsia" w:hAnsi="宋体"/>
                <w:szCs w:val="21"/>
              </w:rPr>
            </w:pPr>
            <w:r>
              <w:rPr>
                <w:rFonts w:hAnsi="宋体"/>
                <w:szCs w:val="21"/>
              </w:rPr>
              <w:t>40</w:t>
            </w:r>
          </w:p>
        </w:tc>
      </w:tr>
      <w:bookmarkEnd w:id="6"/>
    </w:tbl>
    <w:p w14:paraId="78716972"/>
    <w:p w14:paraId="5ADDC16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cs="Times New Roman"/>
          <w:u w:val="single"/>
          <w:lang w:val="en-US" w:eastAsia="zh-CN"/>
        </w:rPr>
      </w:pP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个中</w:t>
      </w:r>
      <w:r>
        <w:rPr>
          <w:rFonts w:hint="eastAsia"/>
        </w:rPr>
        <w:t>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7" w:name="OLE_LINK26"/>
      <w:bookmarkStart w:id="8" w:name="OLE_LINK29"/>
      <w:bookmarkStart w:id="9" w:name="OLE_LINK25"/>
      <w:bookmarkStart w:id="10" w:name="OLE_LINK28"/>
      <w:bookmarkStart w:id="11" w:name="OLE_LINK27"/>
      <w:r>
        <w:rPr>
          <w:rFonts w:hint="eastAsia" w:ascii="宋体" w:hAnsi="宋体" w:eastAsia="宋体" w:cs="宋体"/>
          <w:sz w:val="21"/>
          <w:szCs w:val="21"/>
          <w:highlight w:val="none"/>
        </w:rPr>
        <w:t>；</w:t>
      </w:r>
      <w:bookmarkEnd w:id="7"/>
      <w:bookmarkEnd w:id="8"/>
      <w:bookmarkEnd w:id="9"/>
      <w:bookmarkEnd w:id="10"/>
      <w:bookmarkEnd w:id="11"/>
    </w:p>
    <w:p w14:paraId="5CD1D199">
      <w:pPr>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517A66BC">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p>
    <w:p w14:paraId="7C4CCB57">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cs="Times New Roman"/>
          <w:b w:val="0"/>
          <w:bCs/>
          <w:color w:val="auto"/>
          <w:highlight w:val="none"/>
          <w:u w:val="single"/>
          <w:lang w:val="en-US" w:eastAsia="zh-CN"/>
        </w:rPr>
      </w:pP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4A41AA7F">
      <w:pPr>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按月付款，月初根据实际业务量结算上月费用，根据商用车财务制度完成发票挂账，挂账账期30天。</w:t>
      </w:r>
    </w:p>
    <w:p w14:paraId="7DE73050">
      <w:pPr>
        <w:snapToGrid w:val="0"/>
        <w:spacing w:line="360" w:lineRule="auto"/>
        <w:ind w:firstLine="422" w:firstLineChars="200"/>
        <w:jc w:val="left"/>
        <w:rPr>
          <w:rFonts w:hint="eastAsia" w:ascii="仿宋_GB2312" w:hAnsi="仿宋_GB2312" w:cs="仿宋_GB2312"/>
          <w:b/>
          <w:bCs w:val="0"/>
          <w:lang w:val="en-US" w:eastAsia="zh-CN"/>
        </w:rPr>
      </w:pPr>
      <w:r>
        <w:rPr>
          <w:rFonts w:hint="eastAsia" w:ascii="仿宋_GB2312" w:hAnsi="仿宋_GB2312" w:cs="仿宋_GB2312"/>
          <w:b/>
          <w:bCs w:val="0"/>
          <w:lang w:val="en-US" w:eastAsia="zh-CN"/>
        </w:rPr>
        <w:t>付款方式及比例不允许偏离。</w:t>
      </w:r>
    </w:p>
    <w:p w14:paraId="397705C6">
      <w:pPr>
        <w:adjustRightInd w:val="0"/>
        <w:snapToGrid w:val="0"/>
        <w:spacing w:line="360" w:lineRule="auto"/>
        <w:jc w:val="left"/>
        <w:rPr>
          <w:rFonts w:ascii="仿宋_GB2312" w:hAnsi="仿宋_GB2312" w:cs="仿宋_GB2312"/>
          <w:bCs/>
        </w:rPr>
      </w:pPr>
      <w:r>
        <w:rPr>
          <w:rFonts w:hint="eastAsia" w:ascii="仿宋_GB2312" w:hAnsi="仿宋_GB2312" w:cs="仿宋_GB2312"/>
          <w:bCs/>
          <w:lang w:val="en-US" w:eastAsia="zh-CN"/>
        </w:rPr>
        <w:t>3.</w:t>
      </w:r>
      <w:r>
        <w:rPr>
          <w:rFonts w:hint="eastAsia" w:ascii="仿宋_GB2312" w:hAnsi="仿宋_GB2312" w:cs="仿宋_GB2312"/>
          <w:bCs/>
        </w:rPr>
        <w:t>保证金</w:t>
      </w:r>
    </w:p>
    <w:p w14:paraId="05A608A1">
      <w:pPr>
        <w:snapToGrid w:val="0"/>
        <w:spacing w:line="360" w:lineRule="auto"/>
        <w:ind w:firstLine="420" w:firstLineChars="200"/>
        <w:jc w:val="left"/>
        <w:rPr>
          <w:rFonts w:hint="eastAsia" w:ascii="仿宋_GB2312" w:hAnsi="仿宋_GB2312" w:cs="仿宋_GB2312"/>
          <w:bCs/>
        </w:rPr>
      </w:pPr>
      <w:r>
        <w:rPr>
          <w:rFonts w:hint="eastAsia" w:ascii="仿宋_GB2312" w:hAnsi="仿宋_GB2312" w:cs="仿宋_GB2312"/>
          <w:bCs/>
        </w:rPr>
        <w:t>项目预计金额的5%作为本项目质保金。</w:t>
      </w:r>
    </w:p>
    <w:p w14:paraId="0A62FD8E">
      <w:pPr>
        <w:snapToGrid w:val="0"/>
        <w:spacing w:line="360" w:lineRule="auto"/>
        <w:ind w:firstLine="422" w:firstLineChars="200"/>
        <w:jc w:val="left"/>
        <w:rPr>
          <w:rFonts w:hint="default" w:ascii="仿宋_GB2312" w:hAnsi="仿宋_GB2312" w:cs="仿宋_GB2312"/>
          <w:b/>
          <w:bCs w:val="0"/>
          <w:lang w:val="en-US" w:eastAsia="zh-CN"/>
        </w:rPr>
      </w:pP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6"/>
        <w:bidi w:val="0"/>
      </w:pPr>
    </w:p>
    <w:p w14:paraId="465533EB">
      <w:pPr>
        <w:pStyle w:val="76"/>
        <w:bidi w:val="0"/>
      </w:pPr>
    </w:p>
    <w:p w14:paraId="44FA356B">
      <w:pPr>
        <w:pStyle w:val="76"/>
        <w:bidi w:val="0"/>
      </w:pPr>
    </w:p>
    <w:p w14:paraId="6A19ACF1">
      <w:pPr>
        <w:pStyle w:val="76"/>
        <w:bidi w:val="0"/>
      </w:pPr>
    </w:p>
    <w:p w14:paraId="33B7C024">
      <w:pPr>
        <w:pStyle w:val="76"/>
        <w:bidi w:val="0"/>
      </w:pPr>
    </w:p>
    <w:p w14:paraId="56A0A805">
      <w:pPr>
        <w:pStyle w:val="76"/>
        <w:bidi w:val="0"/>
      </w:pPr>
    </w:p>
    <w:p w14:paraId="10623FDA">
      <w:pPr>
        <w:pStyle w:val="76"/>
        <w:bidi w:val="0"/>
      </w:pPr>
    </w:p>
    <w:p w14:paraId="3D7D14A6">
      <w:pPr>
        <w:pStyle w:val="76"/>
        <w:bidi w:val="0"/>
      </w:pPr>
    </w:p>
    <w:p w14:paraId="46372539">
      <w:pPr>
        <w:pStyle w:val="76"/>
        <w:bidi w:val="0"/>
      </w:pPr>
    </w:p>
    <w:p w14:paraId="0A5EE4BB">
      <w:pPr>
        <w:pStyle w:val="76"/>
        <w:bidi w:val="0"/>
      </w:pPr>
    </w:p>
    <w:p w14:paraId="0ACB97CC">
      <w:pPr>
        <w:pStyle w:val="76"/>
        <w:bidi w:val="0"/>
      </w:pPr>
    </w:p>
    <w:p w14:paraId="335554D6">
      <w:pPr>
        <w:pStyle w:val="76"/>
        <w:bidi w:val="0"/>
      </w:pPr>
    </w:p>
    <w:p w14:paraId="3CA69027">
      <w:pPr>
        <w:pStyle w:val="76"/>
        <w:bidi w:val="0"/>
      </w:pPr>
    </w:p>
    <w:p w14:paraId="7D670601">
      <w:pPr>
        <w:pStyle w:val="76"/>
        <w:bidi w:val="0"/>
      </w:pPr>
    </w:p>
    <w:p w14:paraId="0BCB7041">
      <w:pPr>
        <w:pStyle w:val="76"/>
        <w:bidi w:val="0"/>
      </w:pPr>
    </w:p>
    <w:p w14:paraId="657E8B15">
      <w:pPr>
        <w:pStyle w:val="76"/>
        <w:bidi w:val="0"/>
      </w:pPr>
    </w:p>
    <w:p w14:paraId="2D6AAEA7">
      <w:pPr>
        <w:pStyle w:val="76"/>
        <w:bidi w:val="0"/>
      </w:pPr>
    </w:p>
    <w:p w14:paraId="07F13DBC">
      <w:pPr>
        <w:pStyle w:val="76"/>
        <w:bidi w:val="0"/>
      </w:pPr>
    </w:p>
    <w:p w14:paraId="2BE87D26">
      <w:pPr>
        <w:pStyle w:val="76"/>
        <w:bidi w:val="0"/>
      </w:pPr>
    </w:p>
    <w:p w14:paraId="2EEB0F31">
      <w:pPr>
        <w:pStyle w:val="76"/>
        <w:bidi w:val="0"/>
      </w:pPr>
    </w:p>
    <w:p w14:paraId="3869CC99">
      <w:pPr>
        <w:pStyle w:val="76"/>
        <w:bidi w:val="0"/>
      </w:pPr>
    </w:p>
    <w:p w14:paraId="1AD8C816">
      <w:pPr>
        <w:pStyle w:val="76"/>
        <w:bidi w:val="0"/>
      </w:pPr>
    </w:p>
    <w:p w14:paraId="59D8823B">
      <w:pPr>
        <w:pStyle w:val="76"/>
        <w:bidi w:val="0"/>
      </w:pPr>
    </w:p>
    <w:p w14:paraId="07E69BF4">
      <w:pPr>
        <w:pStyle w:val="76"/>
        <w:bidi w:val="0"/>
      </w:pPr>
    </w:p>
    <w:p w14:paraId="243FF35F">
      <w:pPr>
        <w:pStyle w:val="76"/>
        <w:bidi w:val="0"/>
        <w:rPr>
          <w:rFonts w:hint="eastAsia"/>
        </w:rPr>
      </w:pPr>
      <w:bookmarkStart w:id="12" w:name="_Toc47976607"/>
    </w:p>
    <w:p w14:paraId="1FB6CA61">
      <w:pPr>
        <w:pStyle w:val="71"/>
        <w:jc w:val="center"/>
        <w:rPr>
          <w:rFonts w:hint="default" w:eastAsia="黑体"/>
          <w:lang w:val="en-US" w:eastAsia="zh-CN"/>
        </w:rPr>
      </w:pPr>
      <w:bookmarkStart w:id="13" w:name="_Toc16839"/>
      <w:r>
        <w:rPr>
          <w:rFonts w:hint="eastAsia"/>
        </w:rPr>
        <w:t>第二部分　</w:t>
      </w:r>
      <w:bookmarkEnd w:id="12"/>
      <w:r>
        <w:rPr>
          <w:rFonts w:hint="eastAsia"/>
          <w:lang w:val="en-US" w:eastAsia="zh-CN"/>
        </w:rPr>
        <w:t>技术标书</w:t>
      </w:r>
      <w:bookmarkEnd w:id="13"/>
    </w:p>
    <w:p w14:paraId="5F86641E">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一、项目名称</w:t>
      </w:r>
    </w:p>
    <w:p w14:paraId="41BBAB77">
      <w:pPr>
        <w:spacing w:line="360" w:lineRule="auto"/>
        <w:ind w:firstLine="480" w:firstLineChars="200"/>
        <w:rPr>
          <w:rFonts w:hint="eastAsia" w:ascii="宋体" w:hAnsi="宋体" w:cs="宋体"/>
          <w:sz w:val="24"/>
          <w:szCs w:val="24"/>
        </w:rPr>
      </w:pPr>
      <w:r>
        <w:rPr>
          <w:rFonts w:hint="eastAsia" w:ascii="宋体" w:hAnsi="宋体" w:cs="宋体"/>
          <w:sz w:val="24"/>
          <w:szCs w:val="24"/>
        </w:rPr>
        <w:t>车架底盘面漆喷涂项目</w:t>
      </w:r>
    </w:p>
    <w:p w14:paraId="57ADC288">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二、项目范围</w:t>
      </w:r>
    </w:p>
    <w:p w14:paraId="2F007CC9">
      <w:pPr>
        <w:spacing w:line="360" w:lineRule="auto"/>
        <w:ind w:firstLine="480" w:firstLineChars="200"/>
        <w:rPr>
          <w:rFonts w:hint="eastAsia" w:ascii="宋体" w:hAnsi="宋体" w:cs="宋体"/>
          <w:sz w:val="24"/>
          <w:szCs w:val="24"/>
        </w:rPr>
      </w:pPr>
      <w:r>
        <w:rPr>
          <w:rFonts w:hint="eastAsia" w:ascii="宋体" w:hAnsi="宋体" w:cs="宋体"/>
          <w:sz w:val="24"/>
          <w:szCs w:val="24"/>
        </w:rPr>
        <w:t>为提高车架底盘整体防腐性能，对车架底盘进行面漆喷涂。车架部底盘面漆喷涂项目，涉及车架底盘产品第一道喷涂面漆、第二道喷涂面漆、点修等喷漆和修补漆业务。</w:t>
      </w:r>
    </w:p>
    <w:p w14:paraId="1E356825">
      <w:pPr>
        <w:spacing w:line="360" w:lineRule="auto"/>
        <w:ind w:firstLine="480" w:firstLineChars="200"/>
        <w:rPr>
          <w:rFonts w:hint="eastAsia" w:ascii="宋体" w:hAnsi="宋体" w:cs="宋体"/>
          <w:sz w:val="24"/>
          <w:szCs w:val="24"/>
        </w:rPr>
      </w:pPr>
      <w:r>
        <w:rPr>
          <w:rFonts w:hint="eastAsia" w:ascii="宋体" w:hAnsi="宋体" w:cs="宋体"/>
          <w:sz w:val="24"/>
          <w:szCs w:val="24"/>
        </w:rPr>
        <w:t>此外，还需要承担配件车架总成、试制订单车架总成的喷漆业务。</w:t>
      </w:r>
    </w:p>
    <w:p w14:paraId="4180EFD8">
      <w:pPr>
        <w:spacing w:line="360" w:lineRule="auto"/>
        <w:ind w:firstLine="480" w:firstLineChars="200"/>
        <w:rPr>
          <w:rFonts w:hint="eastAsia" w:ascii="宋体" w:hAnsi="宋体" w:cs="宋体"/>
          <w:sz w:val="24"/>
          <w:szCs w:val="24"/>
        </w:rPr>
      </w:pPr>
      <w:r>
        <w:rPr>
          <w:rFonts w:hint="eastAsia" w:ascii="宋体" w:hAnsi="宋体" w:cs="宋体"/>
          <w:sz w:val="24"/>
          <w:szCs w:val="24"/>
        </w:rPr>
        <w:t>工作场地：济南商用车有限公司章丘工业园区。</w:t>
      </w:r>
    </w:p>
    <w:p w14:paraId="0A7E12BB">
      <w:pPr>
        <w:spacing w:line="360" w:lineRule="auto"/>
        <w:ind w:firstLine="480" w:firstLineChars="200"/>
        <w:rPr>
          <w:rFonts w:hint="eastAsia" w:ascii="宋体" w:hAnsi="宋体" w:cs="宋体"/>
          <w:sz w:val="24"/>
          <w:szCs w:val="24"/>
        </w:rPr>
      </w:pPr>
      <w:r>
        <w:rPr>
          <w:rFonts w:hint="eastAsia" w:ascii="宋体" w:hAnsi="宋体" w:cs="宋体"/>
          <w:sz w:val="24"/>
          <w:szCs w:val="24"/>
        </w:rPr>
        <w:t>作业人员：车架底盘面漆，按照4.5min/辆份生产节拍，核定单班人员如下：</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211"/>
        <w:gridCol w:w="808"/>
        <w:gridCol w:w="3028"/>
        <w:gridCol w:w="1211"/>
        <w:gridCol w:w="1211"/>
        <w:gridCol w:w="1211"/>
      </w:tblGrid>
      <w:tr w14:paraId="7157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 w:type="pct"/>
            <w:vAlign w:val="center"/>
          </w:tcPr>
          <w:p w14:paraId="21A13A92">
            <w:pPr>
              <w:jc w:val="center"/>
              <w:rPr>
                <w:rFonts w:hint="eastAsia" w:ascii="宋体" w:hAnsi="宋体" w:cs="宋体"/>
                <w:szCs w:val="21"/>
              </w:rPr>
            </w:pPr>
            <w:r>
              <w:rPr>
                <w:rFonts w:hint="eastAsia" w:ascii="宋体" w:hAnsi="宋体" w:cs="宋体"/>
                <w:szCs w:val="21"/>
              </w:rPr>
              <w:t>序号</w:t>
            </w:r>
          </w:p>
        </w:tc>
        <w:tc>
          <w:tcPr>
            <w:tcW w:w="652" w:type="pct"/>
            <w:vAlign w:val="center"/>
          </w:tcPr>
          <w:p w14:paraId="4150B414">
            <w:pPr>
              <w:jc w:val="center"/>
              <w:rPr>
                <w:rFonts w:hint="eastAsia" w:ascii="宋体" w:hAnsi="宋体" w:cs="宋体"/>
                <w:szCs w:val="21"/>
              </w:rPr>
            </w:pPr>
            <w:r>
              <w:rPr>
                <w:rFonts w:hint="eastAsia" w:ascii="宋体" w:hAnsi="宋体" w:cs="宋体"/>
                <w:szCs w:val="21"/>
              </w:rPr>
              <w:t>工位标准名称</w:t>
            </w:r>
          </w:p>
        </w:tc>
        <w:tc>
          <w:tcPr>
            <w:tcW w:w="435" w:type="pct"/>
            <w:vAlign w:val="center"/>
          </w:tcPr>
          <w:p w14:paraId="50193037">
            <w:pPr>
              <w:jc w:val="center"/>
              <w:rPr>
                <w:rFonts w:hint="eastAsia" w:ascii="宋体" w:hAnsi="宋体" w:cs="宋体"/>
                <w:szCs w:val="21"/>
              </w:rPr>
            </w:pPr>
            <w:r>
              <w:rPr>
                <w:rFonts w:hint="eastAsia" w:ascii="宋体" w:hAnsi="宋体" w:cs="宋体"/>
                <w:szCs w:val="21"/>
              </w:rPr>
              <w:t>人员</w:t>
            </w:r>
          </w:p>
          <w:p w14:paraId="715B9CB9">
            <w:pPr>
              <w:jc w:val="center"/>
              <w:rPr>
                <w:rFonts w:hint="eastAsia" w:ascii="宋体" w:hAnsi="宋体" w:cs="宋体"/>
                <w:szCs w:val="21"/>
              </w:rPr>
            </w:pPr>
            <w:r>
              <w:rPr>
                <w:rFonts w:hint="eastAsia" w:ascii="宋体" w:hAnsi="宋体" w:cs="宋体"/>
                <w:szCs w:val="21"/>
              </w:rPr>
              <w:t>配置</w:t>
            </w:r>
          </w:p>
        </w:tc>
        <w:tc>
          <w:tcPr>
            <w:tcW w:w="1630" w:type="pct"/>
            <w:vAlign w:val="center"/>
          </w:tcPr>
          <w:p w14:paraId="629850E1">
            <w:pPr>
              <w:jc w:val="center"/>
              <w:rPr>
                <w:rFonts w:hint="eastAsia" w:ascii="宋体" w:hAnsi="宋体" w:cs="宋体"/>
                <w:szCs w:val="21"/>
              </w:rPr>
            </w:pPr>
            <w:r>
              <w:rPr>
                <w:rFonts w:hint="eastAsia" w:ascii="宋体" w:hAnsi="宋体" w:cs="宋体"/>
                <w:szCs w:val="21"/>
              </w:rPr>
              <w:t>主要工作内容</w:t>
            </w:r>
          </w:p>
        </w:tc>
        <w:tc>
          <w:tcPr>
            <w:tcW w:w="652" w:type="pct"/>
            <w:vAlign w:val="center"/>
          </w:tcPr>
          <w:p w14:paraId="539086A4">
            <w:pPr>
              <w:jc w:val="center"/>
              <w:rPr>
                <w:rFonts w:hint="eastAsia" w:ascii="宋体" w:hAnsi="宋体" w:cs="宋体"/>
                <w:szCs w:val="21"/>
              </w:rPr>
            </w:pPr>
            <w:r>
              <w:rPr>
                <w:rFonts w:hint="eastAsia" w:ascii="宋体" w:hAnsi="宋体" w:cs="宋体"/>
                <w:szCs w:val="21"/>
              </w:rPr>
              <w:t>工序工时</w:t>
            </w:r>
          </w:p>
          <w:p w14:paraId="3909AE53">
            <w:pPr>
              <w:jc w:val="center"/>
              <w:rPr>
                <w:rFonts w:hint="eastAsia" w:ascii="宋体" w:hAnsi="宋体" w:cs="宋体"/>
                <w:szCs w:val="21"/>
              </w:rPr>
            </w:pPr>
            <w:r>
              <w:rPr>
                <w:rFonts w:hint="eastAsia" w:ascii="宋体" w:hAnsi="宋体" w:cs="宋体"/>
                <w:szCs w:val="21"/>
              </w:rPr>
              <w:t>min</w:t>
            </w:r>
          </w:p>
        </w:tc>
        <w:tc>
          <w:tcPr>
            <w:tcW w:w="652" w:type="pct"/>
            <w:vAlign w:val="center"/>
          </w:tcPr>
          <w:p w14:paraId="6C15E4DD">
            <w:pPr>
              <w:jc w:val="center"/>
              <w:rPr>
                <w:rFonts w:hint="eastAsia" w:ascii="宋体" w:hAnsi="宋体" w:cs="宋体"/>
                <w:szCs w:val="21"/>
              </w:rPr>
            </w:pPr>
            <w:r>
              <w:rPr>
                <w:rFonts w:hint="eastAsia" w:ascii="宋体" w:hAnsi="宋体" w:cs="宋体"/>
                <w:szCs w:val="21"/>
              </w:rPr>
              <w:t>工序节拍</w:t>
            </w:r>
          </w:p>
          <w:p w14:paraId="3E7D6333">
            <w:pPr>
              <w:jc w:val="center"/>
              <w:rPr>
                <w:rFonts w:hint="eastAsia" w:ascii="宋体" w:hAnsi="宋体" w:cs="宋体"/>
                <w:szCs w:val="21"/>
              </w:rPr>
            </w:pPr>
            <w:r>
              <w:rPr>
                <w:rFonts w:hint="eastAsia" w:ascii="宋体" w:hAnsi="宋体" w:cs="宋体"/>
                <w:szCs w:val="21"/>
              </w:rPr>
              <w:t>min/件</w:t>
            </w:r>
          </w:p>
        </w:tc>
        <w:tc>
          <w:tcPr>
            <w:tcW w:w="652" w:type="pct"/>
            <w:vAlign w:val="center"/>
          </w:tcPr>
          <w:p w14:paraId="0863A255">
            <w:pPr>
              <w:jc w:val="center"/>
              <w:rPr>
                <w:rFonts w:hint="eastAsia" w:ascii="宋体" w:hAnsi="宋体" w:cs="宋体"/>
                <w:szCs w:val="21"/>
              </w:rPr>
            </w:pPr>
            <w:r>
              <w:rPr>
                <w:rFonts w:hint="eastAsia" w:ascii="宋体" w:hAnsi="宋体" w:cs="宋体"/>
                <w:szCs w:val="21"/>
              </w:rPr>
              <w:t>备注</w:t>
            </w:r>
          </w:p>
        </w:tc>
      </w:tr>
      <w:tr w14:paraId="3C36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3A84D0FC">
            <w:pPr>
              <w:jc w:val="center"/>
              <w:rPr>
                <w:rFonts w:hint="eastAsia" w:ascii="宋体" w:hAnsi="宋体" w:cs="宋体"/>
                <w:szCs w:val="21"/>
              </w:rPr>
            </w:pPr>
            <w:r>
              <w:rPr>
                <w:rFonts w:hint="eastAsia" w:ascii="宋体" w:hAnsi="宋体" w:cs="宋体"/>
                <w:szCs w:val="21"/>
              </w:rPr>
              <w:t>1</w:t>
            </w:r>
          </w:p>
        </w:tc>
        <w:tc>
          <w:tcPr>
            <w:tcW w:w="652" w:type="pct"/>
            <w:vAlign w:val="center"/>
          </w:tcPr>
          <w:p w14:paraId="14522599">
            <w:pPr>
              <w:rPr>
                <w:rFonts w:hint="eastAsia" w:ascii="宋体" w:hAnsi="宋体" w:cs="宋体"/>
                <w:szCs w:val="21"/>
              </w:rPr>
            </w:pPr>
            <w:r>
              <w:rPr>
                <w:rFonts w:hint="eastAsia" w:ascii="宋体" w:hAnsi="宋体" w:cs="宋体"/>
                <w:szCs w:val="21"/>
              </w:rPr>
              <w:t>第一遍面漆</w:t>
            </w:r>
          </w:p>
        </w:tc>
        <w:tc>
          <w:tcPr>
            <w:tcW w:w="435" w:type="pct"/>
            <w:vAlign w:val="center"/>
          </w:tcPr>
          <w:p w14:paraId="2E790E17">
            <w:pPr>
              <w:jc w:val="center"/>
              <w:rPr>
                <w:rFonts w:hint="eastAsia" w:ascii="宋体" w:hAnsi="宋体" w:cs="宋体"/>
                <w:szCs w:val="21"/>
              </w:rPr>
            </w:pPr>
            <w:r>
              <w:rPr>
                <w:rFonts w:hint="eastAsia" w:ascii="宋体" w:hAnsi="宋体" w:cs="宋体"/>
                <w:szCs w:val="21"/>
              </w:rPr>
              <w:t>4</w:t>
            </w:r>
          </w:p>
        </w:tc>
        <w:tc>
          <w:tcPr>
            <w:tcW w:w="1630" w:type="pct"/>
            <w:vAlign w:val="center"/>
          </w:tcPr>
          <w:p w14:paraId="751E41F9">
            <w:pPr>
              <w:rPr>
                <w:rFonts w:hint="eastAsia" w:ascii="宋体" w:hAnsi="宋体" w:cs="宋体"/>
                <w:szCs w:val="21"/>
              </w:rPr>
            </w:pPr>
            <w:r>
              <w:rPr>
                <w:rFonts w:hint="eastAsia" w:ascii="宋体" w:hAnsi="宋体" w:cs="宋体"/>
                <w:szCs w:val="21"/>
              </w:rPr>
              <w:t>第一遍面漆喷涂</w:t>
            </w:r>
          </w:p>
        </w:tc>
        <w:tc>
          <w:tcPr>
            <w:tcW w:w="652" w:type="pct"/>
            <w:vAlign w:val="center"/>
          </w:tcPr>
          <w:p w14:paraId="733CB0F8">
            <w:pPr>
              <w:jc w:val="center"/>
              <w:rPr>
                <w:szCs w:val="21"/>
              </w:rPr>
            </w:pPr>
            <w:r>
              <w:rPr>
                <w:szCs w:val="21"/>
              </w:rPr>
              <w:t>18</w:t>
            </w:r>
          </w:p>
        </w:tc>
        <w:tc>
          <w:tcPr>
            <w:tcW w:w="652" w:type="pct"/>
            <w:vAlign w:val="center"/>
          </w:tcPr>
          <w:p w14:paraId="7DFAEF99">
            <w:pPr>
              <w:jc w:val="center"/>
              <w:rPr>
                <w:rFonts w:hint="eastAsia" w:ascii="宋体" w:hAnsi="宋体" w:cs="宋体"/>
                <w:szCs w:val="21"/>
              </w:rPr>
            </w:pPr>
            <w:r>
              <w:rPr>
                <w:szCs w:val="21"/>
              </w:rPr>
              <w:t>4.5</w:t>
            </w:r>
          </w:p>
        </w:tc>
        <w:tc>
          <w:tcPr>
            <w:tcW w:w="652" w:type="pct"/>
            <w:vAlign w:val="center"/>
          </w:tcPr>
          <w:p w14:paraId="24D5E173">
            <w:pPr>
              <w:rPr>
                <w:rFonts w:hint="eastAsia" w:ascii="宋体" w:hAnsi="宋体" w:cs="宋体"/>
                <w:szCs w:val="21"/>
              </w:rPr>
            </w:pPr>
            <w:r>
              <w:rPr>
                <w:rFonts w:hint="eastAsia" w:ascii="宋体" w:hAnsi="宋体" w:cs="宋体"/>
                <w:szCs w:val="21"/>
              </w:rPr>
              <w:t>喷漆工</w:t>
            </w:r>
          </w:p>
        </w:tc>
      </w:tr>
      <w:tr w14:paraId="7E5B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19837F64">
            <w:pPr>
              <w:jc w:val="center"/>
              <w:rPr>
                <w:rFonts w:hint="eastAsia" w:ascii="宋体" w:hAnsi="宋体" w:cs="宋体"/>
                <w:szCs w:val="21"/>
              </w:rPr>
            </w:pPr>
            <w:r>
              <w:rPr>
                <w:rFonts w:hint="eastAsia" w:ascii="宋体" w:hAnsi="宋体" w:cs="宋体"/>
                <w:szCs w:val="21"/>
              </w:rPr>
              <w:t>2</w:t>
            </w:r>
          </w:p>
        </w:tc>
        <w:tc>
          <w:tcPr>
            <w:tcW w:w="652" w:type="pct"/>
            <w:vAlign w:val="center"/>
          </w:tcPr>
          <w:p w14:paraId="64BAD6D9">
            <w:pPr>
              <w:rPr>
                <w:rFonts w:hint="eastAsia" w:ascii="宋体" w:hAnsi="宋体" w:cs="宋体"/>
                <w:szCs w:val="21"/>
              </w:rPr>
            </w:pPr>
            <w:r>
              <w:rPr>
                <w:rFonts w:hint="eastAsia" w:ascii="宋体" w:hAnsi="宋体" w:cs="宋体"/>
                <w:szCs w:val="21"/>
              </w:rPr>
              <w:t>第二遍面漆</w:t>
            </w:r>
          </w:p>
        </w:tc>
        <w:tc>
          <w:tcPr>
            <w:tcW w:w="435" w:type="pct"/>
            <w:vAlign w:val="center"/>
          </w:tcPr>
          <w:p w14:paraId="6ED13386">
            <w:pPr>
              <w:jc w:val="center"/>
              <w:rPr>
                <w:rFonts w:hint="eastAsia" w:ascii="宋体" w:hAnsi="宋体" w:cs="宋体"/>
                <w:szCs w:val="21"/>
              </w:rPr>
            </w:pPr>
            <w:r>
              <w:rPr>
                <w:rFonts w:hint="eastAsia" w:ascii="宋体" w:hAnsi="宋体" w:cs="宋体"/>
                <w:szCs w:val="21"/>
              </w:rPr>
              <w:t>4</w:t>
            </w:r>
          </w:p>
        </w:tc>
        <w:tc>
          <w:tcPr>
            <w:tcW w:w="1630" w:type="pct"/>
            <w:vAlign w:val="center"/>
          </w:tcPr>
          <w:p w14:paraId="6AB27CB6">
            <w:pPr>
              <w:rPr>
                <w:rFonts w:hint="eastAsia" w:ascii="宋体" w:hAnsi="宋体" w:cs="宋体"/>
                <w:szCs w:val="21"/>
              </w:rPr>
            </w:pPr>
            <w:r>
              <w:rPr>
                <w:rFonts w:hint="eastAsia" w:ascii="宋体" w:hAnsi="宋体" w:cs="宋体"/>
                <w:szCs w:val="21"/>
              </w:rPr>
              <w:t>第二遍面漆喷涂</w:t>
            </w:r>
          </w:p>
        </w:tc>
        <w:tc>
          <w:tcPr>
            <w:tcW w:w="652" w:type="pct"/>
            <w:vAlign w:val="center"/>
          </w:tcPr>
          <w:p w14:paraId="070408B5">
            <w:pPr>
              <w:jc w:val="center"/>
              <w:rPr>
                <w:szCs w:val="21"/>
              </w:rPr>
            </w:pPr>
            <w:r>
              <w:rPr>
                <w:szCs w:val="21"/>
              </w:rPr>
              <w:t>18</w:t>
            </w:r>
          </w:p>
        </w:tc>
        <w:tc>
          <w:tcPr>
            <w:tcW w:w="652" w:type="pct"/>
            <w:vAlign w:val="center"/>
          </w:tcPr>
          <w:p w14:paraId="4A1DEDEC">
            <w:pPr>
              <w:jc w:val="center"/>
              <w:rPr>
                <w:rFonts w:hint="eastAsia" w:ascii="宋体" w:hAnsi="宋体" w:cs="宋体"/>
                <w:szCs w:val="21"/>
              </w:rPr>
            </w:pPr>
            <w:r>
              <w:rPr>
                <w:szCs w:val="21"/>
              </w:rPr>
              <w:t>4.5</w:t>
            </w:r>
          </w:p>
        </w:tc>
        <w:tc>
          <w:tcPr>
            <w:tcW w:w="652" w:type="pct"/>
            <w:vAlign w:val="center"/>
          </w:tcPr>
          <w:p w14:paraId="5C6734A5">
            <w:pPr>
              <w:rPr>
                <w:rFonts w:hint="eastAsia" w:ascii="宋体" w:hAnsi="宋体" w:cs="宋体"/>
                <w:szCs w:val="21"/>
              </w:rPr>
            </w:pPr>
            <w:r>
              <w:rPr>
                <w:rFonts w:hint="eastAsia" w:ascii="宋体" w:hAnsi="宋体" w:cs="宋体"/>
                <w:szCs w:val="21"/>
              </w:rPr>
              <w:t>喷漆工</w:t>
            </w:r>
          </w:p>
        </w:tc>
      </w:tr>
      <w:tr w14:paraId="0632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1AFCEC8E">
            <w:pPr>
              <w:jc w:val="center"/>
              <w:rPr>
                <w:rFonts w:hint="eastAsia" w:ascii="宋体" w:hAnsi="宋体" w:cs="宋体"/>
                <w:szCs w:val="21"/>
              </w:rPr>
            </w:pPr>
            <w:r>
              <w:rPr>
                <w:rFonts w:hint="eastAsia" w:ascii="宋体" w:hAnsi="宋体" w:cs="宋体"/>
                <w:szCs w:val="21"/>
              </w:rPr>
              <w:t>3</w:t>
            </w:r>
          </w:p>
        </w:tc>
        <w:tc>
          <w:tcPr>
            <w:tcW w:w="652" w:type="pct"/>
            <w:vAlign w:val="center"/>
          </w:tcPr>
          <w:p w14:paraId="740BD6FA">
            <w:pPr>
              <w:rPr>
                <w:rFonts w:hint="eastAsia" w:ascii="宋体" w:hAnsi="宋体" w:cs="宋体"/>
                <w:szCs w:val="21"/>
              </w:rPr>
            </w:pPr>
            <w:r>
              <w:rPr>
                <w:rFonts w:hint="eastAsia" w:ascii="宋体" w:hAnsi="宋体" w:cs="宋体"/>
                <w:szCs w:val="21"/>
              </w:rPr>
              <w:t>修补喷漆</w:t>
            </w:r>
          </w:p>
        </w:tc>
        <w:tc>
          <w:tcPr>
            <w:tcW w:w="435" w:type="pct"/>
            <w:vAlign w:val="center"/>
          </w:tcPr>
          <w:p w14:paraId="05433B65">
            <w:pPr>
              <w:jc w:val="center"/>
              <w:rPr>
                <w:rFonts w:hint="eastAsia" w:ascii="宋体" w:hAnsi="宋体" w:cs="宋体"/>
                <w:szCs w:val="21"/>
              </w:rPr>
            </w:pPr>
            <w:r>
              <w:rPr>
                <w:rFonts w:hint="eastAsia" w:ascii="宋体" w:hAnsi="宋体" w:cs="宋体"/>
                <w:szCs w:val="21"/>
              </w:rPr>
              <w:t>1</w:t>
            </w:r>
          </w:p>
        </w:tc>
        <w:tc>
          <w:tcPr>
            <w:tcW w:w="1630" w:type="pct"/>
            <w:vAlign w:val="center"/>
          </w:tcPr>
          <w:p w14:paraId="7F4A4DDB">
            <w:pPr>
              <w:rPr>
                <w:rFonts w:hint="eastAsia" w:ascii="宋体" w:hAnsi="宋体" w:cs="宋体"/>
                <w:szCs w:val="21"/>
              </w:rPr>
            </w:pPr>
            <w:r>
              <w:rPr>
                <w:rFonts w:hint="eastAsia" w:ascii="宋体" w:hAnsi="宋体" w:cs="宋体"/>
                <w:szCs w:val="21"/>
              </w:rPr>
              <w:t>车架底盘下线对面漆喷涂遮蔽点补漆</w:t>
            </w:r>
          </w:p>
        </w:tc>
        <w:tc>
          <w:tcPr>
            <w:tcW w:w="652" w:type="pct"/>
            <w:vAlign w:val="center"/>
          </w:tcPr>
          <w:p w14:paraId="56EE8CB9">
            <w:pPr>
              <w:jc w:val="center"/>
              <w:rPr>
                <w:szCs w:val="21"/>
              </w:rPr>
            </w:pPr>
            <w:r>
              <w:rPr>
                <w:szCs w:val="21"/>
              </w:rPr>
              <w:t>4</w:t>
            </w:r>
          </w:p>
        </w:tc>
        <w:tc>
          <w:tcPr>
            <w:tcW w:w="652" w:type="pct"/>
            <w:vAlign w:val="center"/>
          </w:tcPr>
          <w:p w14:paraId="3F2C55E1">
            <w:pPr>
              <w:jc w:val="center"/>
              <w:rPr>
                <w:rFonts w:hint="eastAsia" w:ascii="宋体" w:hAnsi="宋体" w:cs="宋体"/>
                <w:szCs w:val="21"/>
              </w:rPr>
            </w:pPr>
            <w:r>
              <w:rPr>
                <w:szCs w:val="21"/>
              </w:rPr>
              <w:t>4</w:t>
            </w:r>
          </w:p>
        </w:tc>
        <w:tc>
          <w:tcPr>
            <w:tcW w:w="652" w:type="pct"/>
            <w:vAlign w:val="center"/>
          </w:tcPr>
          <w:p w14:paraId="6099C54A">
            <w:pPr>
              <w:rPr>
                <w:rFonts w:hint="eastAsia" w:ascii="宋体" w:hAnsi="宋体" w:cs="宋体"/>
                <w:szCs w:val="21"/>
              </w:rPr>
            </w:pPr>
            <w:r>
              <w:rPr>
                <w:rFonts w:hint="eastAsia" w:ascii="宋体" w:hAnsi="宋体" w:cs="宋体"/>
                <w:szCs w:val="21"/>
              </w:rPr>
              <w:t>喷漆工</w:t>
            </w:r>
          </w:p>
        </w:tc>
      </w:tr>
      <w:tr w14:paraId="6751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5DB544B3">
            <w:pPr>
              <w:jc w:val="center"/>
              <w:rPr>
                <w:rFonts w:hint="eastAsia" w:ascii="宋体" w:hAnsi="宋体" w:cs="宋体"/>
                <w:szCs w:val="21"/>
              </w:rPr>
            </w:pPr>
            <w:r>
              <w:rPr>
                <w:rFonts w:hint="eastAsia" w:ascii="宋体" w:hAnsi="宋体" w:cs="宋体"/>
                <w:szCs w:val="21"/>
              </w:rPr>
              <w:t>4</w:t>
            </w:r>
          </w:p>
        </w:tc>
        <w:tc>
          <w:tcPr>
            <w:tcW w:w="652" w:type="pct"/>
            <w:vAlign w:val="center"/>
          </w:tcPr>
          <w:p w14:paraId="0E197E64">
            <w:pPr>
              <w:rPr>
                <w:rFonts w:hint="eastAsia" w:ascii="宋体" w:hAnsi="宋体" w:cs="宋体"/>
                <w:szCs w:val="21"/>
              </w:rPr>
            </w:pPr>
            <w:r>
              <w:rPr>
                <w:rFonts w:hint="eastAsia" w:ascii="宋体" w:hAnsi="宋体" w:cs="宋体"/>
                <w:szCs w:val="21"/>
              </w:rPr>
              <w:t>现场管理</w:t>
            </w:r>
          </w:p>
        </w:tc>
        <w:tc>
          <w:tcPr>
            <w:tcW w:w="435" w:type="pct"/>
            <w:vAlign w:val="center"/>
          </w:tcPr>
          <w:p w14:paraId="0312835F">
            <w:pPr>
              <w:jc w:val="center"/>
              <w:rPr>
                <w:rFonts w:hint="eastAsia" w:ascii="宋体" w:hAnsi="宋体" w:cs="宋体"/>
                <w:szCs w:val="21"/>
              </w:rPr>
            </w:pPr>
            <w:r>
              <w:rPr>
                <w:rFonts w:hint="eastAsia" w:ascii="宋体" w:hAnsi="宋体" w:cs="宋体"/>
                <w:szCs w:val="21"/>
              </w:rPr>
              <w:t>1</w:t>
            </w:r>
          </w:p>
        </w:tc>
        <w:tc>
          <w:tcPr>
            <w:tcW w:w="1630" w:type="pct"/>
            <w:vAlign w:val="center"/>
          </w:tcPr>
          <w:p w14:paraId="78467A19">
            <w:pPr>
              <w:rPr>
                <w:rFonts w:hint="eastAsia" w:ascii="宋体" w:hAnsi="宋体" w:cs="宋体"/>
                <w:szCs w:val="21"/>
              </w:rPr>
            </w:pPr>
            <w:r>
              <w:rPr>
                <w:rFonts w:hint="eastAsia" w:ascii="宋体" w:hAnsi="宋体" w:cs="宋体"/>
                <w:szCs w:val="21"/>
              </w:rPr>
              <w:t>负责外包现场管理，包括技术、质量、安全、物流、设备等方面。</w:t>
            </w:r>
          </w:p>
        </w:tc>
        <w:tc>
          <w:tcPr>
            <w:tcW w:w="652" w:type="pct"/>
            <w:vAlign w:val="center"/>
          </w:tcPr>
          <w:p w14:paraId="54598D98">
            <w:pPr>
              <w:jc w:val="center"/>
              <w:rPr>
                <w:rFonts w:hint="eastAsia" w:ascii="宋体" w:hAnsi="宋体" w:cs="宋体"/>
                <w:szCs w:val="21"/>
              </w:rPr>
            </w:pPr>
            <w:r>
              <w:rPr>
                <w:rFonts w:hint="eastAsia" w:ascii="宋体" w:hAnsi="宋体" w:cs="宋体"/>
                <w:szCs w:val="21"/>
              </w:rPr>
              <w:t>/</w:t>
            </w:r>
          </w:p>
        </w:tc>
        <w:tc>
          <w:tcPr>
            <w:tcW w:w="652" w:type="pct"/>
            <w:vAlign w:val="center"/>
          </w:tcPr>
          <w:p w14:paraId="21FB8245">
            <w:pPr>
              <w:jc w:val="center"/>
              <w:rPr>
                <w:rFonts w:hint="eastAsia" w:ascii="宋体" w:hAnsi="宋体" w:cs="宋体"/>
                <w:szCs w:val="21"/>
              </w:rPr>
            </w:pPr>
            <w:r>
              <w:rPr>
                <w:rFonts w:hint="eastAsia" w:ascii="宋体" w:hAnsi="宋体" w:cs="宋体"/>
                <w:szCs w:val="21"/>
              </w:rPr>
              <w:t>/</w:t>
            </w:r>
          </w:p>
        </w:tc>
        <w:tc>
          <w:tcPr>
            <w:tcW w:w="652" w:type="pct"/>
            <w:vAlign w:val="center"/>
          </w:tcPr>
          <w:p w14:paraId="42C6FFD4">
            <w:pPr>
              <w:rPr>
                <w:rFonts w:hint="eastAsia" w:ascii="宋体" w:hAnsi="宋体" w:cs="宋体"/>
                <w:szCs w:val="21"/>
              </w:rPr>
            </w:pPr>
            <w:r>
              <w:rPr>
                <w:rFonts w:hint="eastAsia" w:ascii="宋体" w:hAnsi="宋体" w:cs="宋体"/>
                <w:szCs w:val="21"/>
              </w:rPr>
              <w:t>管辅人员，不直接参与生产</w:t>
            </w:r>
          </w:p>
        </w:tc>
      </w:tr>
      <w:tr w14:paraId="5D84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33B9FBD6">
            <w:pPr>
              <w:jc w:val="center"/>
              <w:rPr>
                <w:rFonts w:hint="eastAsia" w:ascii="宋体" w:hAnsi="宋体" w:cs="宋体"/>
                <w:szCs w:val="21"/>
              </w:rPr>
            </w:pPr>
            <w:r>
              <w:rPr>
                <w:rFonts w:hint="eastAsia" w:ascii="宋体" w:hAnsi="宋体" w:cs="宋体"/>
                <w:szCs w:val="21"/>
              </w:rPr>
              <w:t>合计</w:t>
            </w:r>
          </w:p>
        </w:tc>
        <w:tc>
          <w:tcPr>
            <w:tcW w:w="652" w:type="pct"/>
            <w:vAlign w:val="center"/>
          </w:tcPr>
          <w:p w14:paraId="00FF011C">
            <w:pPr>
              <w:rPr>
                <w:rFonts w:hint="eastAsia" w:ascii="宋体" w:hAnsi="宋体" w:cs="宋体"/>
                <w:szCs w:val="21"/>
              </w:rPr>
            </w:pPr>
          </w:p>
        </w:tc>
        <w:tc>
          <w:tcPr>
            <w:tcW w:w="435" w:type="pct"/>
            <w:vAlign w:val="center"/>
          </w:tcPr>
          <w:p w14:paraId="51DA43C5">
            <w:pPr>
              <w:jc w:val="center"/>
              <w:rPr>
                <w:rFonts w:hint="eastAsia" w:ascii="宋体" w:hAnsi="宋体" w:cs="宋体"/>
                <w:szCs w:val="21"/>
              </w:rPr>
            </w:pPr>
            <w:r>
              <w:rPr>
                <w:rFonts w:hint="eastAsia" w:ascii="宋体" w:hAnsi="宋体" w:cs="宋体"/>
                <w:szCs w:val="21"/>
              </w:rPr>
              <w:t>10</w:t>
            </w:r>
          </w:p>
        </w:tc>
        <w:tc>
          <w:tcPr>
            <w:tcW w:w="1630" w:type="pct"/>
            <w:vAlign w:val="center"/>
          </w:tcPr>
          <w:p w14:paraId="3D66CA0A">
            <w:pPr>
              <w:rPr>
                <w:rFonts w:hint="eastAsia" w:ascii="宋体" w:hAnsi="宋体" w:cs="宋体"/>
                <w:szCs w:val="21"/>
              </w:rPr>
            </w:pPr>
          </w:p>
        </w:tc>
        <w:tc>
          <w:tcPr>
            <w:tcW w:w="652" w:type="pct"/>
          </w:tcPr>
          <w:p w14:paraId="4E7F9E64">
            <w:pPr>
              <w:jc w:val="center"/>
              <w:rPr>
                <w:rFonts w:hint="eastAsia" w:ascii="宋体" w:hAnsi="宋体" w:cs="宋体"/>
                <w:szCs w:val="21"/>
              </w:rPr>
            </w:pPr>
          </w:p>
        </w:tc>
        <w:tc>
          <w:tcPr>
            <w:tcW w:w="652" w:type="pct"/>
          </w:tcPr>
          <w:p w14:paraId="3CF5F18F">
            <w:pPr>
              <w:jc w:val="center"/>
              <w:rPr>
                <w:rFonts w:hint="eastAsia" w:ascii="宋体" w:hAnsi="宋体" w:cs="宋体"/>
                <w:szCs w:val="21"/>
              </w:rPr>
            </w:pPr>
          </w:p>
        </w:tc>
        <w:tc>
          <w:tcPr>
            <w:tcW w:w="652" w:type="pct"/>
          </w:tcPr>
          <w:p w14:paraId="2B61AF09">
            <w:pPr>
              <w:rPr>
                <w:rFonts w:hint="eastAsia" w:ascii="宋体" w:hAnsi="宋体" w:cs="宋体"/>
                <w:sz w:val="24"/>
                <w:szCs w:val="24"/>
              </w:rPr>
            </w:pPr>
          </w:p>
        </w:tc>
      </w:tr>
    </w:tbl>
    <w:p w14:paraId="47976A07">
      <w:pPr>
        <w:spacing w:line="360" w:lineRule="auto"/>
        <w:ind w:firstLine="480" w:firstLineChars="200"/>
        <w:rPr>
          <w:rFonts w:hint="eastAsia" w:ascii="宋体" w:hAnsi="宋体" w:cs="宋体"/>
          <w:sz w:val="24"/>
          <w:szCs w:val="24"/>
        </w:rPr>
      </w:pPr>
      <w:r>
        <w:rPr>
          <w:rFonts w:hint="eastAsia" w:ascii="宋体" w:hAnsi="宋体" w:cs="宋体"/>
          <w:sz w:val="24"/>
          <w:szCs w:val="24"/>
        </w:rPr>
        <w:t>车架总成面漆，按照4min/辆份生产节拍，核定单班人员如下：</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211"/>
        <w:gridCol w:w="808"/>
        <w:gridCol w:w="3028"/>
        <w:gridCol w:w="1211"/>
        <w:gridCol w:w="1211"/>
        <w:gridCol w:w="1211"/>
      </w:tblGrid>
      <w:tr w14:paraId="2BD9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 w:type="pct"/>
            <w:vAlign w:val="center"/>
          </w:tcPr>
          <w:p w14:paraId="16CB6B4F">
            <w:pPr>
              <w:jc w:val="center"/>
              <w:rPr>
                <w:rFonts w:hint="eastAsia" w:ascii="宋体" w:hAnsi="宋体" w:cs="宋体"/>
                <w:szCs w:val="21"/>
              </w:rPr>
            </w:pPr>
            <w:r>
              <w:rPr>
                <w:rFonts w:hint="eastAsia" w:ascii="宋体" w:hAnsi="宋体" w:cs="宋体"/>
                <w:szCs w:val="21"/>
              </w:rPr>
              <w:t>序号</w:t>
            </w:r>
          </w:p>
        </w:tc>
        <w:tc>
          <w:tcPr>
            <w:tcW w:w="652" w:type="pct"/>
            <w:vAlign w:val="center"/>
          </w:tcPr>
          <w:p w14:paraId="14E0643C">
            <w:pPr>
              <w:jc w:val="center"/>
              <w:rPr>
                <w:rFonts w:hint="eastAsia" w:ascii="宋体" w:hAnsi="宋体" w:cs="宋体"/>
                <w:szCs w:val="21"/>
              </w:rPr>
            </w:pPr>
            <w:r>
              <w:rPr>
                <w:rFonts w:hint="eastAsia" w:ascii="宋体" w:hAnsi="宋体" w:cs="宋体"/>
                <w:szCs w:val="21"/>
              </w:rPr>
              <w:t>工位标准名称</w:t>
            </w:r>
          </w:p>
        </w:tc>
        <w:tc>
          <w:tcPr>
            <w:tcW w:w="435" w:type="pct"/>
            <w:vAlign w:val="center"/>
          </w:tcPr>
          <w:p w14:paraId="7F71FD8D">
            <w:pPr>
              <w:jc w:val="center"/>
              <w:rPr>
                <w:rFonts w:hint="eastAsia" w:ascii="宋体" w:hAnsi="宋体" w:cs="宋体"/>
                <w:szCs w:val="21"/>
              </w:rPr>
            </w:pPr>
            <w:r>
              <w:rPr>
                <w:rFonts w:hint="eastAsia" w:ascii="宋体" w:hAnsi="宋体" w:cs="宋体"/>
                <w:szCs w:val="21"/>
              </w:rPr>
              <w:t>人员</w:t>
            </w:r>
          </w:p>
          <w:p w14:paraId="53190D6C">
            <w:pPr>
              <w:jc w:val="center"/>
              <w:rPr>
                <w:rFonts w:hint="eastAsia" w:ascii="宋体" w:hAnsi="宋体" w:cs="宋体"/>
                <w:szCs w:val="21"/>
              </w:rPr>
            </w:pPr>
            <w:r>
              <w:rPr>
                <w:rFonts w:hint="eastAsia" w:ascii="宋体" w:hAnsi="宋体" w:cs="宋体"/>
                <w:szCs w:val="21"/>
              </w:rPr>
              <w:t>配置</w:t>
            </w:r>
          </w:p>
        </w:tc>
        <w:tc>
          <w:tcPr>
            <w:tcW w:w="1630" w:type="pct"/>
            <w:vAlign w:val="center"/>
          </w:tcPr>
          <w:p w14:paraId="0324C42D">
            <w:pPr>
              <w:jc w:val="center"/>
              <w:rPr>
                <w:rFonts w:hint="eastAsia" w:ascii="宋体" w:hAnsi="宋体" w:cs="宋体"/>
                <w:szCs w:val="21"/>
              </w:rPr>
            </w:pPr>
            <w:r>
              <w:rPr>
                <w:rFonts w:hint="eastAsia" w:ascii="宋体" w:hAnsi="宋体" w:cs="宋体"/>
                <w:szCs w:val="21"/>
              </w:rPr>
              <w:t>主要工作内容</w:t>
            </w:r>
          </w:p>
        </w:tc>
        <w:tc>
          <w:tcPr>
            <w:tcW w:w="652" w:type="pct"/>
            <w:vAlign w:val="center"/>
          </w:tcPr>
          <w:p w14:paraId="22B68F82">
            <w:pPr>
              <w:jc w:val="center"/>
              <w:rPr>
                <w:rFonts w:hint="eastAsia" w:ascii="宋体" w:hAnsi="宋体" w:cs="宋体"/>
                <w:szCs w:val="21"/>
              </w:rPr>
            </w:pPr>
            <w:r>
              <w:rPr>
                <w:rFonts w:hint="eastAsia" w:ascii="宋体" w:hAnsi="宋体" w:cs="宋体"/>
                <w:szCs w:val="21"/>
              </w:rPr>
              <w:t>工序工时</w:t>
            </w:r>
          </w:p>
          <w:p w14:paraId="6F68F9D9">
            <w:pPr>
              <w:jc w:val="center"/>
              <w:rPr>
                <w:rFonts w:hint="eastAsia" w:ascii="宋体" w:hAnsi="宋体" w:cs="宋体"/>
                <w:szCs w:val="21"/>
              </w:rPr>
            </w:pPr>
            <w:r>
              <w:rPr>
                <w:rFonts w:hint="eastAsia" w:ascii="宋体" w:hAnsi="宋体" w:cs="宋体"/>
                <w:szCs w:val="21"/>
              </w:rPr>
              <w:t>min</w:t>
            </w:r>
          </w:p>
        </w:tc>
        <w:tc>
          <w:tcPr>
            <w:tcW w:w="652" w:type="pct"/>
            <w:vAlign w:val="center"/>
          </w:tcPr>
          <w:p w14:paraId="056759F7">
            <w:pPr>
              <w:jc w:val="center"/>
              <w:rPr>
                <w:rFonts w:hint="eastAsia" w:ascii="宋体" w:hAnsi="宋体" w:cs="宋体"/>
                <w:szCs w:val="21"/>
              </w:rPr>
            </w:pPr>
            <w:r>
              <w:rPr>
                <w:rFonts w:hint="eastAsia" w:ascii="宋体" w:hAnsi="宋体" w:cs="宋体"/>
                <w:szCs w:val="21"/>
              </w:rPr>
              <w:t>工序节拍</w:t>
            </w:r>
          </w:p>
          <w:p w14:paraId="39A19A10">
            <w:pPr>
              <w:jc w:val="center"/>
              <w:rPr>
                <w:rFonts w:hint="eastAsia" w:ascii="宋体" w:hAnsi="宋体" w:cs="宋体"/>
                <w:szCs w:val="21"/>
              </w:rPr>
            </w:pPr>
            <w:r>
              <w:rPr>
                <w:rFonts w:hint="eastAsia" w:ascii="宋体" w:hAnsi="宋体" w:cs="宋体"/>
                <w:szCs w:val="21"/>
              </w:rPr>
              <w:t>min/件</w:t>
            </w:r>
          </w:p>
        </w:tc>
        <w:tc>
          <w:tcPr>
            <w:tcW w:w="652" w:type="pct"/>
            <w:vAlign w:val="center"/>
          </w:tcPr>
          <w:p w14:paraId="3486A0F4">
            <w:pPr>
              <w:jc w:val="center"/>
              <w:rPr>
                <w:rFonts w:hint="eastAsia" w:ascii="宋体" w:hAnsi="宋体" w:cs="宋体"/>
                <w:szCs w:val="21"/>
              </w:rPr>
            </w:pPr>
            <w:r>
              <w:rPr>
                <w:rFonts w:hint="eastAsia" w:ascii="宋体" w:hAnsi="宋体" w:cs="宋体"/>
                <w:szCs w:val="21"/>
              </w:rPr>
              <w:t>备注</w:t>
            </w:r>
          </w:p>
        </w:tc>
      </w:tr>
      <w:tr w14:paraId="2E4F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5385BAA7">
            <w:pPr>
              <w:jc w:val="center"/>
              <w:rPr>
                <w:rFonts w:hint="eastAsia" w:ascii="宋体" w:hAnsi="宋体" w:cs="宋体"/>
                <w:szCs w:val="21"/>
              </w:rPr>
            </w:pPr>
            <w:r>
              <w:rPr>
                <w:rFonts w:hint="eastAsia" w:ascii="宋体" w:hAnsi="宋体" w:cs="宋体"/>
                <w:szCs w:val="21"/>
              </w:rPr>
              <w:t>1</w:t>
            </w:r>
          </w:p>
        </w:tc>
        <w:tc>
          <w:tcPr>
            <w:tcW w:w="652" w:type="pct"/>
            <w:vAlign w:val="center"/>
          </w:tcPr>
          <w:p w14:paraId="4C566BD7">
            <w:pPr>
              <w:rPr>
                <w:rFonts w:hint="eastAsia" w:ascii="宋体" w:hAnsi="宋体" w:cs="宋体"/>
                <w:szCs w:val="21"/>
              </w:rPr>
            </w:pPr>
            <w:r>
              <w:rPr>
                <w:rFonts w:hint="eastAsia" w:ascii="宋体" w:hAnsi="宋体" w:cs="宋体"/>
                <w:szCs w:val="21"/>
              </w:rPr>
              <w:t>第一遍面漆</w:t>
            </w:r>
          </w:p>
        </w:tc>
        <w:tc>
          <w:tcPr>
            <w:tcW w:w="435" w:type="pct"/>
            <w:vAlign w:val="center"/>
          </w:tcPr>
          <w:p w14:paraId="2A73E269">
            <w:pPr>
              <w:jc w:val="center"/>
              <w:rPr>
                <w:rFonts w:hint="eastAsia" w:ascii="宋体" w:hAnsi="宋体" w:cs="宋体"/>
                <w:szCs w:val="21"/>
              </w:rPr>
            </w:pPr>
            <w:r>
              <w:rPr>
                <w:rFonts w:hint="eastAsia" w:ascii="宋体" w:hAnsi="宋体" w:cs="宋体"/>
                <w:szCs w:val="21"/>
              </w:rPr>
              <w:t>4</w:t>
            </w:r>
          </w:p>
        </w:tc>
        <w:tc>
          <w:tcPr>
            <w:tcW w:w="1630" w:type="pct"/>
            <w:vAlign w:val="center"/>
          </w:tcPr>
          <w:p w14:paraId="3AC19EAD">
            <w:pPr>
              <w:rPr>
                <w:rFonts w:hint="eastAsia" w:ascii="宋体" w:hAnsi="宋体" w:cs="宋体"/>
                <w:szCs w:val="21"/>
              </w:rPr>
            </w:pPr>
            <w:r>
              <w:rPr>
                <w:rFonts w:hint="eastAsia" w:ascii="宋体" w:hAnsi="宋体" w:cs="宋体"/>
                <w:szCs w:val="21"/>
              </w:rPr>
              <w:t>第一遍面漆喷涂</w:t>
            </w:r>
          </w:p>
        </w:tc>
        <w:tc>
          <w:tcPr>
            <w:tcW w:w="652" w:type="pct"/>
            <w:vAlign w:val="center"/>
          </w:tcPr>
          <w:p w14:paraId="78A7EA47">
            <w:pPr>
              <w:jc w:val="center"/>
              <w:rPr>
                <w:szCs w:val="21"/>
              </w:rPr>
            </w:pPr>
            <w:r>
              <w:rPr>
                <w:szCs w:val="21"/>
              </w:rPr>
              <w:t>16</w:t>
            </w:r>
          </w:p>
        </w:tc>
        <w:tc>
          <w:tcPr>
            <w:tcW w:w="652" w:type="pct"/>
            <w:vAlign w:val="center"/>
          </w:tcPr>
          <w:p w14:paraId="280AE06D">
            <w:pPr>
              <w:jc w:val="center"/>
              <w:rPr>
                <w:rFonts w:hint="eastAsia" w:ascii="宋体" w:hAnsi="宋体" w:cs="宋体"/>
                <w:szCs w:val="21"/>
              </w:rPr>
            </w:pPr>
            <w:r>
              <w:rPr>
                <w:szCs w:val="21"/>
              </w:rPr>
              <w:t>4</w:t>
            </w:r>
          </w:p>
        </w:tc>
        <w:tc>
          <w:tcPr>
            <w:tcW w:w="652" w:type="pct"/>
            <w:vAlign w:val="center"/>
          </w:tcPr>
          <w:p w14:paraId="30F12618">
            <w:pPr>
              <w:rPr>
                <w:rFonts w:hint="eastAsia" w:ascii="宋体" w:hAnsi="宋体" w:cs="宋体"/>
                <w:szCs w:val="21"/>
              </w:rPr>
            </w:pPr>
            <w:r>
              <w:rPr>
                <w:rFonts w:hint="eastAsia" w:ascii="宋体" w:hAnsi="宋体" w:cs="宋体"/>
                <w:szCs w:val="21"/>
              </w:rPr>
              <w:t>喷漆工</w:t>
            </w:r>
          </w:p>
        </w:tc>
      </w:tr>
      <w:tr w14:paraId="051F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304A2CAF">
            <w:pPr>
              <w:jc w:val="center"/>
              <w:rPr>
                <w:rFonts w:hint="eastAsia" w:ascii="宋体" w:hAnsi="宋体" w:cs="宋体"/>
                <w:szCs w:val="21"/>
              </w:rPr>
            </w:pPr>
            <w:r>
              <w:rPr>
                <w:rFonts w:hint="eastAsia" w:ascii="宋体" w:hAnsi="宋体" w:cs="宋体"/>
                <w:szCs w:val="21"/>
              </w:rPr>
              <w:t>2</w:t>
            </w:r>
          </w:p>
        </w:tc>
        <w:tc>
          <w:tcPr>
            <w:tcW w:w="652" w:type="pct"/>
            <w:vAlign w:val="center"/>
          </w:tcPr>
          <w:p w14:paraId="28A10932">
            <w:pPr>
              <w:rPr>
                <w:rFonts w:hint="eastAsia" w:ascii="宋体" w:hAnsi="宋体" w:cs="宋体"/>
                <w:szCs w:val="21"/>
              </w:rPr>
            </w:pPr>
            <w:r>
              <w:rPr>
                <w:rFonts w:hint="eastAsia" w:ascii="宋体" w:hAnsi="宋体" w:cs="宋体"/>
                <w:szCs w:val="21"/>
              </w:rPr>
              <w:t>第二遍面漆</w:t>
            </w:r>
          </w:p>
        </w:tc>
        <w:tc>
          <w:tcPr>
            <w:tcW w:w="435" w:type="pct"/>
            <w:vAlign w:val="center"/>
          </w:tcPr>
          <w:p w14:paraId="44EA91EA">
            <w:pPr>
              <w:jc w:val="center"/>
              <w:rPr>
                <w:rFonts w:hint="eastAsia" w:ascii="宋体" w:hAnsi="宋体" w:cs="宋体"/>
                <w:szCs w:val="21"/>
              </w:rPr>
            </w:pPr>
            <w:r>
              <w:rPr>
                <w:rFonts w:hint="eastAsia" w:ascii="宋体" w:hAnsi="宋体" w:cs="宋体"/>
                <w:szCs w:val="21"/>
              </w:rPr>
              <w:t>4</w:t>
            </w:r>
          </w:p>
        </w:tc>
        <w:tc>
          <w:tcPr>
            <w:tcW w:w="1630" w:type="pct"/>
            <w:vAlign w:val="center"/>
          </w:tcPr>
          <w:p w14:paraId="75EC942C">
            <w:pPr>
              <w:rPr>
                <w:rFonts w:hint="eastAsia" w:ascii="宋体" w:hAnsi="宋体" w:cs="宋体"/>
                <w:szCs w:val="21"/>
              </w:rPr>
            </w:pPr>
            <w:r>
              <w:rPr>
                <w:rFonts w:hint="eastAsia" w:ascii="宋体" w:hAnsi="宋体" w:cs="宋体"/>
                <w:szCs w:val="21"/>
              </w:rPr>
              <w:t>第二遍面漆喷涂</w:t>
            </w:r>
          </w:p>
        </w:tc>
        <w:tc>
          <w:tcPr>
            <w:tcW w:w="652" w:type="pct"/>
            <w:vAlign w:val="center"/>
          </w:tcPr>
          <w:p w14:paraId="3D3DE8B3">
            <w:pPr>
              <w:jc w:val="center"/>
              <w:rPr>
                <w:szCs w:val="21"/>
              </w:rPr>
            </w:pPr>
            <w:r>
              <w:rPr>
                <w:szCs w:val="21"/>
              </w:rPr>
              <w:t>16</w:t>
            </w:r>
          </w:p>
        </w:tc>
        <w:tc>
          <w:tcPr>
            <w:tcW w:w="652" w:type="pct"/>
            <w:vAlign w:val="center"/>
          </w:tcPr>
          <w:p w14:paraId="61119391">
            <w:pPr>
              <w:jc w:val="center"/>
              <w:rPr>
                <w:rFonts w:hint="eastAsia" w:ascii="宋体" w:hAnsi="宋体" w:cs="宋体"/>
                <w:szCs w:val="21"/>
              </w:rPr>
            </w:pPr>
            <w:r>
              <w:rPr>
                <w:szCs w:val="21"/>
              </w:rPr>
              <w:t>4</w:t>
            </w:r>
          </w:p>
        </w:tc>
        <w:tc>
          <w:tcPr>
            <w:tcW w:w="652" w:type="pct"/>
            <w:vAlign w:val="center"/>
          </w:tcPr>
          <w:p w14:paraId="0FFD57D8">
            <w:pPr>
              <w:rPr>
                <w:rFonts w:hint="eastAsia" w:ascii="宋体" w:hAnsi="宋体" w:cs="宋体"/>
                <w:szCs w:val="21"/>
              </w:rPr>
            </w:pPr>
            <w:r>
              <w:rPr>
                <w:rFonts w:hint="eastAsia" w:ascii="宋体" w:hAnsi="宋体" w:cs="宋体"/>
                <w:szCs w:val="21"/>
              </w:rPr>
              <w:t>喷漆工</w:t>
            </w:r>
          </w:p>
        </w:tc>
      </w:tr>
      <w:tr w14:paraId="1C6A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2CB040C6">
            <w:pPr>
              <w:jc w:val="center"/>
              <w:rPr>
                <w:rFonts w:hint="eastAsia" w:ascii="宋体" w:hAnsi="宋体" w:cs="宋体"/>
                <w:szCs w:val="21"/>
              </w:rPr>
            </w:pPr>
            <w:r>
              <w:rPr>
                <w:rFonts w:hint="eastAsia" w:ascii="宋体" w:hAnsi="宋体" w:cs="宋体"/>
                <w:szCs w:val="21"/>
              </w:rPr>
              <w:t>3</w:t>
            </w:r>
          </w:p>
        </w:tc>
        <w:tc>
          <w:tcPr>
            <w:tcW w:w="652" w:type="pct"/>
            <w:vAlign w:val="center"/>
          </w:tcPr>
          <w:p w14:paraId="00B1C6AC">
            <w:pPr>
              <w:rPr>
                <w:rFonts w:hint="eastAsia" w:ascii="宋体" w:hAnsi="宋体" w:cs="宋体"/>
                <w:szCs w:val="21"/>
              </w:rPr>
            </w:pPr>
            <w:r>
              <w:rPr>
                <w:rFonts w:hint="eastAsia" w:ascii="宋体" w:hAnsi="宋体" w:cs="宋体"/>
                <w:szCs w:val="21"/>
              </w:rPr>
              <w:t>修补喷漆</w:t>
            </w:r>
          </w:p>
        </w:tc>
        <w:tc>
          <w:tcPr>
            <w:tcW w:w="435" w:type="pct"/>
            <w:vAlign w:val="center"/>
          </w:tcPr>
          <w:p w14:paraId="3F1F66B0">
            <w:pPr>
              <w:jc w:val="center"/>
              <w:rPr>
                <w:rFonts w:hint="eastAsia" w:ascii="宋体" w:hAnsi="宋体" w:cs="宋体"/>
                <w:szCs w:val="21"/>
              </w:rPr>
            </w:pPr>
            <w:r>
              <w:rPr>
                <w:rFonts w:hint="eastAsia" w:ascii="宋体" w:hAnsi="宋体" w:cs="宋体"/>
                <w:szCs w:val="21"/>
              </w:rPr>
              <w:t>1</w:t>
            </w:r>
          </w:p>
        </w:tc>
        <w:tc>
          <w:tcPr>
            <w:tcW w:w="1630" w:type="pct"/>
            <w:vAlign w:val="center"/>
          </w:tcPr>
          <w:p w14:paraId="32B33C3D">
            <w:pPr>
              <w:rPr>
                <w:rFonts w:hint="eastAsia" w:ascii="宋体" w:hAnsi="宋体" w:cs="宋体"/>
                <w:szCs w:val="21"/>
              </w:rPr>
            </w:pPr>
            <w:r>
              <w:rPr>
                <w:rFonts w:hint="eastAsia" w:ascii="宋体" w:hAnsi="宋体" w:cs="宋体"/>
                <w:szCs w:val="21"/>
              </w:rPr>
              <w:t>车架底盘下线对面漆喷涂遮蔽点补漆</w:t>
            </w:r>
          </w:p>
        </w:tc>
        <w:tc>
          <w:tcPr>
            <w:tcW w:w="652" w:type="pct"/>
            <w:vAlign w:val="center"/>
          </w:tcPr>
          <w:p w14:paraId="3CB26974">
            <w:pPr>
              <w:jc w:val="center"/>
              <w:rPr>
                <w:szCs w:val="21"/>
              </w:rPr>
            </w:pPr>
            <w:r>
              <w:rPr>
                <w:szCs w:val="21"/>
              </w:rPr>
              <w:t>4</w:t>
            </w:r>
          </w:p>
        </w:tc>
        <w:tc>
          <w:tcPr>
            <w:tcW w:w="652" w:type="pct"/>
            <w:vAlign w:val="center"/>
          </w:tcPr>
          <w:p w14:paraId="76D07F0D">
            <w:pPr>
              <w:jc w:val="center"/>
              <w:rPr>
                <w:rFonts w:hint="eastAsia" w:ascii="宋体" w:hAnsi="宋体" w:cs="宋体"/>
                <w:szCs w:val="21"/>
              </w:rPr>
            </w:pPr>
            <w:r>
              <w:rPr>
                <w:szCs w:val="21"/>
              </w:rPr>
              <w:t>4</w:t>
            </w:r>
          </w:p>
        </w:tc>
        <w:tc>
          <w:tcPr>
            <w:tcW w:w="652" w:type="pct"/>
            <w:vAlign w:val="center"/>
          </w:tcPr>
          <w:p w14:paraId="211ACE59">
            <w:pPr>
              <w:rPr>
                <w:rFonts w:hint="eastAsia" w:ascii="宋体" w:hAnsi="宋体" w:cs="宋体"/>
                <w:szCs w:val="21"/>
              </w:rPr>
            </w:pPr>
            <w:r>
              <w:rPr>
                <w:rFonts w:hint="eastAsia" w:ascii="宋体" w:hAnsi="宋体" w:cs="宋体"/>
                <w:szCs w:val="21"/>
              </w:rPr>
              <w:t>喷漆工</w:t>
            </w:r>
          </w:p>
        </w:tc>
      </w:tr>
      <w:tr w14:paraId="5705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14:paraId="4CF32488">
            <w:pPr>
              <w:jc w:val="center"/>
              <w:rPr>
                <w:rFonts w:hint="eastAsia" w:ascii="宋体" w:hAnsi="宋体" w:cs="宋体"/>
                <w:szCs w:val="21"/>
              </w:rPr>
            </w:pPr>
            <w:r>
              <w:rPr>
                <w:rFonts w:hint="eastAsia" w:ascii="宋体" w:hAnsi="宋体" w:cs="宋体"/>
                <w:szCs w:val="21"/>
              </w:rPr>
              <w:t>4</w:t>
            </w:r>
          </w:p>
        </w:tc>
        <w:tc>
          <w:tcPr>
            <w:tcW w:w="652" w:type="pct"/>
            <w:vAlign w:val="center"/>
          </w:tcPr>
          <w:p w14:paraId="26CD595D">
            <w:pPr>
              <w:rPr>
                <w:rFonts w:hint="eastAsia" w:ascii="宋体" w:hAnsi="宋体" w:cs="宋体"/>
                <w:szCs w:val="21"/>
              </w:rPr>
            </w:pPr>
            <w:r>
              <w:rPr>
                <w:rFonts w:hint="eastAsia" w:ascii="宋体" w:hAnsi="宋体" w:cs="宋体"/>
                <w:szCs w:val="21"/>
              </w:rPr>
              <w:t>现场管理</w:t>
            </w:r>
          </w:p>
        </w:tc>
        <w:tc>
          <w:tcPr>
            <w:tcW w:w="435" w:type="pct"/>
            <w:vAlign w:val="center"/>
          </w:tcPr>
          <w:p w14:paraId="2EEA041A">
            <w:pPr>
              <w:jc w:val="center"/>
              <w:rPr>
                <w:rFonts w:hint="eastAsia" w:ascii="宋体" w:hAnsi="宋体" w:cs="宋体"/>
                <w:szCs w:val="21"/>
              </w:rPr>
            </w:pPr>
            <w:r>
              <w:rPr>
                <w:rFonts w:hint="eastAsia" w:ascii="宋体" w:hAnsi="宋体" w:cs="宋体"/>
                <w:szCs w:val="21"/>
              </w:rPr>
              <w:t>1</w:t>
            </w:r>
          </w:p>
        </w:tc>
        <w:tc>
          <w:tcPr>
            <w:tcW w:w="1630" w:type="pct"/>
            <w:vAlign w:val="center"/>
          </w:tcPr>
          <w:p w14:paraId="62AC1F94">
            <w:pPr>
              <w:rPr>
                <w:rFonts w:hint="eastAsia" w:ascii="宋体" w:hAnsi="宋体" w:cs="宋体"/>
                <w:szCs w:val="21"/>
              </w:rPr>
            </w:pPr>
            <w:r>
              <w:rPr>
                <w:rFonts w:hint="eastAsia" w:ascii="宋体" w:hAnsi="宋体" w:cs="宋体"/>
                <w:szCs w:val="21"/>
              </w:rPr>
              <w:t>负责外包现场管理，包括技术、质量、安全、物流、设备等方面。</w:t>
            </w:r>
          </w:p>
        </w:tc>
        <w:tc>
          <w:tcPr>
            <w:tcW w:w="652" w:type="pct"/>
            <w:vAlign w:val="center"/>
          </w:tcPr>
          <w:p w14:paraId="25FCCC37">
            <w:pPr>
              <w:jc w:val="center"/>
              <w:rPr>
                <w:rFonts w:hint="eastAsia" w:ascii="宋体" w:hAnsi="宋体" w:cs="宋体"/>
                <w:szCs w:val="21"/>
              </w:rPr>
            </w:pPr>
            <w:r>
              <w:rPr>
                <w:rFonts w:hint="eastAsia" w:ascii="宋体" w:hAnsi="宋体" w:cs="宋体"/>
                <w:szCs w:val="21"/>
              </w:rPr>
              <w:t>/</w:t>
            </w:r>
          </w:p>
        </w:tc>
        <w:tc>
          <w:tcPr>
            <w:tcW w:w="652" w:type="pct"/>
            <w:vAlign w:val="center"/>
          </w:tcPr>
          <w:p w14:paraId="203A7443">
            <w:pPr>
              <w:jc w:val="center"/>
              <w:rPr>
                <w:rFonts w:hint="eastAsia" w:ascii="宋体" w:hAnsi="宋体" w:cs="宋体"/>
                <w:szCs w:val="21"/>
              </w:rPr>
            </w:pPr>
            <w:r>
              <w:rPr>
                <w:rFonts w:hint="eastAsia" w:ascii="宋体" w:hAnsi="宋体" w:cs="宋体"/>
                <w:szCs w:val="21"/>
              </w:rPr>
              <w:t>/</w:t>
            </w:r>
          </w:p>
        </w:tc>
        <w:tc>
          <w:tcPr>
            <w:tcW w:w="652" w:type="pct"/>
            <w:vAlign w:val="center"/>
          </w:tcPr>
          <w:p w14:paraId="00444B35">
            <w:pPr>
              <w:rPr>
                <w:rFonts w:hint="eastAsia" w:ascii="宋体" w:hAnsi="宋体" w:cs="宋体"/>
                <w:szCs w:val="21"/>
              </w:rPr>
            </w:pPr>
            <w:r>
              <w:rPr>
                <w:rFonts w:hint="eastAsia" w:ascii="宋体" w:hAnsi="宋体" w:cs="宋体"/>
                <w:szCs w:val="21"/>
              </w:rPr>
              <w:t>管辅人员，不直接参与生产</w:t>
            </w:r>
          </w:p>
        </w:tc>
      </w:tr>
      <w:tr w14:paraId="642F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6" w:type="pct"/>
            <w:vAlign w:val="center"/>
          </w:tcPr>
          <w:p w14:paraId="195FDEB4">
            <w:pPr>
              <w:jc w:val="center"/>
              <w:rPr>
                <w:rFonts w:hint="eastAsia" w:ascii="宋体" w:hAnsi="宋体" w:cs="宋体"/>
                <w:szCs w:val="21"/>
              </w:rPr>
            </w:pPr>
            <w:r>
              <w:rPr>
                <w:rFonts w:hint="eastAsia" w:ascii="宋体" w:hAnsi="宋体" w:cs="宋体"/>
                <w:szCs w:val="21"/>
              </w:rPr>
              <w:t>合计</w:t>
            </w:r>
          </w:p>
        </w:tc>
        <w:tc>
          <w:tcPr>
            <w:tcW w:w="652" w:type="pct"/>
            <w:vAlign w:val="center"/>
          </w:tcPr>
          <w:p w14:paraId="0DEF58A4">
            <w:pPr>
              <w:rPr>
                <w:rFonts w:hint="eastAsia" w:ascii="宋体" w:hAnsi="宋体" w:cs="宋体"/>
                <w:szCs w:val="21"/>
              </w:rPr>
            </w:pPr>
          </w:p>
        </w:tc>
        <w:tc>
          <w:tcPr>
            <w:tcW w:w="435" w:type="pct"/>
            <w:vAlign w:val="center"/>
          </w:tcPr>
          <w:p w14:paraId="3228365D">
            <w:pPr>
              <w:jc w:val="center"/>
              <w:rPr>
                <w:rFonts w:hint="eastAsia" w:ascii="宋体" w:hAnsi="宋体" w:cs="宋体"/>
                <w:szCs w:val="21"/>
              </w:rPr>
            </w:pPr>
            <w:r>
              <w:rPr>
                <w:rFonts w:hint="eastAsia" w:ascii="宋体" w:hAnsi="宋体" w:cs="宋体"/>
                <w:szCs w:val="21"/>
              </w:rPr>
              <w:t>10</w:t>
            </w:r>
          </w:p>
        </w:tc>
        <w:tc>
          <w:tcPr>
            <w:tcW w:w="1630" w:type="pct"/>
            <w:vAlign w:val="center"/>
          </w:tcPr>
          <w:p w14:paraId="4BBA5CC2">
            <w:pPr>
              <w:rPr>
                <w:rFonts w:hint="eastAsia" w:ascii="宋体" w:hAnsi="宋体" w:cs="宋体"/>
                <w:szCs w:val="21"/>
              </w:rPr>
            </w:pPr>
          </w:p>
        </w:tc>
        <w:tc>
          <w:tcPr>
            <w:tcW w:w="652" w:type="pct"/>
          </w:tcPr>
          <w:p w14:paraId="39BD1A7A">
            <w:pPr>
              <w:rPr>
                <w:rFonts w:hint="eastAsia" w:ascii="宋体" w:hAnsi="宋体" w:cs="宋体"/>
                <w:szCs w:val="21"/>
              </w:rPr>
            </w:pPr>
          </w:p>
        </w:tc>
        <w:tc>
          <w:tcPr>
            <w:tcW w:w="652" w:type="pct"/>
          </w:tcPr>
          <w:p w14:paraId="54257F2D">
            <w:pPr>
              <w:rPr>
                <w:rFonts w:hint="eastAsia" w:ascii="宋体" w:hAnsi="宋体" w:cs="宋体"/>
                <w:szCs w:val="21"/>
              </w:rPr>
            </w:pPr>
          </w:p>
        </w:tc>
        <w:tc>
          <w:tcPr>
            <w:tcW w:w="652" w:type="pct"/>
            <w:vAlign w:val="center"/>
          </w:tcPr>
          <w:p w14:paraId="4785698D">
            <w:pPr>
              <w:rPr>
                <w:rFonts w:hint="eastAsia" w:ascii="宋体" w:hAnsi="宋体" w:cs="宋体"/>
                <w:szCs w:val="21"/>
              </w:rPr>
            </w:pPr>
          </w:p>
        </w:tc>
      </w:tr>
    </w:tbl>
    <w:p w14:paraId="3FB47D36">
      <w:pPr>
        <w:spacing w:line="360" w:lineRule="auto"/>
        <w:ind w:firstLine="480" w:firstLineChars="200"/>
        <w:rPr>
          <w:rFonts w:ascii="宋体" w:hAnsi="宋体" w:cs="宋体"/>
          <w:sz w:val="24"/>
          <w:szCs w:val="24"/>
        </w:rPr>
      </w:pPr>
      <w:r>
        <w:rPr>
          <w:rFonts w:hint="eastAsia" w:ascii="宋体" w:hAnsi="宋体" w:cs="宋体"/>
          <w:sz w:val="24"/>
          <w:szCs w:val="24"/>
        </w:rPr>
        <w:t>注：</w:t>
      </w:r>
    </w:p>
    <w:p w14:paraId="0A345165">
      <w:pPr>
        <w:spacing w:line="360" w:lineRule="auto"/>
        <w:ind w:firstLine="480" w:firstLineChars="200"/>
        <w:rPr>
          <w:rFonts w:ascii="宋体" w:hAnsi="宋体" w:cs="宋体"/>
          <w:sz w:val="24"/>
          <w:szCs w:val="24"/>
        </w:rPr>
      </w:pPr>
      <w:r>
        <w:rPr>
          <w:rFonts w:hint="eastAsia" w:ascii="宋体" w:hAnsi="宋体" w:cs="宋体"/>
          <w:sz w:val="24"/>
          <w:szCs w:val="24"/>
        </w:rPr>
        <w:t>1.车架总成面漆喷涂与车架底盘面漆喷涂业务为相同产线及人员，如节拍、工艺参数和质量状态不满足要求，需投标方安排增加人员保证相关要求，由此增加的费用由投标方承担。补充人员需一周内到期。</w:t>
      </w:r>
    </w:p>
    <w:p w14:paraId="14233BD4">
      <w:pPr>
        <w:spacing w:line="360" w:lineRule="auto"/>
        <w:ind w:firstLine="480" w:firstLineChars="200"/>
        <w:rPr>
          <w:rFonts w:ascii="宋体" w:hAnsi="宋体" w:cs="宋体"/>
          <w:sz w:val="24"/>
          <w:szCs w:val="24"/>
        </w:rPr>
      </w:pPr>
      <w:r>
        <w:rPr>
          <w:rFonts w:hint="eastAsia" w:ascii="宋体" w:hAnsi="宋体" w:cs="宋体"/>
          <w:sz w:val="24"/>
          <w:szCs w:val="24"/>
        </w:rPr>
        <w:t>2.批量生产时，车架总成面漆与车架底盘面漆混线生产</w:t>
      </w:r>
    </w:p>
    <w:p w14:paraId="4841B72A">
      <w:pPr>
        <w:spacing w:line="360" w:lineRule="auto"/>
        <w:ind w:firstLine="480" w:firstLineChars="200"/>
        <w:rPr>
          <w:rFonts w:hint="eastAsia" w:ascii="宋体" w:hAnsi="宋体" w:cs="宋体"/>
          <w:sz w:val="24"/>
          <w:szCs w:val="24"/>
        </w:rPr>
      </w:pPr>
      <w:r>
        <w:rPr>
          <w:rFonts w:hint="eastAsia" w:ascii="宋体" w:hAnsi="宋体" w:cs="宋体"/>
          <w:sz w:val="24"/>
          <w:szCs w:val="24"/>
        </w:rPr>
        <w:t>3.外包履约期：2026.01.01-2026.12.31</w:t>
      </w:r>
    </w:p>
    <w:p w14:paraId="48069F18">
      <w:pPr>
        <w:spacing w:line="360" w:lineRule="auto"/>
        <w:ind w:firstLine="480" w:firstLineChars="200"/>
        <w:rPr>
          <w:rFonts w:hint="eastAsia" w:ascii="宋体" w:hAnsi="宋体" w:cs="宋体"/>
          <w:sz w:val="24"/>
          <w:szCs w:val="24"/>
        </w:rPr>
      </w:pPr>
      <w:r>
        <w:rPr>
          <w:rFonts w:hint="eastAsia" w:ascii="宋体" w:hAnsi="宋体" w:cs="宋体"/>
          <w:sz w:val="24"/>
          <w:szCs w:val="24"/>
        </w:rPr>
        <w:t>4.计划产量</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3780"/>
        <w:gridCol w:w="3918"/>
      </w:tblGrid>
      <w:tr w14:paraId="25A7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5" w:type="pct"/>
            <w:vAlign w:val="center"/>
          </w:tcPr>
          <w:p w14:paraId="64916F91">
            <w:pPr>
              <w:spacing w:line="360" w:lineRule="auto"/>
              <w:jc w:val="center"/>
              <w:rPr>
                <w:rFonts w:hint="eastAsia" w:ascii="宋体" w:hAnsi="宋体" w:cs="宋体"/>
                <w:sz w:val="24"/>
                <w:szCs w:val="24"/>
              </w:rPr>
            </w:pPr>
            <w:r>
              <w:rPr>
                <w:rFonts w:hint="eastAsia" w:ascii="宋体" w:hAnsi="宋体" w:cs="宋体"/>
                <w:sz w:val="24"/>
                <w:szCs w:val="24"/>
              </w:rPr>
              <w:t>序号</w:t>
            </w:r>
          </w:p>
        </w:tc>
        <w:tc>
          <w:tcPr>
            <w:tcW w:w="2035" w:type="pct"/>
            <w:vAlign w:val="center"/>
          </w:tcPr>
          <w:p w14:paraId="3A71FFCB">
            <w:pPr>
              <w:spacing w:line="360" w:lineRule="auto"/>
              <w:jc w:val="center"/>
              <w:rPr>
                <w:rFonts w:hint="eastAsia" w:ascii="宋体" w:hAnsi="宋体" w:cs="宋体"/>
                <w:sz w:val="24"/>
                <w:szCs w:val="24"/>
              </w:rPr>
            </w:pPr>
            <w:r>
              <w:rPr>
                <w:rFonts w:hint="eastAsia" w:ascii="宋体" w:hAnsi="宋体" w:cs="宋体"/>
                <w:sz w:val="24"/>
                <w:szCs w:val="24"/>
              </w:rPr>
              <w:t>项目</w:t>
            </w:r>
          </w:p>
        </w:tc>
        <w:tc>
          <w:tcPr>
            <w:tcW w:w="2109" w:type="pct"/>
            <w:vAlign w:val="center"/>
          </w:tcPr>
          <w:p w14:paraId="31C9CC17">
            <w:pPr>
              <w:spacing w:line="360" w:lineRule="auto"/>
              <w:jc w:val="center"/>
              <w:rPr>
                <w:rFonts w:hint="eastAsia" w:ascii="宋体" w:hAnsi="宋体" w:cs="宋体"/>
                <w:sz w:val="24"/>
                <w:szCs w:val="24"/>
              </w:rPr>
            </w:pPr>
            <w:r>
              <w:rPr>
                <w:rFonts w:hint="eastAsia" w:ascii="宋体" w:hAnsi="宋体" w:cs="宋体"/>
                <w:sz w:val="24"/>
                <w:szCs w:val="24"/>
              </w:rPr>
              <w:t>2026年计划量</w:t>
            </w:r>
          </w:p>
        </w:tc>
      </w:tr>
      <w:tr w14:paraId="197B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21890105">
            <w:pPr>
              <w:spacing w:line="360" w:lineRule="auto"/>
              <w:jc w:val="center"/>
              <w:rPr>
                <w:rFonts w:hint="eastAsia" w:ascii="宋体" w:hAnsi="宋体" w:cs="宋体"/>
                <w:sz w:val="24"/>
                <w:szCs w:val="24"/>
              </w:rPr>
            </w:pPr>
            <w:r>
              <w:rPr>
                <w:rFonts w:hint="eastAsia" w:ascii="宋体" w:hAnsi="宋体" w:cs="宋体"/>
                <w:sz w:val="24"/>
                <w:szCs w:val="24"/>
              </w:rPr>
              <w:t>1</w:t>
            </w:r>
          </w:p>
        </w:tc>
        <w:tc>
          <w:tcPr>
            <w:tcW w:w="2035" w:type="pct"/>
            <w:vAlign w:val="center"/>
          </w:tcPr>
          <w:p w14:paraId="1FF8E7E6">
            <w:pPr>
              <w:spacing w:line="360" w:lineRule="auto"/>
              <w:jc w:val="center"/>
              <w:rPr>
                <w:rFonts w:hint="eastAsia" w:ascii="宋体" w:hAnsi="宋体" w:cs="宋体"/>
                <w:sz w:val="24"/>
                <w:szCs w:val="24"/>
              </w:rPr>
            </w:pPr>
            <w:r>
              <w:rPr>
                <w:rFonts w:hint="eastAsia" w:ascii="宋体" w:hAnsi="宋体" w:cs="宋体"/>
                <w:sz w:val="24"/>
                <w:szCs w:val="24"/>
              </w:rPr>
              <w:t>车架底盘面漆</w:t>
            </w:r>
          </w:p>
        </w:tc>
        <w:tc>
          <w:tcPr>
            <w:tcW w:w="2109" w:type="pct"/>
            <w:vAlign w:val="center"/>
          </w:tcPr>
          <w:p w14:paraId="3190C252">
            <w:pPr>
              <w:spacing w:line="360" w:lineRule="auto"/>
              <w:jc w:val="center"/>
              <w:rPr>
                <w:rFonts w:hint="eastAsia" w:ascii="宋体" w:hAnsi="宋体" w:cs="宋体"/>
                <w:sz w:val="24"/>
                <w:szCs w:val="24"/>
              </w:rPr>
            </w:pPr>
            <w:r>
              <w:rPr>
                <w:rFonts w:hint="eastAsia" w:ascii="宋体" w:hAnsi="宋体" w:cs="宋体"/>
                <w:sz w:val="24"/>
                <w:szCs w:val="24"/>
              </w:rPr>
              <w:t>60100</w:t>
            </w:r>
          </w:p>
        </w:tc>
      </w:tr>
      <w:tr w14:paraId="72A6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 w:type="pct"/>
            <w:vAlign w:val="center"/>
          </w:tcPr>
          <w:p w14:paraId="350D8A2A">
            <w:pPr>
              <w:spacing w:line="360" w:lineRule="auto"/>
              <w:jc w:val="center"/>
              <w:rPr>
                <w:rFonts w:hint="eastAsia" w:ascii="宋体" w:hAnsi="宋体" w:cs="宋体"/>
                <w:sz w:val="24"/>
                <w:szCs w:val="24"/>
              </w:rPr>
            </w:pPr>
            <w:r>
              <w:rPr>
                <w:rFonts w:hint="eastAsia" w:ascii="宋体" w:hAnsi="宋体" w:cs="宋体"/>
                <w:sz w:val="24"/>
                <w:szCs w:val="24"/>
              </w:rPr>
              <w:t>2</w:t>
            </w:r>
          </w:p>
        </w:tc>
        <w:tc>
          <w:tcPr>
            <w:tcW w:w="2035" w:type="pct"/>
            <w:vAlign w:val="center"/>
          </w:tcPr>
          <w:p w14:paraId="637A31F7">
            <w:pPr>
              <w:spacing w:line="360" w:lineRule="auto"/>
              <w:jc w:val="center"/>
              <w:rPr>
                <w:rFonts w:hint="eastAsia" w:ascii="宋体" w:hAnsi="宋体" w:cs="宋体"/>
                <w:sz w:val="24"/>
                <w:szCs w:val="24"/>
              </w:rPr>
            </w:pPr>
            <w:r>
              <w:rPr>
                <w:rFonts w:hint="eastAsia" w:ascii="宋体" w:hAnsi="宋体" w:cs="宋体"/>
                <w:sz w:val="24"/>
                <w:szCs w:val="24"/>
              </w:rPr>
              <w:t>车架总成面漆</w:t>
            </w:r>
          </w:p>
        </w:tc>
        <w:tc>
          <w:tcPr>
            <w:tcW w:w="2109" w:type="pct"/>
            <w:vAlign w:val="center"/>
          </w:tcPr>
          <w:p w14:paraId="466A2F56">
            <w:pPr>
              <w:spacing w:line="360" w:lineRule="auto"/>
              <w:jc w:val="center"/>
              <w:rPr>
                <w:rFonts w:hint="eastAsia" w:ascii="宋体" w:hAnsi="宋体" w:cs="宋体"/>
                <w:sz w:val="24"/>
                <w:szCs w:val="24"/>
              </w:rPr>
            </w:pPr>
            <w:r>
              <w:rPr>
                <w:rFonts w:hint="eastAsia" w:ascii="宋体" w:hAnsi="宋体" w:cs="宋体"/>
                <w:sz w:val="24"/>
                <w:szCs w:val="24"/>
              </w:rPr>
              <w:t>400</w:t>
            </w:r>
          </w:p>
        </w:tc>
      </w:tr>
    </w:tbl>
    <w:p w14:paraId="04362B0E">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注：业务量为预计生产量，结算时以实际产量为准。</w:t>
      </w:r>
    </w:p>
    <w:p w14:paraId="57BFE37A">
      <w:pPr>
        <w:spacing w:line="360" w:lineRule="auto"/>
        <w:ind w:firstLine="480" w:firstLineChars="200"/>
        <w:rPr>
          <w:rFonts w:hint="eastAsia" w:ascii="宋体" w:hAnsi="宋体" w:cs="宋体"/>
          <w:sz w:val="24"/>
          <w:szCs w:val="24"/>
        </w:rPr>
      </w:pPr>
      <w:r>
        <w:rPr>
          <w:rFonts w:hint="eastAsia" w:ascii="宋体" w:hAnsi="宋体" w:cs="宋体"/>
          <w:sz w:val="24"/>
          <w:szCs w:val="24"/>
        </w:rPr>
        <w:t>5.相关要求</w:t>
      </w:r>
    </w:p>
    <w:p w14:paraId="04B9013E">
      <w:pPr>
        <w:spacing w:line="360" w:lineRule="auto"/>
        <w:ind w:firstLine="480" w:firstLineChars="200"/>
        <w:rPr>
          <w:rFonts w:hint="eastAsia" w:ascii="宋体" w:hAnsi="宋体" w:cs="宋体"/>
          <w:sz w:val="24"/>
          <w:szCs w:val="24"/>
        </w:rPr>
      </w:pPr>
      <w:r>
        <w:rPr>
          <w:rFonts w:hint="eastAsia" w:ascii="宋体" w:hAnsi="宋体" w:cs="宋体"/>
          <w:sz w:val="24"/>
          <w:szCs w:val="24"/>
        </w:rPr>
        <w:t>面漆喷涂人员需熟练掌握喷漆操作技能和专业知识，经喷涂实操考核合格后方可上岗作业。其中男性50岁以内，女性45岁以内。</w:t>
      </w:r>
    </w:p>
    <w:p w14:paraId="48716ABC">
      <w:pPr>
        <w:spacing w:line="360" w:lineRule="auto"/>
        <w:ind w:firstLine="480" w:firstLineChars="200"/>
        <w:rPr>
          <w:rFonts w:ascii="宋体" w:hAnsi="宋体" w:cs="宋体"/>
          <w:sz w:val="24"/>
          <w:szCs w:val="24"/>
        </w:rPr>
      </w:pPr>
      <w:r>
        <w:rPr>
          <w:rFonts w:hint="eastAsia" w:ascii="宋体" w:hAnsi="宋体" w:cs="宋体"/>
          <w:sz w:val="24"/>
          <w:szCs w:val="24"/>
        </w:rPr>
        <w:t>投标方作业人员入职前必须携带相关职业查体报告和健康证明，不符合要求者严禁入职上岗。</w:t>
      </w:r>
    </w:p>
    <w:p w14:paraId="42188583">
      <w:pPr>
        <w:spacing w:line="360" w:lineRule="auto"/>
        <w:ind w:firstLine="480" w:firstLineChars="200"/>
        <w:rPr>
          <w:rFonts w:hint="eastAsia" w:ascii="宋体" w:hAnsi="宋体" w:cs="宋体"/>
          <w:sz w:val="24"/>
          <w:szCs w:val="24"/>
        </w:rPr>
      </w:pPr>
      <w:r>
        <w:rPr>
          <w:rFonts w:hint="eastAsia" w:ascii="宋体" w:hAnsi="宋体" w:cs="宋体"/>
          <w:sz w:val="24"/>
          <w:szCs w:val="24"/>
        </w:rPr>
        <w:t>外包方需明确具体的现场管理负责人。负责外包日常管理，与商用车公司对接、协调安全、质量、生产、成本、设备、工艺、现场等基础管理工作。管理依据重汽现场管理标准，培训、考勤、操作技能等同正式工要求。</w:t>
      </w:r>
    </w:p>
    <w:p w14:paraId="41C6DCEA">
      <w:pPr>
        <w:spacing w:line="360" w:lineRule="auto"/>
        <w:ind w:firstLine="480" w:firstLineChars="200"/>
        <w:rPr>
          <w:rFonts w:hint="eastAsia" w:ascii="宋体" w:hAnsi="宋体" w:cs="宋体"/>
          <w:sz w:val="24"/>
          <w:szCs w:val="24"/>
        </w:rPr>
      </w:pPr>
      <w:r>
        <w:rPr>
          <w:rFonts w:hint="eastAsia" w:ascii="宋体" w:hAnsi="宋体" w:cs="宋体"/>
          <w:sz w:val="24"/>
          <w:szCs w:val="24"/>
        </w:rPr>
        <w:t>投标方必须保持人员队伍稳定，无条件服从现场各项管理规定，按要求参加各类会议，确保管理要求和信息传递。</w:t>
      </w:r>
    </w:p>
    <w:p w14:paraId="0515CD2F">
      <w:pPr>
        <w:spacing w:line="360" w:lineRule="auto"/>
        <w:ind w:firstLine="480" w:firstLineChars="200"/>
        <w:rPr>
          <w:rFonts w:hint="eastAsia" w:ascii="宋体" w:hAnsi="宋体" w:cs="宋体"/>
          <w:sz w:val="24"/>
          <w:szCs w:val="24"/>
        </w:rPr>
      </w:pPr>
      <w:r>
        <w:rPr>
          <w:rFonts w:hint="eastAsia" w:ascii="宋体" w:hAnsi="宋体" w:cs="宋体"/>
          <w:sz w:val="24"/>
          <w:szCs w:val="24"/>
        </w:rPr>
        <w:t>每班生产结束，对生产区域卫生（包含橱柜、卷帘门等）及时清洁、清扫，根据能源需求情况，及时关闭水、电、气源等。</w:t>
      </w:r>
    </w:p>
    <w:p w14:paraId="306D4530">
      <w:pPr>
        <w:spacing w:line="360" w:lineRule="auto"/>
        <w:ind w:firstLine="480" w:firstLineChars="200"/>
        <w:rPr>
          <w:rFonts w:hint="eastAsia" w:ascii="宋体" w:hAnsi="宋体" w:cs="宋体"/>
          <w:sz w:val="24"/>
          <w:szCs w:val="24"/>
        </w:rPr>
      </w:pPr>
      <w:r>
        <w:rPr>
          <w:rFonts w:hint="eastAsia" w:ascii="宋体" w:hAnsi="宋体" w:cs="宋体"/>
          <w:sz w:val="24"/>
          <w:szCs w:val="24"/>
        </w:rPr>
        <w:t>投标方作业人员必须严格执行面漆喷涂标准作业指导书中的工艺要求，确保产品质量，如出现质量问题，负责后续排查和返修工作。</w:t>
      </w:r>
    </w:p>
    <w:p w14:paraId="6B04165B">
      <w:pPr>
        <w:spacing w:line="360" w:lineRule="auto"/>
        <w:ind w:firstLine="480" w:firstLineChars="200"/>
        <w:rPr>
          <w:rFonts w:hint="eastAsia" w:ascii="宋体" w:hAnsi="宋体" w:cs="宋体"/>
          <w:sz w:val="24"/>
          <w:szCs w:val="24"/>
        </w:rPr>
      </w:pPr>
      <w:r>
        <w:rPr>
          <w:rFonts w:hint="eastAsia" w:ascii="宋体" w:hAnsi="宋体" w:cs="宋体"/>
          <w:sz w:val="24"/>
          <w:szCs w:val="24"/>
        </w:rPr>
        <w:t>投标方负责相关设备的日常清洁维护工作，确保相关设备设施完好，出现问题及时维修处理或反馈。</w:t>
      </w:r>
    </w:p>
    <w:p w14:paraId="16DA8BAF">
      <w:pPr>
        <w:spacing w:line="360" w:lineRule="auto"/>
        <w:ind w:firstLine="480" w:firstLineChars="200"/>
        <w:rPr>
          <w:rFonts w:hint="eastAsia" w:ascii="宋体" w:hAnsi="宋体" w:cs="宋体"/>
          <w:sz w:val="24"/>
          <w:szCs w:val="24"/>
        </w:rPr>
      </w:pPr>
      <w:r>
        <w:rPr>
          <w:rFonts w:hint="eastAsia" w:ascii="宋体" w:hAnsi="宋体" w:cs="宋体"/>
          <w:sz w:val="24"/>
          <w:szCs w:val="24"/>
        </w:rPr>
        <w:t>车架底盘面漆作业产生的危废物品禁止乱丢、乱放，当班结束后由投标方统一送至招标方指定地点，并执行危废物品相关管理要求。</w:t>
      </w:r>
    </w:p>
    <w:p w14:paraId="592D7E55">
      <w:pPr>
        <w:spacing w:line="360" w:lineRule="auto"/>
        <w:ind w:firstLine="480" w:firstLineChars="200"/>
        <w:rPr>
          <w:rFonts w:hint="eastAsia" w:ascii="宋体" w:hAnsi="宋体" w:cs="宋体"/>
          <w:sz w:val="24"/>
          <w:szCs w:val="24"/>
        </w:rPr>
      </w:pPr>
      <w:r>
        <w:rPr>
          <w:rFonts w:hint="eastAsia" w:ascii="宋体" w:hAnsi="宋体" w:cs="宋体"/>
          <w:sz w:val="24"/>
          <w:szCs w:val="24"/>
        </w:rPr>
        <w:t>投标方作业人员的劳保用品由投标方承担，且需满足招标方的安全管理标准。</w:t>
      </w:r>
    </w:p>
    <w:p w14:paraId="271B4187">
      <w:pPr>
        <w:spacing w:line="360" w:lineRule="auto"/>
        <w:ind w:firstLine="522" w:firstLineChars="200"/>
        <w:rPr>
          <w:rFonts w:hint="eastAsia" w:ascii="宋体" w:hAnsi="宋体" w:cs="宋体"/>
          <w:b/>
          <w:bCs/>
          <w:sz w:val="26"/>
          <w:szCs w:val="26"/>
        </w:rPr>
      </w:pPr>
      <w:bookmarkStart w:id="14" w:name="_Hlk49451335"/>
      <w:r>
        <w:rPr>
          <w:rFonts w:hint="eastAsia" w:ascii="宋体" w:hAnsi="宋体" w:cs="宋体"/>
          <w:b/>
          <w:bCs/>
          <w:sz w:val="26"/>
          <w:szCs w:val="26"/>
        </w:rPr>
        <w:t>三、工艺要求</w:t>
      </w:r>
    </w:p>
    <w:p w14:paraId="46500659">
      <w:pPr>
        <w:spacing w:line="360" w:lineRule="auto"/>
        <w:ind w:firstLine="480" w:firstLineChars="200"/>
        <w:rPr>
          <w:rFonts w:hint="eastAsia" w:ascii="宋体" w:hAnsi="宋体" w:cs="宋体"/>
          <w:sz w:val="24"/>
          <w:szCs w:val="24"/>
        </w:rPr>
      </w:pPr>
      <w:r>
        <w:rPr>
          <w:rFonts w:hint="eastAsia" w:ascii="宋体" w:hAnsi="宋体" w:cs="宋体"/>
          <w:sz w:val="24"/>
          <w:szCs w:val="24"/>
        </w:rPr>
        <w:t>1、面漆喷涂</w:t>
      </w:r>
    </w:p>
    <w:p w14:paraId="07104E37">
      <w:pPr>
        <w:spacing w:line="360" w:lineRule="auto"/>
        <w:ind w:firstLine="480" w:firstLineChars="200"/>
        <w:rPr>
          <w:rFonts w:hint="eastAsia" w:ascii="宋体" w:hAnsi="宋体" w:cs="宋体"/>
          <w:sz w:val="24"/>
          <w:szCs w:val="24"/>
        </w:rPr>
      </w:pPr>
      <w:r>
        <w:rPr>
          <w:rFonts w:hint="eastAsia" w:ascii="宋体" w:hAnsi="宋体" w:cs="宋体"/>
          <w:sz w:val="24"/>
          <w:szCs w:val="24"/>
        </w:rPr>
        <w:t>1.1检查遮蔽防护：检查遮蔽工装或者遮蔽膜是否将储气筒、气囊、防撞梁和达克罗部件遮蔽严密，没有防护的及时反馈。如下图：</w:t>
      </w:r>
    </w:p>
    <w:p w14:paraId="17954B35">
      <w:pPr>
        <w:spacing w:line="360" w:lineRule="auto"/>
        <w:jc w:val="center"/>
        <w:rPr>
          <w:rFonts w:hint="eastAsia" w:ascii="宋体" w:hAnsi="宋体" w:cs="宋体"/>
          <w:sz w:val="24"/>
          <w:szCs w:val="24"/>
        </w:rPr>
      </w:pPr>
      <w:r>
        <w:rPr>
          <w:rFonts w:ascii="宋体" w:hAnsi="宋体" w:cs="宋体"/>
          <w:sz w:val="24"/>
          <w:szCs w:val="24"/>
          <w:lang w:val="en-US" w:eastAsia="zh-CN"/>
        </w:rPr>
        <w:drawing>
          <wp:inline distT="0" distB="0" distL="0" distR="0">
            <wp:extent cx="2476500" cy="1958975"/>
            <wp:effectExtent l="0" t="0" r="7620" b="6985"/>
            <wp:docPr id="2" name="图片 42" descr="MVIMG_20220822_16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MVIMG_20220822_160056"/>
                    <pic:cNvPicPr>
                      <a:picLocks noChangeAspect="1" noChangeArrowheads="1"/>
                    </pic:cNvPicPr>
                  </pic:nvPicPr>
                  <pic:blipFill>
                    <a:blip r:embed="rId17">
                      <a:extLst>
                        <a:ext uri="{28A0092B-C50C-407E-A947-70E740481C1C}">
                          <a14:useLocalDpi xmlns:a14="http://schemas.microsoft.com/office/drawing/2010/main" val="0"/>
                        </a:ext>
                      </a:extLst>
                    </a:blip>
                    <a:srcRect l="9373" t="46353" r="7515" b="7863"/>
                    <a:stretch>
                      <a:fillRect/>
                    </a:stretch>
                  </pic:blipFill>
                  <pic:spPr>
                    <a:xfrm>
                      <a:off x="0" y="0"/>
                      <a:ext cx="2476500" cy="1958975"/>
                    </a:xfrm>
                    <a:prstGeom prst="rect">
                      <a:avLst/>
                    </a:prstGeom>
                    <a:noFill/>
                    <a:ln>
                      <a:noFill/>
                    </a:ln>
                  </pic:spPr>
                </pic:pic>
              </a:graphicData>
            </a:graphic>
          </wp:inline>
        </w:drawing>
      </w:r>
      <w:r>
        <w:rPr>
          <w:rFonts w:hint="eastAsia" w:ascii="宋体" w:hAnsi="宋体" w:cs="宋体"/>
          <w:sz w:val="24"/>
          <w:szCs w:val="24"/>
        </w:rPr>
        <w:t xml:space="preserve"> </w:t>
      </w:r>
      <w:r>
        <w:rPr>
          <w:rFonts w:ascii="宋体" w:hAnsi="宋体" w:cs="宋体"/>
          <w:sz w:val="24"/>
          <w:szCs w:val="24"/>
          <w:lang w:val="en-US" w:eastAsia="zh-CN"/>
        </w:rPr>
        <w:drawing>
          <wp:inline distT="0" distB="0" distL="0" distR="0">
            <wp:extent cx="2685415" cy="1939290"/>
            <wp:effectExtent l="0" t="0" r="12065" b="11430"/>
            <wp:docPr id="3" name="图片 4" descr="1618190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1819067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85415" cy="1939290"/>
                    </a:xfrm>
                    <a:prstGeom prst="rect">
                      <a:avLst/>
                    </a:prstGeom>
                    <a:noFill/>
                    <a:ln>
                      <a:noFill/>
                    </a:ln>
                  </pic:spPr>
                </pic:pic>
              </a:graphicData>
            </a:graphic>
          </wp:inline>
        </w:drawing>
      </w:r>
    </w:p>
    <w:p w14:paraId="5572DEB5">
      <w:pPr>
        <w:spacing w:line="360" w:lineRule="auto"/>
        <w:jc w:val="center"/>
        <w:rPr>
          <w:rFonts w:hint="eastAsia" w:ascii="宋体" w:hAnsi="宋体" w:cs="宋体"/>
          <w:sz w:val="24"/>
          <w:szCs w:val="24"/>
        </w:rPr>
      </w:pPr>
      <w:r>
        <w:rPr>
          <w:rFonts w:ascii="宋体" w:hAnsi="宋体" w:cs="宋体"/>
          <w:sz w:val="24"/>
          <w:szCs w:val="24"/>
          <w:lang w:val="en-US" w:eastAsia="zh-CN"/>
        </w:rPr>
        <w:drawing>
          <wp:inline distT="0" distB="0" distL="0" distR="0">
            <wp:extent cx="2547620" cy="1910080"/>
            <wp:effectExtent l="0" t="0" r="12700" b="10160"/>
            <wp:docPr id="4" name="图片 2" descr="b77963e3c5124e7c539887b6f2c6e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b77963e3c5124e7c539887b6f2c6ef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47620" cy="1910080"/>
                    </a:xfrm>
                    <a:prstGeom prst="rect">
                      <a:avLst/>
                    </a:prstGeom>
                    <a:noFill/>
                    <a:ln>
                      <a:noFill/>
                    </a:ln>
                  </pic:spPr>
                </pic:pic>
              </a:graphicData>
            </a:graphic>
          </wp:inline>
        </w:drawing>
      </w:r>
      <w:r>
        <w:rPr>
          <w:rFonts w:hint="eastAsia" w:ascii="宋体" w:hAnsi="宋体" w:cs="宋体"/>
          <w:sz w:val="24"/>
          <w:szCs w:val="24"/>
        </w:rPr>
        <w:t xml:space="preserve"> </w:t>
      </w:r>
      <w:r>
        <w:rPr>
          <w:rFonts w:ascii="宋体" w:hAnsi="宋体" w:cs="宋体"/>
          <w:sz w:val="24"/>
          <w:szCs w:val="24"/>
          <w:lang w:val="en-US" w:eastAsia="zh-CN"/>
        </w:rPr>
        <w:drawing>
          <wp:inline distT="0" distB="0" distL="0" distR="0">
            <wp:extent cx="2656205" cy="1936750"/>
            <wp:effectExtent l="0" t="0" r="10795" b="13970"/>
            <wp:docPr id="5" name="图片 15" descr="b4ea477f6ae5bce3fc084216f58e8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b4ea477f6ae5bce3fc084216f58e8f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56205" cy="1936750"/>
                    </a:xfrm>
                    <a:prstGeom prst="rect">
                      <a:avLst/>
                    </a:prstGeom>
                    <a:noFill/>
                    <a:ln>
                      <a:noFill/>
                    </a:ln>
                  </pic:spPr>
                </pic:pic>
              </a:graphicData>
            </a:graphic>
          </wp:inline>
        </w:drawing>
      </w:r>
    </w:p>
    <w:p w14:paraId="32D6B745">
      <w:pPr>
        <w:spacing w:line="360" w:lineRule="auto"/>
        <w:ind w:firstLine="480" w:firstLineChars="200"/>
        <w:rPr>
          <w:rFonts w:hint="eastAsia" w:ascii="宋体" w:hAnsi="宋体" w:cs="宋体"/>
          <w:sz w:val="24"/>
          <w:szCs w:val="24"/>
        </w:rPr>
      </w:pPr>
      <w:r>
        <w:rPr>
          <w:rFonts w:hint="eastAsia" w:ascii="宋体" w:hAnsi="宋体" w:cs="宋体"/>
          <w:sz w:val="24"/>
          <w:szCs w:val="24"/>
        </w:rPr>
        <w:t>1.2面漆喷涂：面漆喷涂分为两个喷涂工位，采用“湿碰湿”工艺，共喷涂两道面漆。根据调配好的油漆，喷涂参数执行如下：将喷枪喷涂压力调整至400-550KPa,喷枪与被涂物间距离15-25cm，喷枪移动速度30-60cm/s。喷涂底部时，为保证施工质量，施工人员需站在低工位将喷枪伸入工件，对底部进行喷涂。漆膜喷涂严密、均匀，无流挂、漏喷缺漆、大颗粒、严重橘皮、针孔、气泡等缺陷。干膜厚度35±5µm。具体参数以工艺文件为准。</w:t>
      </w:r>
    </w:p>
    <w:p w14:paraId="7241B305">
      <w:pPr>
        <w:spacing w:line="360" w:lineRule="auto"/>
        <w:ind w:firstLine="480" w:firstLineChars="200"/>
        <w:rPr>
          <w:rFonts w:hint="eastAsia" w:ascii="宋体" w:hAnsi="宋体" w:cs="宋体"/>
          <w:sz w:val="24"/>
          <w:szCs w:val="24"/>
        </w:rPr>
      </w:pPr>
      <w:r>
        <w:rPr>
          <w:rFonts w:hint="eastAsia" w:ascii="宋体" w:hAnsi="宋体" w:cs="宋体"/>
          <w:sz w:val="24"/>
          <w:szCs w:val="24"/>
        </w:rPr>
        <w:t>1.3面漆喷涂部位：车架总成、前下防护总成、车架附属零部件（不包含铝合金件、电瓶盖板、鞍座及连接板等），其中车架腹面、翼面、横梁内腔、铸造横梁内腔、尾梁内腔、横梁与纵梁缝隙、板簧与纵梁之间、传动轴、平衡轴及下推连接处、板簧及附件、牵引钩总成、车桥上下部、过渡摆臂及支座、板簧支座、吊杆支座、限位块支架、V推与车桥连接处、尾梁支架与纵梁空腔、气室安装部位、转向拉杆连接处、挡泥板支架、未涂漆销轴、车桥连接法兰盘、可喷涂到的主气源钢管、转向钢管为重点喷涂零部件。喷涂传动轴及不规则形状器件时，需通过调整喷涂角度，保证传动轴周圈均能喷涂覆盖面漆。</w:t>
      </w:r>
    </w:p>
    <w:tbl>
      <w:tblPr>
        <w:tblStyle w:val="30"/>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824"/>
        <w:gridCol w:w="1642"/>
        <w:gridCol w:w="1644"/>
        <w:gridCol w:w="719"/>
        <w:gridCol w:w="2567"/>
      </w:tblGrid>
      <w:tr w14:paraId="6912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3284" w:type="dxa"/>
            <w:gridSpan w:val="2"/>
            <w:vAlign w:val="center"/>
          </w:tcPr>
          <w:p w14:paraId="5D7DC8AA">
            <w:pPr>
              <w:jc w:val="center"/>
              <w:rPr>
                <w:rFonts w:hint="eastAsia" w:ascii="宋体" w:hAnsi="宋体" w:cs="宋体"/>
                <w:szCs w:val="21"/>
              </w:rPr>
            </w:pPr>
            <w:r>
              <w:rPr>
                <w:rFonts w:hint="eastAsia" w:ascii="宋体" w:hAnsi="宋体" w:cs="宋体"/>
                <w:szCs w:val="21"/>
              </w:rPr>
              <mc:AlternateContent>
                <mc:Choice Requires="wps">
                  <w:drawing>
                    <wp:anchor distT="0" distB="0" distL="114300" distR="114300" simplePos="0" relativeHeight="251665408" behindDoc="0" locked="0" layoutInCell="1" allowOverlap="1">
                      <wp:simplePos x="0" y="0"/>
                      <wp:positionH relativeFrom="column">
                        <wp:posOffset>157480</wp:posOffset>
                      </wp:positionH>
                      <wp:positionV relativeFrom="paragraph">
                        <wp:posOffset>240030</wp:posOffset>
                      </wp:positionV>
                      <wp:extent cx="1705610" cy="489585"/>
                      <wp:effectExtent l="4445" t="4445" r="12065" b="8890"/>
                      <wp:wrapNone/>
                      <wp:docPr id="767313894" name="矩形 16"/>
                      <wp:cNvGraphicFramePr/>
                      <a:graphic xmlns:a="http://schemas.openxmlformats.org/drawingml/2006/main">
                        <a:graphicData uri="http://schemas.microsoft.com/office/word/2010/wordprocessingShape">
                          <wps:wsp>
                            <wps:cNvSpPr>
                              <a:spLocks noChangeArrowheads="1"/>
                            </wps:cNvSpPr>
                            <wps:spPr bwMode="auto">
                              <a:xfrm>
                                <a:off x="0" y="0"/>
                                <a:ext cx="1705610" cy="489585"/>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6" o:spid="_x0000_s1026" o:spt="1" style="position:absolute;left:0pt;margin-left:12.4pt;margin-top:18.9pt;height:38.55pt;width:134.3pt;z-index:251665408;mso-width-relative:page;mso-height-relative:page;" filled="f" stroked="t" coordsize="21600,21600" o:gfxdata="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L8UO2gAAAAkBAAAPAAAAAAAAAAEAIAAAACIA&#10;AABkcnMvZG93bnJldi54bWxQSwECFAAUAAAACACHTuJAy0KNiEACAABaBAAADgAAAAAAAAABACAA&#10;AAApAQAAZHJzL2Uyb0RvYy54bWxQSwUGAAAAAAYABgBZAQAA2wUAAAAA&#10;">
                      <v:fill on="f" focussize="0,0"/>
                      <v:stroke color="#FF0000" miterlimit="8" joinstyle="miter"/>
                      <v:imagedata o:title=""/>
                      <o:lock v:ext="edit" aspectratio="f"/>
                    </v:rect>
                  </w:pict>
                </mc:Fallback>
              </mc:AlternateContent>
            </w:r>
            <w:r>
              <w:rPr>
                <w:rFonts w:ascii="宋体" w:hAnsi="宋体" w:cs="宋体"/>
                <w:szCs w:val="21"/>
                <w:lang w:val="en-US" w:eastAsia="zh-CN"/>
              </w:rPr>
              <w:drawing>
                <wp:inline distT="0" distB="0" distL="0" distR="0">
                  <wp:extent cx="1943100" cy="1456055"/>
                  <wp:effectExtent l="0" t="0" r="7620" b="6985"/>
                  <wp:docPr id="6" name="图片 22" descr="597c918dd60dd97bc0ca2addae98b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597c918dd60dd97bc0ca2addae98bd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43100" cy="1456055"/>
                          </a:xfrm>
                          <a:prstGeom prst="rect">
                            <a:avLst/>
                          </a:prstGeom>
                          <a:noFill/>
                          <a:ln>
                            <a:noFill/>
                          </a:ln>
                        </pic:spPr>
                      </pic:pic>
                    </a:graphicData>
                  </a:graphic>
                </wp:inline>
              </w:drawing>
            </w:r>
          </w:p>
        </w:tc>
        <w:tc>
          <w:tcPr>
            <w:tcW w:w="3286" w:type="dxa"/>
            <w:gridSpan w:val="2"/>
            <w:vAlign w:val="center"/>
          </w:tcPr>
          <w:p w14:paraId="3D8819B8">
            <w:pPr>
              <w:jc w:val="center"/>
              <w:rPr>
                <w:rFonts w:hint="eastAsia" w:ascii="宋体" w:hAnsi="宋体" w:cs="宋体"/>
                <w:szCs w:val="21"/>
              </w:rPr>
            </w:pPr>
            <w:r>
              <w:rPr>
                <w:rFonts w:hint="eastAsia" w:ascii="宋体" w:hAnsi="宋体" w:cs="宋体"/>
                <w:szCs w:val="21"/>
              </w:rPr>
              <mc:AlternateContent>
                <mc:Choice Requires="wps">
                  <w:drawing>
                    <wp:anchor distT="0" distB="0" distL="114300" distR="114300" simplePos="0" relativeHeight="251663360" behindDoc="0" locked="0" layoutInCell="1" allowOverlap="1">
                      <wp:simplePos x="0" y="0"/>
                      <wp:positionH relativeFrom="column">
                        <wp:posOffset>240665</wp:posOffset>
                      </wp:positionH>
                      <wp:positionV relativeFrom="paragraph">
                        <wp:posOffset>339725</wp:posOffset>
                      </wp:positionV>
                      <wp:extent cx="1378585" cy="798195"/>
                      <wp:effectExtent l="4445" t="4445" r="19050" b="5080"/>
                      <wp:wrapNone/>
                      <wp:docPr id="753560771" name="矩形 14"/>
                      <wp:cNvGraphicFramePr/>
                      <a:graphic xmlns:a="http://schemas.openxmlformats.org/drawingml/2006/main">
                        <a:graphicData uri="http://schemas.microsoft.com/office/word/2010/wordprocessingShape">
                          <wps:wsp>
                            <wps:cNvSpPr>
                              <a:spLocks noChangeArrowheads="1"/>
                            </wps:cNvSpPr>
                            <wps:spPr bwMode="auto">
                              <a:xfrm>
                                <a:off x="0" y="0"/>
                                <a:ext cx="1378585" cy="798195"/>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4" o:spid="_x0000_s1026" o:spt="1" style="position:absolute;left:0pt;margin-left:18.95pt;margin-top:26.75pt;height:62.85pt;width:108.55pt;z-index:251663360;mso-width-relative:page;mso-height-relative:page;" filled="f" stroked="t" coordsize="21600,21600" o:gfxdata="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oFrl2gAAAAkBAAAPAAAAAAAAAAEAIAAAACIA&#10;AABkcnMvZG93bnJldi54bWxQSwECFAAUAAAACACHTuJAQmkBeUACAABaBAAADgAAAAAAAAABACAA&#10;AAApAQAAZHJzL2Uyb0RvYy54bWxQSwUGAAAAAAYABgBZAQAA2wUAAAAA&#10;">
                      <v:fill on="f" focussize="0,0"/>
                      <v:stroke color="#FF0000" miterlimit="8" joinstyle="miter"/>
                      <v:imagedata o:title=""/>
                      <o:lock v:ext="edit" aspectratio="f"/>
                    </v:rect>
                  </w:pict>
                </mc:Fallback>
              </mc:AlternateContent>
            </w:r>
            <w:r>
              <w:rPr>
                <w:rFonts w:ascii="宋体" w:hAnsi="宋体" w:cs="宋体"/>
                <w:szCs w:val="21"/>
                <w:lang w:val="en-US" w:eastAsia="zh-CN"/>
              </w:rPr>
              <w:drawing>
                <wp:inline distT="0" distB="0" distL="0" distR="0">
                  <wp:extent cx="1943100" cy="1456055"/>
                  <wp:effectExtent l="0" t="0" r="7620" b="6985"/>
                  <wp:docPr id="7" name="图片 21" descr="75df2678de9a85efae5b7eec0655e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75df2678de9a85efae5b7eec0655ef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43100" cy="1456055"/>
                          </a:xfrm>
                          <a:prstGeom prst="rect">
                            <a:avLst/>
                          </a:prstGeom>
                          <a:noFill/>
                          <a:ln>
                            <a:noFill/>
                          </a:ln>
                        </pic:spPr>
                      </pic:pic>
                    </a:graphicData>
                  </a:graphic>
                </wp:inline>
              </w:drawing>
            </w:r>
          </w:p>
        </w:tc>
        <w:tc>
          <w:tcPr>
            <w:tcW w:w="3286" w:type="dxa"/>
            <w:gridSpan w:val="2"/>
            <w:vAlign w:val="center"/>
          </w:tcPr>
          <w:p w14:paraId="294F7A44">
            <w:pPr>
              <w:jc w:val="center"/>
              <w:rPr>
                <w:rFonts w:hint="eastAsia" w:ascii="宋体" w:hAnsi="宋体" w:cs="宋体"/>
                <w:szCs w:val="21"/>
              </w:rPr>
            </w:pPr>
            <w:r>
              <w:rPr>
                <w:rFonts w:hint="eastAsia" w:ascii="宋体" w:hAnsi="宋体" w:cs="宋体"/>
                <w:szCs w:val="21"/>
              </w:rPr>
              <mc:AlternateContent>
                <mc:Choice Requires="wps">
                  <w:drawing>
                    <wp:anchor distT="0" distB="0" distL="114300" distR="114300" simplePos="0" relativeHeight="251667456" behindDoc="0" locked="0" layoutInCell="1" allowOverlap="1">
                      <wp:simplePos x="0" y="0"/>
                      <wp:positionH relativeFrom="column">
                        <wp:posOffset>338455</wp:posOffset>
                      </wp:positionH>
                      <wp:positionV relativeFrom="paragraph">
                        <wp:posOffset>338455</wp:posOffset>
                      </wp:positionV>
                      <wp:extent cx="1378585" cy="798195"/>
                      <wp:effectExtent l="4445" t="4445" r="19050" b="5080"/>
                      <wp:wrapNone/>
                      <wp:docPr id="440438633" name="矩形 18"/>
                      <wp:cNvGraphicFramePr/>
                      <a:graphic xmlns:a="http://schemas.openxmlformats.org/drawingml/2006/main">
                        <a:graphicData uri="http://schemas.microsoft.com/office/word/2010/wordprocessingShape">
                          <wps:wsp>
                            <wps:cNvSpPr>
                              <a:spLocks noChangeArrowheads="1"/>
                            </wps:cNvSpPr>
                            <wps:spPr bwMode="auto">
                              <a:xfrm>
                                <a:off x="0" y="0"/>
                                <a:ext cx="1378585" cy="798195"/>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8" o:spid="_x0000_s1026" o:spt="1" style="position:absolute;left:0pt;margin-left:26.65pt;margin-top:26.65pt;height:62.85pt;width:108.55pt;z-index:251667456;mso-width-relative:page;mso-height-relative:page;" filled="f" stroked="t" coordsize="21600,21600" o:gfxdata="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QPYZ9gAAAAJAQAADwAAAAAAAAABACAAAAAiAAAA&#10;ZHJzL2Rvd25yZXYueG1sUEsBAhQAFAAAAAgAh07iQCaf37VAAgAAWgQAAA4AAAAAAAAAAQAgAAAA&#10;JwEAAGRycy9lMm9Eb2MueG1sUEsFBgAAAAAGAAYAWQEAANkFAAAAAA==&#10;">
                      <v:fill on="f" focussize="0,0"/>
                      <v:stroke color="#FF0000" miterlimit="8" joinstyle="miter"/>
                      <v:imagedata o:title=""/>
                      <o:lock v:ext="edit" aspectratio="f"/>
                    </v:rect>
                  </w:pict>
                </mc:Fallback>
              </mc:AlternateContent>
            </w:r>
            <w:r>
              <w:rPr>
                <w:rFonts w:ascii="宋体" w:hAnsi="宋体" w:cs="宋体"/>
                <w:szCs w:val="21"/>
                <w:lang w:val="en-US" w:eastAsia="zh-CN"/>
              </w:rPr>
              <w:drawing>
                <wp:inline distT="0" distB="0" distL="0" distR="0">
                  <wp:extent cx="1943100" cy="1456055"/>
                  <wp:effectExtent l="0" t="0" r="7620" b="6985"/>
                  <wp:docPr id="8" name="图片 20" descr="9a378efa82c3a413fbab8cbb7d8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9a378efa82c3a413fbab8cbb7d8496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43100" cy="1456055"/>
                          </a:xfrm>
                          <a:prstGeom prst="rect">
                            <a:avLst/>
                          </a:prstGeom>
                          <a:noFill/>
                          <a:ln>
                            <a:noFill/>
                          </a:ln>
                        </pic:spPr>
                      </pic:pic>
                    </a:graphicData>
                  </a:graphic>
                </wp:inline>
              </w:drawing>
            </w:r>
          </w:p>
        </w:tc>
      </w:tr>
      <w:tr w14:paraId="139C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4" w:type="dxa"/>
            <w:gridSpan w:val="2"/>
            <w:vAlign w:val="center"/>
          </w:tcPr>
          <w:p w14:paraId="7F559F19">
            <w:pPr>
              <w:jc w:val="center"/>
              <w:rPr>
                <w:rFonts w:hint="eastAsia" w:ascii="宋体" w:hAnsi="宋体" w:cs="宋体"/>
                <w:szCs w:val="21"/>
              </w:rPr>
            </w:pPr>
            <w:r>
              <w:rPr>
                <w:rFonts w:hint="eastAsia" w:ascii="宋体" w:hAnsi="宋体" w:cs="宋体"/>
                <w:szCs w:val="21"/>
              </w:rPr>
              <w:t>车架横梁内腔</w:t>
            </w:r>
          </w:p>
        </w:tc>
        <w:tc>
          <w:tcPr>
            <w:tcW w:w="3286" w:type="dxa"/>
            <w:gridSpan w:val="2"/>
            <w:vAlign w:val="center"/>
          </w:tcPr>
          <w:p w14:paraId="12C577F3">
            <w:pPr>
              <w:jc w:val="center"/>
              <w:rPr>
                <w:rFonts w:hint="eastAsia" w:ascii="宋体" w:hAnsi="宋体" w:cs="宋体"/>
                <w:szCs w:val="21"/>
              </w:rPr>
            </w:pPr>
            <w:r>
              <w:rPr>
                <w:rFonts w:hint="eastAsia" w:ascii="宋体" w:hAnsi="宋体" w:cs="宋体"/>
                <w:szCs w:val="21"/>
              </w:rPr>
              <w:t>铸造横梁内腔</w:t>
            </w:r>
          </w:p>
        </w:tc>
        <w:tc>
          <w:tcPr>
            <w:tcW w:w="3286" w:type="dxa"/>
            <w:gridSpan w:val="2"/>
            <w:vAlign w:val="center"/>
          </w:tcPr>
          <w:p w14:paraId="3C974E1D">
            <w:pPr>
              <w:jc w:val="center"/>
              <w:rPr>
                <w:rFonts w:hint="eastAsia" w:ascii="宋体" w:hAnsi="宋体" w:cs="宋体"/>
                <w:szCs w:val="21"/>
              </w:rPr>
            </w:pPr>
            <w:r>
              <w:rPr>
                <w:rFonts w:hint="eastAsia" w:ascii="宋体" w:hAnsi="宋体" w:cs="宋体"/>
                <w:szCs w:val="21"/>
              </w:rPr>
              <w:t>尾梁内腔</w:t>
            </w:r>
          </w:p>
        </w:tc>
      </w:tr>
      <w:tr w14:paraId="4621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3284" w:type="dxa"/>
            <w:gridSpan w:val="2"/>
            <w:vAlign w:val="center"/>
          </w:tcPr>
          <w:p w14:paraId="771FFCEF">
            <w: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889635</wp:posOffset>
                      </wp:positionV>
                      <wp:extent cx="1705610" cy="489585"/>
                      <wp:effectExtent l="4445" t="4445" r="12065" b="8890"/>
                      <wp:wrapNone/>
                      <wp:docPr id="629760629" name="矩形 17"/>
                      <wp:cNvGraphicFramePr/>
                      <a:graphic xmlns:a="http://schemas.openxmlformats.org/drawingml/2006/main">
                        <a:graphicData uri="http://schemas.microsoft.com/office/word/2010/wordprocessingShape">
                          <wps:wsp>
                            <wps:cNvSpPr>
                              <a:spLocks noChangeArrowheads="1"/>
                            </wps:cNvSpPr>
                            <wps:spPr bwMode="auto">
                              <a:xfrm>
                                <a:off x="0" y="0"/>
                                <a:ext cx="1705610" cy="489585"/>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7" o:spid="_x0000_s1026" o:spt="1" style="position:absolute;left:0pt;margin-left:2.25pt;margin-top:70.05pt;height:38.55pt;width:134.3pt;z-index:251666432;mso-width-relative:page;mso-height-relative:page;" filled="f" stroked="t" coordsize="21600,21600" o:gfxdata="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62cdLYAAAACQEAAA8AAAAAAAAAAQAgAAAAIgAAAGRy&#10;cy9kb3ducmV2LnhtbFBLAQIUABQAAAAIAIdO4kDMO2owPgIAAFoEAAAOAAAAAAAAAAEAIAAAACcB&#10;AABkcnMvZTJvRG9jLnhtbFBLBQYAAAAABgAGAFkBAADXBQAAAAA=&#10;">
                      <v:fill on="f" focussize="0,0"/>
                      <v:stroke color="#FF0000" miterlimit="8" joinstyle="miter"/>
                      <v:imagedata o:title=""/>
                      <o:lock v:ext="edit" aspectratio="f"/>
                    </v:rect>
                  </w:pict>
                </mc:Fallback>
              </mc:AlternateContent>
            </w:r>
            <w:r>
              <w:rPr>
                <w:lang w:val="en-US" w:eastAsia="zh-CN"/>
              </w:rPr>
              <w:drawing>
                <wp:inline distT="0" distB="0" distL="0" distR="0">
                  <wp:extent cx="1943100" cy="1456055"/>
                  <wp:effectExtent l="0" t="0" r="7620" b="6985"/>
                  <wp:docPr id="9" name="图片 23" descr="92fc6d966148952a57fa786d9ada1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92fc6d966148952a57fa786d9ada1aa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43100" cy="1456055"/>
                          </a:xfrm>
                          <a:prstGeom prst="rect">
                            <a:avLst/>
                          </a:prstGeom>
                          <a:noFill/>
                          <a:ln>
                            <a:noFill/>
                          </a:ln>
                        </pic:spPr>
                      </pic:pic>
                    </a:graphicData>
                  </a:graphic>
                </wp:inline>
              </w:drawing>
            </w:r>
          </w:p>
        </w:tc>
        <w:tc>
          <w:tcPr>
            <w:tcW w:w="3286" w:type="dxa"/>
            <w:gridSpan w:val="2"/>
            <w:vAlign w:val="center"/>
          </w:tcPr>
          <w:p w14:paraId="21374294">
            <w:r>
              <w:rPr>
                <w:lang w:val="en-US" w:eastAsia="zh-CN"/>
              </w:rPr>
              <w:drawing>
                <wp:anchor distT="0" distB="0" distL="0" distR="0" simplePos="0" relativeHeight="251662336" behindDoc="1" locked="0" layoutInCell="1" allowOverlap="1">
                  <wp:simplePos x="0" y="0"/>
                  <wp:positionH relativeFrom="column">
                    <wp:posOffset>-6985</wp:posOffset>
                  </wp:positionH>
                  <wp:positionV relativeFrom="paragraph">
                    <wp:posOffset>61595</wp:posOffset>
                  </wp:positionV>
                  <wp:extent cx="1936115" cy="1438275"/>
                  <wp:effectExtent l="0" t="0" r="14605" b="9525"/>
                  <wp:wrapTight wrapText="bothSides">
                    <wp:wrapPolygon>
                      <wp:start x="0" y="0"/>
                      <wp:lineTo x="0" y="21285"/>
                      <wp:lineTo x="21423" y="21285"/>
                      <wp:lineTo x="21423" y="0"/>
                      <wp:lineTo x="0" y="0"/>
                    </wp:wrapPolygon>
                  </wp:wrapTight>
                  <wp:docPr id="1155383204" name="图片 26" descr="横梁与纵梁缝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83204" name="图片 26" descr="横梁与纵梁缝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36115" cy="1438275"/>
                          </a:xfrm>
                          <a:prstGeom prst="rect">
                            <a:avLst/>
                          </a:prstGeom>
                          <a:noFill/>
                          <a:ln>
                            <a:noFill/>
                          </a:ln>
                        </pic:spPr>
                      </pic:pic>
                    </a:graphicData>
                  </a:graphic>
                </wp:anchor>
              </w:drawing>
            </w:r>
          </w:p>
        </w:tc>
        <w:tc>
          <w:tcPr>
            <w:tcW w:w="3286" w:type="dxa"/>
            <w:gridSpan w:val="2"/>
            <w:vAlign w:val="center"/>
          </w:tcPr>
          <w:p w14:paraId="6001F504">
            <w:r>
              <w:rPr>
                <w:lang w:val="en-US" w:eastAsia="zh-CN"/>
              </w:rPr>
              <w:drawing>
                <wp:anchor distT="0" distB="0" distL="0" distR="0" simplePos="0" relativeHeight="251660288" behindDoc="1" locked="0" layoutInCell="1" allowOverlap="1">
                  <wp:simplePos x="0" y="0"/>
                  <wp:positionH relativeFrom="column">
                    <wp:posOffset>18415</wp:posOffset>
                  </wp:positionH>
                  <wp:positionV relativeFrom="page">
                    <wp:posOffset>55245</wp:posOffset>
                  </wp:positionV>
                  <wp:extent cx="1817370" cy="1457960"/>
                  <wp:effectExtent l="0" t="0" r="11430" b="5080"/>
                  <wp:wrapNone/>
                  <wp:docPr id="657713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1333"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17370" cy="1457960"/>
                          </a:xfrm>
                          <a:prstGeom prst="rect">
                            <a:avLst/>
                          </a:prstGeom>
                          <a:noFill/>
                          <a:ln>
                            <a:noFill/>
                          </a:ln>
                        </pic:spPr>
                      </pic:pic>
                    </a:graphicData>
                  </a:graphic>
                </wp:anchor>
              </w:drawing>
            </w:r>
          </w:p>
        </w:tc>
      </w:tr>
      <w:tr w14:paraId="27A3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4" w:type="dxa"/>
            <w:gridSpan w:val="2"/>
            <w:vAlign w:val="center"/>
          </w:tcPr>
          <w:p w14:paraId="0E06C0F2">
            <w:pPr>
              <w:jc w:val="center"/>
              <w:rPr>
                <w:rFonts w:hint="eastAsia" w:ascii="宋体" w:hAnsi="宋体" w:cs="宋体"/>
                <w:szCs w:val="21"/>
              </w:rPr>
            </w:pPr>
            <w:r>
              <w:rPr>
                <w:rFonts w:hint="eastAsia" w:ascii="宋体" w:hAnsi="宋体" w:cs="宋体"/>
                <w:szCs w:val="21"/>
              </w:rPr>
              <w:t>纵梁内外侧上下翼面</w:t>
            </w:r>
          </w:p>
        </w:tc>
        <w:tc>
          <w:tcPr>
            <w:tcW w:w="3286" w:type="dxa"/>
            <w:gridSpan w:val="2"/>
            <w:vAlign w:val="center"/>
          </w:tcPr>
          <w:p w14:paraId="3424B990">
            <w:pPr>
              <w:jc w:val="center"/>
              <w:rPr>
                <w:rFonts w:hint="eastAsia" w:ascii="宋体" w:hAnsi="宋体" w:cs="宋体"/>
                <w:szCs w:val="21"/>
              </w:rPr>
            </w:pPr>
            <w:r>
              <w:rPr>
                <w:rFonts w:hint="eastAsia" w:ascii="宋体" w:hAnsi="宋体" w:cs="宋体"/>
                <w:szCs w:val="21"/>
              </w:rPr>
              <w:t>横梁与纵梁缝隙</w:t>
            </w:r>
          </w:p>
        </w:tc>
        <w:tc>
          <w:tcPr>
            <w:tcW w:w="3286" w:type="dxa"/>
            <w:gridSpan w:val="2"/>
            <w:vAlign w:val="center"/>
          </w:tcPr>
          <w:p w14:paraId="7FEFA53F">
            <w:pPr>
              <w:jc w:val="center"/>
              <w:rPr>
                <w:rFonts w:hint="eastAsia" w:ascii="宋体" w:hAnsi="宋体" w:cs="宋体"/>
                <w:szCs w:val="21"/>
              </w:rPr>
            </w:pPr>
            <w:r>
              <w:rPr>
                <w:rFonts w:hint="eastAsia" w:ascii="宋体" w:hAnsi="宋体" w:cs="宋体"/>
                <w:szCs w:val="21"/>
              </w:rPr>
              <w:t>板簧与纵梁之间</w:t>
            </w:r>
          </w:p>
        </w:tc>
      </w:tr>
      <w:tr w14:paraId="0750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gridSpan w:val="2"/>
            <w:vAlign w:val="center"/>
          </w:tcPr>
          <w:p w14:paraId="413C0695">
            <w:pPr>
              <w:jc w:val="center"/>
              <w:rPr>
                <w:rFonts w:hint="eastAsia" w:ascii="宋体" w:hAnsi="宋体" w:cs="宋体"/>
                <w:szCs w:val="21"/>
              </w:rPr>
            </w:pPr>
            <w:r>
              <w:rPr>
                <w:lang w:val="en-US" w:eastAsia="zh-CN"/>
              </w:rPr>
              <w:drawing>
                <wp:anchor distT="0" distB="0" distL="114300" distR="114300" simplePos="0" relativeHeight="251661312" behindDoc="1" locked="0" layoutInCell="1" allowOverlap="1">
                  <wp:simplePos x="0" y="0"/>
                  <wp:positionH relativeFrom="column">
                    <wp:posOffset>-34925</wp:posOffset>
                  </wp:positionH>
                  <wp:positionV relativeFrom="page">
                    <wp:posOffset>79375</wp:posOffset>
                  </wp:positionV>
                  <wp:extent cx="1971040" cy="1143000"/>
                  <wp:effectExtent l="0" t="0" r="10160" b="0"/>
                  <wp:wrapTight wrapText="bothSides">
                    <wp:wrapPolygon>
                      <wp:start x="0" y="0"/>
                      <wp:lineTo x="0" y="21312"/>
                      <wp:lineTo x="21377" y="21312"/>
                      <wp:lineTo x="21377" y="0"/>
                      <wp:lineTo x="0" y="0"/>
                    </wp:wrapPolygon>
                  </wp:wrapTight>
                  <wp:docPr id="241340861" name="图片 16" descr="f82af9adad8c23f34aef949a93bbb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40861" name="图片 16" descr="f82af9adad8c23f34aef949a93bbbaae"/>
                          <pic:cNvPicPr>
                            <a:picLocks noChangeAspect="1" noChangeArrowheads="1"/>
                          </pic:cNvPicPr>
                        </pic:nvPicPr>
                        <pic:blipFill>
                          <a:blip r:embed="rId27">
                            <a:extLst>
                              <a:ext uri="{28A0092B-C50C-407E-A947-70E740481C1C}">
                                <a14:useLocalDpi xmlns:a14="http://schemas.microsoft.com/office/drawing/2010/main" val="0"/>
                              </a:ext>
                            </a:extLst>
                          </a:blip>
                          <a:srcRect r="12610" b="4095"/>
                          <a:stretch>
                            <a:fillRect/>
                          </a:stretch>
                        </pic:blipFill>
                        <pic:spPr>
                          <a:xfrm>
                            <a:off x="0" y="0"/>
                            <a:ext cx="1971040" cy="1143000"/>
                          </a:xfrm>
                          <a:prstGeom prst="rect">
                            <a:avLst/>
                          </a:prstGeom>
                          <a:noFill/>
                          <a:ln>
                            <a:noFill/>
                          </a:ln>
                        </pic:spPr>
                      </pic:pic>
                    </a:graphicData>
                  </a:graphic>
                </wp:anchor>
              </w:drawing>
            </w:r>
            <w:r>
              <w:rPr>
                <w:rFonts w:hint="eastAsia" w:ascii="宋体" w:hAnsi="宋体" w:cs="宋体"/>
                <w:szCs w:val="21"/>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-676910</wp:posOffset>
                      </wp:positionV>
                      <wp:extent cx="1460500" cy="333375"/>
                      <wp:effectExtent l="4445" t="4445" r="13335" b="12700"/>
                      <wp:wrapNone/>
                      <wp:docPr id="1280986301" name="矩形 13"/>
                      <wp:cNvGraphicFramePr/>
                      <a:graphic xmlns:a="http://schemas.openxmlformats.org/drawingml/2006/main">
                        <a:graphicData uri="http://schemas.microsoft.com/office/word/2010/wordprocessingShape">
                          <wps:wsp>
                            <wps:cNvSpPr>
                              <a:spLocks noChangeArrowheads="1"/>
                            </wps:cNvSpPr>
                            <wps:spPr bwMode="auto">
                              <a:xfrm>
                                <a:off x="0" y="0"/>
                                <a:ext cx="1460500" cy="333375"/>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3" o:spid="_x0000_s1026" o:spt="1" style="position:absolute;left:0pt;margin-left:0.2pt;margin-top:-53.3pt;height:26.25pt;width:115pt;z-index:251663360;mso-width-relative:page;mso-height-relative:page;" filled="f" stroked="t" coordsize="21600,21600" o:gfxdata="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Tn3iTZAAAACQEAAA8AAAAAAAAAAQAgAAAAIgAA&#10;AGRycy9kb3ducmV2LnhtbFBLAQIUABQAAAAIAIdO4kAa27sVQAIAAFsEAAAOAAAAAAAAAAEAIAAA&#10;ACgBAABkcnMvZTJvRG9jLnhtbFBLBQYAAAAABgAGAFkBAADaBQAAAAA=&#10;">
                      <v:fill on="f" focussize="0,0"/>
                      <v:stroke color="#FF0000" miterlimit="8" joinstyle="miter"/>
                      <v:imagedata o:title=""/>
                      <o:lock v:ext="edit" aspectratio="f"/>
                    </v:rect>
                  </w:pict>
                </mc:Fallback>
              </mc:AlternateContent>
            </w:r>
          </w:p>
        </w:tc>
        <w:tc>
          <w:tcPr>
            <w:tcW w:w="3286" w:type="dxa"/>
            <w:gridSpan w:val="2"/>
            <w:vAlign w:val="center"/>
          </w:tcPr>
          <w:p w14:paraId="36D568C8">
            <w:pPr>
              <w:jc w:val="center"/>
              <w:rPr>
                <w:rFonts w:hint="eastAsia" w:ascii="宋体" w:hAnsi="宋体" w:cs="宋体"/>
                <w:szCs w:val="21"/>
              </w:rPr>
            </w:pPr>
            <w:r>
              <w:rPr>
                <w:rFonts w:ascii="宋体" w:hAnsi="宋体" w:cs="宋体"/>
                <w:szCs w:val="21"/>
                <w:lang w:val="en-US" w:eastAsia="zh-CN"/>
              </w:rPr>
              <w:drawing>
                <wp:inline distT="0" distB="0" distL="0" distR="0">
                  <wp:extent cx="1981835" cy="1248410"/>
                  <wp:effectExtent l="0" t="0" r="14605" b="1270"/>
                  <wp:docPr id="10" name="图片 39" descr="IMG_20220513_16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descr="IMG_20220513_1618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81835" cy="1248410"/>
                          </a:xfrm>
                          <a:prstGeom prst="rect">
                            <a:avLst/>
                          </a:prstGeom>
                          <a:noFill/>
                          <a:ln>
                            <a:noFill/>
                          </a:ln>
                        </pic:spPr>
                      </pic:pic>
                    </a:graphicData>
                  </a:graphic>
                </wp:inline>
              </w:drawing>
            </w:r>
          </w:p>
        </w:tc>
        <w:tc>
          <w:tcPr>
            <w:tcW w:w="3286" w:type="dxa"/>
            <w:gridSpan w:val="2"/>
            <w:vAlign w:val="center"/>
          </w:tcPr>
          <w:p w14:paraId="342194A7">
            <w:pPr>
              <w:jc w:val="center"/>
              <w:rPr>
                <w:rFonts w:hint="eastAsia" w:ascii="宋体" w:hAnsi="宋体" w:cs="宋体"/>
                <w:szCs w:val="21"/>
              </w:rPr>
            </w:pPr>
            <w:r>
              <w:rPr>
                <w:rFonts w:ascii="宋体" w:hAnsi="宋体" w:cs="宋体"/>
                <w:szCs w:val="21"/>
                <w:lang w:val="en-US" w:eastAsia="zh-CN"/>
              </w:rPr>
              <w:drawing>
                <wp:inline distT="0" distB="0" distL="0" distR="0">
                  <wp:extent cx="1712595" cy="1284605"/>
                  <wp:effectExtent l="0" t="0" r="9525" b="10795"/>
                  <wp:docPr id="11" name="图片 18" descr="lQDPJx_88EiCtLfNA8DNBQCwtc8b2x7IjeAG_ocm4LBX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lQDPJx_88EiCtLfNA8DNBQCwtc8b2x7IjeAG_ocm4LBXAA_1280_9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12595" cy="1284605"/>
                          </a:xfrm>
                          <a:prstGeom prst="rect">
                            <a:avLst/>
                          </a:prstGeom>
                          <a:noFill/>
                          <a:ln>
                            <a:noFill/>
                          </a:ln>
                        </pic:spPr>
                      </pic:pic>
                    </a:graphicData>
                  </a:graphic>
                </wp:inline>
              </w:drawing>
            </w:r>
          </w:p>
        </w:tc>
      </w:tr>
      <w:tr w14:paraId="0016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4" w:type="dxa"/>
            <w:gridSpan w:val="2"/>
            <w:vAlign w:val="center"/>
          </w:tcPr>
          <w:p w14:paraId="39935A1E">
            <w:pPr>
              <w:jc w:val="center"/>
              <w:rPr>
                <w:rFonts w:hint="eastAsia" w:ascii="宋体" w:hAnsi="宋体" w:cs="宋体"/>
                <w:szCs w:val="21"/>
              </w:rPr>
            </w:pPr>
            <w:r>
              <w:rPr>
                <w:rFonts w:hint="eastAsia" w:ascii="宋体" w:hAnsi="宋体" w:cs="宋体"/>
                <w:szCs w:val="21"/>
              </w:rPr>
              <w:t>传动轴</w:t>
            </w:r>
          </w:p>
        </w:tc>
        <w:tc>
          <w:tcPr>
            <w:tcW w:w="3286" w:type="dxa"/>
            <w:gridSpan w:val="2"/>
            <w:vAlign w:val="center"/>
          </w:tcPr>
          <w:p w14:paraId="64F50843">
            <w:pPr>
              <w:jc w:val="center"/>
              <w:rPr>
                <w:rFonts w:hint="eastAsia" w:ascii="宋体" w:hAnsi="宋体" w:cs="宋体"/>
                <w:szCs w:val="21"/>
              </w:rPr>
            </w:pPr>
            <w:r>
              <w:rPr>
                <w:rFonts w:hint="eastAsia" w:ascii="宋体" w:hAnsi="宋体" w:cs="宋体"/>
                <w:szCs w:val="21"/>
              </w:rPr>
              <w:t>平衡轴及下推连接处</w:t>
            </w:r>
          </w:p>
        </w:tc>
        <w:tc>
          <w:tcPr>
            <w:tcW w:w="3286" w:type="dxa"/>
            <w:gridSpan w:val="2"/>
            <w:vAlign w:val="center"/>
          </w:tcPr>
          <w:p w14:paraId="274AEA9A">
            <w:pPr>
              <w:jc w:val="center"/>
              <w:rPr>
                <w:rFonts w:hint="eastAsia" w:ascii="宋体" w:hAnsi="宋体" w:cs="宋体"/>
                <w:szCs w:val="21"/>
              </w:rPr>
            </w:pPr>
            <w:r>
              <w:rPr>
                <w:rFonts w:hint="eastAsia" w:ascii="宋体" w:hAnsi="宋体" w:cs="宋体"/>
                <w:szCs w:val="21"/>
              </w:rPr>
              <w:t>后板簧及附件</w:t>
            </w:r>
          </w:p>
        </w:tc>
      </w:tr>
      <w:tr w14:paraId="750A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gridSpan w:val="2"/>
          </w:tcPr>
          <w:p w14:paraId="084AC29B">
            <w:pPr>
              <w:rPr>
                <w:rFonts w:hint="eastAsia" w:ascii="宋体" w:hAnsi="宋体" w:cs="宋体"/>
                <w:szCs w:val="21"/>
              </w:rPr>
            </w:pPr>
            <w:r>
              <w:rPr>
                <w:rFonts w:ascii="宋体" w:hAnsi="宋体" w:cs="宋体"/>
                <w:szCs w:val="21"/>
                <w:lang w:val="en-US" w:eastAsia="zh-CN"/>
              </w:rPr>
              <w:drawing>
                <wp:inline distT="0" distB="0" distL="0" distR="0">
                  <wp:extent cx="1980565" cy="1267460"/>
                  <wp:effectExtent l="0" t="0" r="635" b="12700"/>
                  <wp:docPr id="12" name="图片 36" descr="IMG_20220418_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IMG_20220418_1004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80565" cy="1267460"/>
                          </a:xfrm>
                          <a:prstGeom prst="rect">
                            <a:avLst/>
                          </a:prstGeom>
                          <a:noFill/>
                          <a:ln>
                            <a:noFill/>
                          </a:ln>
                        </pic:spPr>
                      </pic:pic>
                    </a:graphicData>
                  </a:graphic>
                </wp:inline>
              </w:drawing>
            </w:r>
          </w:p>
        </w:tc>
        <w:tc>
          <w:tcPr>
            <w:tcW w:w="3286" w:type="dxa"/>
            <w:gridSpan w:val="2"/>
          </w:tcPr>
          <w:p w14:paraId="37185AD3">
            <w:pPr>
              <w:rPr>
                <w:rFonts w:hint="eastAsia" w:ascii="宋体" w:hAnsi="宋体" w:cs="宋体"/>
                <w:szCs w:val="21"/>
              </w:rPr>
            </w:pPr>
            <w:r>
              <w:rPr>
                <w:rFonts w:hint="eastAsia" w:ascii="宋体" w:hAnsi="宋体" w:cs="宋体"/>
                <w:szCs w:val="21"/>
              </w:rPr>
              <mc:AlternateContent>
                <mc:Choice Requires="wps">
                  <w:drawing>
                    <wp:anchor distT="0" distB="0" distL="114300" distR="114300" simplePos="0" relativeHeight="251664384" behindDoc="0" locked="0" layoutInCell="1" allowOverlap="1">
                      <wp:simplePos x="0" y="0"/>
                      <wp:positionH relativeFrom="column">
                        <wp:posOffset>79375</wp:posOffset>
                      </wp:positionH>
                      <wp:positionV relativeFrom="paragraph">
                        <wp:posOffset>420370</wp:posOffset>
                      </wp:positionV>
                      <wp:extent cx="1823085" cy="807720"/>
                      <wp:effectExtent l="5080" t="4445" r="15875" b="10795"/>
                      <wp:wrapNone/>
                      <wp:docPr id="497115313" name="矩形 15"/>
                      <wp:cNvGraphicFramePr/>
                      <a:graphic xmlns:a="http://schemas.openxmlformats.org/drawingml/2006/main">
                        <a:graphicData uri="http://schemas.microsoft.com/office/word/2010/wordprocessingShape">
                          <wps:wsp>
                            <wps:cNvSpPr>
                              <a:spLocks noChangeArrowheads="1"/>
                            </wps:cNvSpPr>
                            <wps:spPr bwMode="auto">
                              <a:xfrm>
                                <a:off x="0" y="0"/>
                                <a:ext cx="1823085" cy="807720"/>
                              </a:xfrm>
                              <a:prstGeom prst="rect">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5" o:spid="_x0000_s1026" o:spt="1" style="position:absolute;left:0pt;margin-left:6.25pt;margin-top:33.1pt;height:63.6pt;width:143.55pt;z-index:251664384;mso-width-relative:page;mso-height-relative:page;" filled="f" stroked="t" coordsize="21600,21600" o:gfxdata="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Wd47YAAAACQEAAA8AAAAAAAAAAQAgAAAAIgAAAGRy&#10;cy9kb3ducmV2LnhtbFBLAQIUABQAAAAIAIdO4kBTEvMuPgIAAFoEAAAOAAAAAAAAAAEAIAAAACcB&#10;AABkcnMvZTJvRG9jLnhtbFBLBQYAAAAABgAGAFkBAADXBQAAAAA=&#10;">
                      <v:fill on="f" focussize="0,0"/>
                      <v:stroke color="#FF0000" miterlimit="8" joinstyle="miter"/>
                      <v:imagedata o:title=""/>
                      <o:lock v:ext="edit" aspectratio="f"/>
                    </v:rect>
                  </w:pict>
                </mc:Fallback>
              </mc:AlternateContent>
            </w:r>
            <w:r>
              <w:rPr>
                <w:rFonts w:ascii="宋体" w:hAnsi="宋体" w:cs="宋体"/>
                <w:szCs w:val="21"/>
                <w:lang w:val="en-US" w:eastAsia="zh-CN"/>
              </w:rPr>
              <w:drawing>
                <wp:inline distT="0" distB="0" distL="0" distR="0">
                  <wp:extent cx="1982470" cy="1228725"/>
                  <wp:effectExtent l="0" t="0" r="13970" b="5715"/>
                  <wp:docPr id="13" name="图片 37" descr="4DDFE931-6CE6-4c7c-9752-272DA4A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4DDFE931-6CE6-4c7c-9752-272DA4A11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82470" cy="1228725"/>
                          </a:xfrm>
                          <a:prstGeom prst="rect">
                            <a:avLst/>
                          </a:prstGeom>
                          <a:noFill/>
                          <a:ln>
                            <a:noFill/>
                          </a:ln>
                        </pic:spPr>
                      </pic:pic>
                    </a:graphicData>
                  </a:graphic>
                </wp:inline>
              </w:drawing>
            </w:r>
          </w:p>
        </w:tc>
        <w:tc>
          <w:tcPr>
            <w:tcW w:w="3286" w:type="dxa"/>
            <w:gridSpan w:val="2"/>
          </w:tcPr>
          <w:p w14:paraId="3C611FB9">
            <w:pPr>
              <w:rPr>
                <w:rFonts w:hint="eastAsia" w:ascii="宋体" w:hAnsi="宋体" w:cs="宋体"/>
                <w:szCs w:val="21"/>
              </w:rPr>
            </w:pPr>
            <w:r>
              <w:rPr>
                <w:rFonts w:ascii="宋体" w:hAnsi="宋体" w:cs="宋体"/>
                <w:szCs w:val="21"/>
                <w:lang w:val="en-US" w:eastAsia="zh-CN"/>
              </w:rPr>
              <w:drawing>
                <wp:inline distT="0" distB="0" distL="0" distR="0">
                  <wp:extent cx="1981835" cy="1285240"/>
                  <wp:effectExtent l="0" t="0" r="14605" b="10160"/>
                  <wp:docPr id="14" name="图片 35" descr="A8813180-4696-4108-82A4-6608A26BE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A8813180-4696-4108-82A4-6608A26BEAC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81835" cy="1285240"/>
                          </a:xfrm>
                          <a:prstGeom prst="rect">
                            <a:avLst/>
                          </a:prstGeom>
                          <a:noFill/>
                          <a:ln>
                            <a:noFill/>
                          </a:ln>
                        </pic:spPr>
                      </pic:pic>
                    </a:graphicData>
                  </a:graphic>
                </wp:inline>
              </w:drawing>
            </w:r>
          </w:p>
        </w:tc>
      </w:tr>
      <w:tr w14:paraId="5514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4" w:type="dxa"/>
            <w:gridSpan w:val="2"/>
            <w:vAlign w:val="center"/>
          </w:tcPr>
          <w:p w14:paraId="3875420E">
            <w:pPr>
              <w:jc w:val="center"/>
              <w:rPr>
                <w:rFonts w:hint="eastAsia" w:ascii="宋体" w:hAnsi="宋体" w:cs="宋体"/>
                <w:szCs w:val="21"/>
              </w:rPr>
            </w:pPr>
            <w:r>
              <w:rPr>
                <w:rFonts w:hint="eastAsia" w:ascii="宋体" w:hAnsi="宋体" w:cs="宋体"/>
                <w:szCs w:val="21"/>
              </w:rPr>
              <w:t>前板簧及附件</w:t>
            </w:r>
          </w:p>
        </w:tc>
        <w:tc>
          <w:tcPr>
            <w:tcW w:w="3286" w:type="dxa"/>
            <w:gridSpan w:val="2"/>
            <w:vAlign w:val="center"/>
          </w:tcPr>
          <w:p w14:paraId="0573DC72">
            <w:pPr>
              <w:jc w:val="center"/>
              <w:rPr>
                <w:rFonts w:hint="eastAsia" w:ascii="宋体" w:hAnsi="宋体" w:cs="宋体"/>
                <w:szCs w:val="21"/>
              </w:rPr>
            </w:pPr>
            <w:r>
              <w:rPr>
                <w:rFonts w:hint="eastAsia" w:ascii="宋体" w:hAnsi="宋体" w:cs="宋体"/>
                <w:szCs w:val="21"/>
              </w:rPr>
              <w:t>牵引钩总成</w:t>
            </w:r>
          </w:p>
        </w:tc>
        <w:tc>
          <w:tcPr>
            <w:tcW w:w="3286" w:type="dxa"/>
            <w:gridSpan w:val="2"/>
            <w:vAlign w:val="center"/>
          </w:tcPr>
          <w:p w14:paraId="48DCAE39">
            <w:pPr>
              <w:jc w:val="center"/>
              <w:rPr>
                <w:rFonts w:hint="eastAsia" w:ascii="宋体" w:hAnsi="宋体" w:cs="宋体"/>
                <w:szCs w:val="21"/>
              </w:rPr>
            </w:pPr>
            <w:r>
              <w:rPr>
                <w:rFonts w:hint="eastAsia" w:ascii="宋体" w:hAnsi="宋体" w:cs="宋体"/>
                <w:szCs w:val="21"/>
              </w:rPr>
              <w:t>车桥上、下表面</w:t>
            </w:r>
          </w:p>
        </w:tc>
      </w:tr>
      <w:tr w14:paraId="7C97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tcPr>
          <w:p w14:paraId="104C17A0">
            <w:pPr>
              <w:rPr>
                <w:rFonts w:hint="eastAsia" w:ascii="宋体" w:hAnsi="宋体" w:cs="宋体"/>
                <w:szCs w:val="21"/>
              </w:rPr>
            </w:pPr>
            <w:r>
              <w:rPr>
                <w:rFonts w:ascii="宋体" w:hAnsi="宋体" w:cs="宋体"/>
                <w:szCs w:val="21"/>
                <w:lang w:val="en-US" w:eastAsia="zh-CN"/>
              </w:rPr>
              <w:drawing>
                <wp:inline distT="0" distB="0" distL="0" distR="0">
                  <wp:extent cx="1372235" cy="1849120"/>
                  <wp:effectExtent l="0" t="0" r="14605" b="10160"/>
                  <wp:docPr id="15" name="图片 34" descr="IMG_20220513_16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IMG_20220513_161920"/>
                          <pic:cNvPicPr>
                            <a:picLocks noChangeAspect="1" noChangeArrowheads="1"/>
                          </pic:cNvPicPr>
                        </pic:nvPicPr>
                        <pic:blipFill>
                          <a:blip r:embed="rId33">
                            <a:extLst>
                              <a:ext uri="{28A0092B-C50C-407E-A947-70E740481C1C}">
                                <a14:useLocalDpi xmlns:a14="http://schemas.microsoft.com/office/drawing/2010/main" val="0"/>
                              </a:ext>
                            </a:extLst>
                          </a:blip>
                          <a:srcRect l="14009" t="28847" r="18979" b="30305"/>
                          <a:stretch>
                            <a:fillRect/>
                          </a:stretch>
                        </pic:blipFill>
                        <pic:spPr>
                          <a:xfrm>
                            <a:off x="0" y="0"/>
                            <a:ext cx="1372235" cy="1849120"/>
                          </a:xfrm>
                          <a:prstGeom prst="rect">
                            <a:avLst/>
                          </a:prstGeom>
                          <a:noFill/>
                          <a:ln>
                            <a:noFill/>
                          </a:ln>
                        </pic:spPr>
                      </pic:pic>
                    </a:graphicData>
                  </a:graphic>
                </wp:inline>
              </w:drawing>
            </w:r>
          </w:p>
        </w:tc>
        <w:tc>
          <w:tcPr>
            <w:tcW w:w="2466" w:type="dxa"/>
            <w:gridSpan w:val="2"/>
          </w:tcPr>
          <w:p w14:paraId="52330202">
            <w:pPr>
              <w:rPr>
                <w:rFonts w:hint="eastAsia" w:ascii="宋体" w:hAnsi="宋体" w:cs="宋体"/>
                <w:szCs w:val="21"/>
              </w:rPr>
            </w:pPr>
            <w:r>
              <w:rPr>
                <w:rFonts w:ascii="宋体" w:hAnsi="宋体" w:cs="宋体"/>
                <w:szCs w:val="21"/>
                <w:lang w:val="en-US" w:eastAsia="zh-CN"/>
              </w:rPr>
              <w:drawing>
                <wp:inline distT="0" distB="0" distL="0" distR="0">
                  <wp:extent cx="1381125" cy="1905635"/>
                  <wp:effectExtent l="0" t="0" r="5715" b="14605"/>
                  <wp:docPr id="16" name="图片 33" descr="E6F56794-28B1-4849-A8C4-C6E41D9E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E6F56794-28B1-4849-A8C4-C6E41D9E58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81125" cy="1905635"/>
                          </a:xfrm>
                          <a:prstGeom prst="rect">
                            <a:avLst/>
                          </a:prstGeom>
                          <a:noFill/>
                          <a:ln>
                            <a:noFill/>
                          </a:ln>
                        </pic:spPr>
                      </pic:pic>
                    </a:graphicData>
                  </a:graphic>
                </wp:inline>
              </w:drawing>
            </w:r>
          </w:p>
        </w:tc>
        <w:tc>
          <w:tcPr>
            <w:tcW w:w="2363" w:type="dxa"/>
            <w:gridSpan w:val="2"/>
          </w:tcPr>
          <w:p w14:paraId="09E0D900">
            <w:pPr>
              <w:rPr>
                <w:rFonts w:hint="eastAsia" w:ascii="宋体" w:hAnsi="宋体" w:cs="宋体"/>
                <w:szCs w:val="21"/>
              </w:rPr>
            </w:pPr>
            <w:r>
              <w:rPr>
                <w:rFonts w:ascii="宋体" w:hAnsi="宋体" w:cs="宋体"/>
                <w:szCs w:val="21"/>
                <w:lang w:val="en-US" w:eastAsia="zh-CN"/>
              </w:rPr>
              <w:drawing>
                <wp:inline distT="0" distB="0" distL="0" distR="0">
                  <wp:extent cx="1399540" cy="1914525"/>
                  <wp:effectExtent l="0" t="0" r="2540" b="5715"/>
                  <wp:docPr id="17" name="图片 32" descr="01F5FBF4-B3D6-43e3-A20A-79268259A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01F5FBF4-B3D6-43e3-A20A-79268259AF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99540" cy="1914525"/>
                          </a:xfrm>
                          <a:prstGeom prst="rect">
                            <a:avLst/>
                          </a:prstGeom>
                          <a:noFill/>
                          <a:ln>
                            <a:noFill/>
                          </a:ln>
                        </pic:spPr>
                      </pic:pic>
                    </a:graphicData>
                  </a:graphic>
                </wp:inline>
              </w:drawing>
            </w:r>
          </w:p>
        </w:tc>
        <w:tc>
          <w:tcPr>
            <w:tcW w:w="2567" w:type="dxa"/>
          </w:tcPr>
          <w:p w14:paraId="11F1996A">
            <w:pPr>
              <w:rPr>
                <w:rFonts w:hint="eastAsia" w:ascii="宋体" w:hAnsi="宋体" w:cs="宋体"/>
                <w:szCs w:val="21"/>
              </w:rPr>
            </w:pPr>
            <w:r>
              <w:rPr>
                <w:rFonts w:ascii="宋体" w:hAnsi="宋体" w:cs="宋体"/>
                <w:szCs w:val="21"/>
                <w:lang w:val="en-US" w:eastAsia="zh-CN"/>
              </w:rPr>
              <w:drawing>
                <wp:inline distT="0" distB="0" distL="0" distR="0">
                  <wp:extent cx="1419860" cy="1913890"/>
                  <wp:effectExtent l="0" t="0" r="12700" b="6350"/>
                  <wp:docPr id="18" name="图片 31" descr="EA8BDCA4-8C5A-4cb3-AE7B-EBAAB8A23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EA8BDCA4-8C5A-4cb3-AE7B-EBAAB8A2355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419860" cy="1913890"/>
                          </a:xfrm>
                          <a:prstGeom prst="rect">
                            <a:avLst/>
                          </a:prstGeom>
                          <a:noFill/>
                          <a:ln>
                            <a:noFill/>
                          </a:ln>
                        </pic:spPr>
                      </pic:pic>
                    </a:graphicData>
                  </a:graphic>
                </wp:inline>
              </w:drawing>
            </w:r>
          </w:p>
        </w:tc>
      </w:tr>
      <w:tr w14:paraId="764C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0" w:type="dxa"/>
            <w:vAlign w:val="center"/>
          </w:tcPr>
          <w:p w14:paraId="4D6A41F4">
            <w:pPr>
              <w:jc w:val="center"/>
              <w:rPr>
                <w:rFonts w:hint="eastAsia" w:ascii="宋体" w:hAnsi="宋体" w:cs="宋体"/>
                <w:szCs w:val="21"/>
              </w:rPr>
            </w:pPr>
            <w:r>
              <w:rPr>
                <w:rFonts w:hint="eastAsia" w:ascii="宋体" w:hAnsi="宋体" w:cs="宋体"/>
                <w:szCs w:val="21"/>
              </w:rPr>
              <w:t>过渡摆臂及支座</w:t>
            </w:r>
          </w:p>
        </w:tc>
        <w:tc>
          <w:tcPr>
            <w:tcW w:w="2466" w:type="dxa"/>
            <w:gridSpan w:val="2"/>
            <w:vAlign w:val="center"/>
          </w:tcPr>
          <w:p w14:paraId="007103E3">
            <w:pPr>
              <w:jc w:val="center"/>
              <w:rPr>
                <w:rFonts w:hint="eastAsia" w:ascii="宋体" w:hAnsi="宋体" w:cs="宋体"/>
                <w:szCs w:val="21"/>
              </w:rPr>
            </w:pPr>
            <w:r>
              <w:rPr>
                <w:rFonts w:hint="eastAsia" w:ascii="宋体" w:hAnsi="宋体" w:cs="宋体"/>
                <w:szCs w:val="21"/>
              </w:rPr>
              <w:t>板簧支座</w:t>
            </w:r>
          </w:p>
        </w:tc>
        <w:tc>
          <w:tcPr>
            <w:tcW w:w="2363" w:type="dxa"/>
            <w:gridSpan w:val="2"/>
            <w:vAlign w:val="center"/>
          </w:tcPr>
          <w:p w14:paraId="0AAED191">
            <w:pPr>
              <w:jc w:val="center"/>
              <w:rPr>
                <w:rFonts w:hint="eastAsia" w:ascii="宋体" w:hAnsi="宋体" w:cs="宋体"/>
                <w:szCs w:val="21"/>
              </w:rPr>
            </w:pPr>
            <w:r>
              <w:rPr>
                <w:rFonts w:hint="eastAsia" w:ascii="宋体" w:hAnsi="宋体" w:cs="宋体"/>
                <w:szCs w:val="21"/>
              </w:rPr>
              <w:t>吊杆支座</w:t>
            </w:r>
          </w:p>
        </w:tc>
        <w:tc>
          <w:tcPr>
            <w:tcW w:w="2567" w:type="dxa"/>
            <w:vAlign w:val="center"/>
          </w:tcPr>
          <w:p w14:paraId="6FAA60B2">
            <w:pPr>
              <w:jc w:val="center"/>
              <w:rPr>
                <w:rFonts w:hint="eastAsia" w:ascii="宋体" w:hAnsi="宋体" w:cs="宋体"/>
                <w:szCs w:val="21"/>
              </w:rPr>
            </w:pPr>
            <w:r>
              <w:rPr>
                <w:rFonts w:hint="eastAsia" w:ascii="宋体" w:hAnsi="宋体" w:cs="宋体"/>
                <w:szCs w:val="21"/>
              </w:rPr>
              <w:t>限位块支架</w:t>
            </w:r>
          </w:p>
        </w:tc>
      </w:tr>
      <w:tr w14:paraId="5EFC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tcPr>
          <w:p w14:paraId="6F0EC196">
            <w:pPr>
              <w:rPr>
                <w:rFonts w:hint="eastAsia" w:ascii="宋体" w:hAnsi="宋体" w:cs="宋体"/>
                <w:szCs w:val="21"/>
              </w:rPr>
            </w:pPr>
            <w:r>
              <w:rPr>
                <w:rFonts w:ascii="宋体" w:hAnsi="宋体" w:cs="宋体"/>
                <w:szCs w:val="21"/>
                <w:lang w:val="en-US" w:eastAsia="zh-CN"/>
              </w:rPr>
              <w:drawing>
                <wp:inline distT="0" distB="0" distL="0" distR="0">
                  <wp:extent cx="1418590" cy="1877060"/>
                  <wp:effectExtent l="0" t="0" r="13970" b="12700"/>
                  <wp:docPr id="19" name="图片 30" descr="IMG_20230516_10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0230516_104414"/>
                          <pic:cNvPicPr>
                            <a:picLocks noChangeAspect="1" noChangeArrowheads="1"/>
                          </pic:cNvPicPr>
                        </pic:nvPicPr>
                        <pic:blipFill>
                          <a:blip r:embed="rId37">
                            <a:extLst>
                              <a:ext uri="{28A0092B-C50C-407E-A947-70E740481C1C}">
                                <a14:useLocalDpi xmlns:a14="http://schemas.microsoft.com/office/drawing/2010/main" val="0"/>
                              </a:ext>
                            </a:extLst>
                          </a:blip>
                          <a:srcRect t="4773" b="24445"/>
                          <a:stretch>
                            <a:fillRect/>
                          </a:stretch>
                        </pic:blipFill>
                        <pic:spPr>
                          <a:xfrm>
                            <a:off x="0" y="0"/>
                            <a:ext cx="1418590" cy="1877060"/>
                          </a:xfrm>
                          <a:prstGeom prst="rect">
                            <a:avLst/>
                          </a:prstGeom>
                          <a:noFill/>
                          <a:ln>
                            <a:noFill/>
                          </a:ln>
                        </pic:spPr>
                      </pic:pic>
                    </a:graphicData>
                  </a:graphic>
                </wp:inline>
              </w:drawing>
            </w:r>
          </w:p>
        </w:tc>
        <w:tc>
          <w:tcPr>
            <w:tcW w:w="2466" w:type="dxa"/>
            <w:gridSpan w:val="2"/>
          </w:tcPr>
          <w:p w14:paraId="24259898">
            <w:pPr>
              <w:rPr>
                <w:rFonts w:hint="eastAsia" w:ascii="宋体" w:hAnsi="宋体" w:cs="宋体"/>
                <w:szCs w:val="21"/>
              </w:rPr>
            </w:pPr>
            <w:r>
              <w:rPr>
                <w:lang w:val="en-US" w:eastAsia="zh-CN"/>
              </w:rPr>
              <w:drawing>
                <wp:anchor distT="0" distB="0" distL="0" distR="0" simplePos="0" relativeHeight="251659264" behindDoc="1" locked="0" layoutInCell="1" allowOverlap="1">
                  <wp:simplePos x="0" y="0"/>
                  <wp:positionH relativeFrom="column">
                    <wp:posOffset>42545</wp:posOffset>
                  </wp:positionH>
                  <wp:positionV relativeFrom="paragraph">
                    <wp:posOffset>31115</wp:posOffset>
                  </wp:positionV>
                  <wp:extent cx="1283970" cy="1830070"/>
                  <wp:effectExtent l="0" t="0" r="11430" b="13970"/>
                  <wp:wrapNone/>
                  <wp:docPr id="16422766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76603" name="图片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83970" cy="1830070"/>
                          </a:xfrm>
                          <a:prstGeom prst="rect">
                            <a:avLst/>
                          </a:prstGeom>
                          <a:noFill/>
                          <a:ln>
                            <a:noFill/>
                          </a:ln>
                        </pic:spPr>
                      </pic:pic>
                    </a:graphicData>
                  </a:graphic>
                </wp:anchor>
              </w:drawing>
            </w:r>
          </w:p>
        </w:tc>
        <w:tc>
          <w:tcPr>
            <w:tcW w:w="2363" w:type="dxa"/>
            <w:gridSpan w:val="2"/>
            <w:vAlign w:val="center"/>
          </w:tcPr>
          <w:p w14:paraId="515BD7DC">
            <w:pPr>
              <w:jc w:val="center"/>
              <w:rPr>
                <w:rFonts w:hint="eastAsia" w:ascii="宋体" w:hAnsi="宋体" w:cs="宋体"/>
                <w:szCs w:val="21"/>
              </w:rPr>
            </w:pPr>
            <w:r>
              <w:rPr>
                <w:rFonts w:ascii="宋体" w:hAnsi="宋体" w:cs="宋体"/>
                <w:szCs w:val="21"/>
                <w:lang w:val="en-US" w:eastAsia="zh-CN"/>
              </w:rPr>
              <w:drawing>
                <wp:inline distT="0" distB="0" distL="0" distR="0">
                  <wp:extent cx="1626870" cy="1179830"/>
                  <wp:effectExtent l="0" t="0" r="8890" b="3810"/>
                  <wp:docPr id="20" name="图片 28" descr="IMG_20230516_1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IMG_20230516_1044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rot="-5400000">
                            <a:off x="0" y="0"/>
                            <a:ext cx="1626870" cy="1179830"/>
                          </a:xfrm>
                          <a:prstGeom prst="rect">
                            <a:avLst/>
                          </a:prstGeom>
                          <a:noFill/>
                          <a:ln>
                            <a:noFill/>
                          </a:ln>
                        </pic:spPr>
                      </pic:pic>
                    </a:graphicData>
                  </a:graphic>
                </wp:inline>
              </w:drawing>
            </w:r>
          </w:p>
        </w:tc>
        <w:tc>
          <w:tcPr>
            <w:tcW w:w="2567" w:type="dxa"/>
          </w:tcPr>
          <w:p w14:paraId="4B74E831">
            <w:pPr>
              <w:rPr>
                <w:rFonts w:hint="eastAsia" w:ascii="宋体" w:hAnsi="宋体" w:cs="宋体"/>
                <w:szCs w:val="21"/>
              </w:rPr>
            </w:pPr>
            <w:r>
              <w:rPr>
                <w:rFonts w:ascii="宋体" w:hAnsi="宋体" w:cs="宋体"/>
                <w:szCs w:val="21"/>
                <w:lang w:val="en-US" w:eastAsia="zh-CN"/>
              </w:rPr>
              <w:drawing>
                <wp:inline distT="0" distB="0" distL="0" distR="0">
                  <wp:extent cx="1524635" cy="1960880"/>
                  <wp:effectExtent l="0" t="0" r="14605" b="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noChangeArrowheads="1"/>
                          </pic:cNvPicPr>
                        </pic:nvPicPr>
                        <pic:blipFill>
                          <a:blip r:embed="rId40">
                            <a:extLst>
                              <a:ext uri="{28A0092B-C50C-407E-A947-70E740481C1C}">
                                <a14:useLocalDpi xmlns:a14="http://schemas.microsoft.com/office/drawing/2010/main" val="0"/>
                              </a:ext>
                            </a:extLst>
                          </a:blip>
                          <a:srcRect l="13646" t="35332" r="11032" b="-2824"/>
                          <a:stretch>
                            <a:fillRect/>
                          </a:stretch>
                        </pic:blipFill>
                        <pic:spPr>
                          <a:xfrm>
                            <a:off x="0" y="0"/>
                            <a:ext cx="1524635" cy="1960880"/>
                          </a:xfrm>
                          <a:prstGeom prst="rect">
                            <a:avLst/>
                          </a:prstGeom>
                          <a:noFill/>
                          <a:ln>
                            <a:noFill/>
                          </a:ln>
                        </pic:spPr>
                      </pic:pic>
                    </a:graphicData>
                  </a:graphic>
                </wp:inline>
              </w:drawing>
            </w:r>
          </w:p>
        </w:tc>
      </w:tr>
      <w:tr w14:paraId="1BF9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0" w:type="dxa"/>
            <w:vAlign w:val="center"/>
          </w:tcPr>
          <w:p w14:paraId="15242DA7">
            <w:pPr>
              <w:jc w:val="center"/>
              <w:rPr>
                <w:rFonts w:hint="eastAsia" w:ascii="宋体" w:hAnsi="宋体" w:cs="宋体"/>
                <w:szCs w:val="21"/>
              </w:rPr>
            </w:pPr>
            <w:r>
              <w:rPr>
                <w:rFonts w:hint="eastAsia" w:ascii="宋体" w:hAnsi="宋体" w:cs="宋体"/>
                <w:szCs w:val="21"/>
              </w:rPr>
              <w:t>V推与车桥连接处</w:t>
            </w:r>
          </w:p>
        </w:tc>
        <w:tc>
          <w:tcPr>
            <w:tcW w:w="2466" w:type="dxa"/>
            <w:gridSpan w:val="2"/>
            <w:vAlign w:val="center"/>
          </w:tcPr>
          <w:p w14:paraId="27F8170B">
            <w:pPr>
              <w:jc w:val="center"/>
              <w:rPr>
                <w:rFonts w:hint="eastAsia" w:ascii="宋体" w:hAnsi="宋体" w:cs="宋体"/>
                <w:szCs w:val="21"/>
              </w:rPr>
            </w:pPr>
            <w:r>
              <w:rPr>
                <w:rFonts w:hint="eastAsia" w:ascii="宋体" w:hAnsi="宋体" w:cs="宋体"/>
                <w:szCs w:val="21"/>
              </w:rPr>
              <w:t>尾灯支架与纵梁空腔</w:t>
            </w:r>
          </w:p>
        </w:tc>
        <w:tc>
          <w:tcPr>
            <w:tcW w:w="2363" w:type="dxa"/>
            <w:gridSpan w:val="2"/>
            <w:vAlign w:val="center"/>
          </w:tcPr>
          <w:p w14:paraId="7398BD63">
            <w:pPr>
              <w:jc w:val="center"/>
              <w:rPr>
                <w:rFonts w:hint="eastAsia" w:ascii="宋体" w:hAnsi="宋体" w:cs="宋体"/>
                <w:szCs w:val="21"/>
              </w:rPr>
            </w:pPr>
            <w:r>
              <w:rPr>
                <w:rFonts w:hint="eastAsia" w:ascii="宋体" w:hAnsi="宋体" w:cs="宋体"/>
                <w:szCs w:val="21"/>
              </w:rPr>
              <w:t>气室安装部位</w:t>
            </w:r>
          </w:p>
        </w:tc>
        <w:tc>
          <w:tcPr>
            <w:tcW w:w="2567" w:type="dxa"/>
            <w:vAlign w:val="center"/>
          </w:tcPr>
          <w:p w14:paraId="45A6683D">
            <w:pPr>
              <w:jc w:val="center"/>
              <w:rPr>
                <w:rFonts w:hint="eastAsia" w:ascii="宋体" w:hAnsi="宋体" w:cs="宋体"/>
                <w:szCs w:val="21"/>
              </w:rPr>
            </w:pPr>
            <w:r>
              <w:rPr>
                <w:rFonts w:hint="eastAsia" w:ascii="宋体" w:hAnsi="宋体" w:cs="宋体"/>
                <w:szCs w:val="21"/>
              </w:rPr>
              <w:t>拉杆连接部位</w:t>
            </w:r>
          </w:p>
        </w:tc>
      </w:tr>
    </w:tbl>
    <w:p w14:paraId="595E71F6">
      <w:pPr>
        <w:pStyle w:val="10"/>
        <w:spacing w:line="360" w:lineRule="auto"/>
        <w:ind w:firstLine="480" w:firstLineChars="200"/>
        <w:rPr>
          <w:rFonts w:hint="eastAsia" w:ascii="宋体" w:hAnsi="宋体"/>
          <w:sz w:val="24"/>
          <w:szCs w:val="22"/>
        </w:rPr>
      </w:pPr>
      <w:r>
        <w:rPr>
          <w:rFonts w:hint="eastAsia" w:ascii="宋体" w:hAnsi="宋体" w:cs="宋体"/>
          <w:sz w:val="24"/>
          <w:szCs w:val="24"/>
        </w:rPr>
        <w:t>2、点修：</w:t>
      </w:r>
      <w:r>
        <w:rPr>
          <w:rFonts w:hint="eastAsia" w:ascii="宋体" w:hAnsi="宋体"/>
          <w:sz w:val="24"/>
          <w:szCs w:val="22"/>
        </w:rPr>
        <w:t>烘干下线后，检查车架及附件漆面缺陷（包括不限于颗粒、流淌、橘皮、</w:t>
      </w:r>
      <w:r>
        <w:rPr>
          <w:rFonts w:ascii="宋体" w:hAnsi="宋体" w:cs="宋体"/>
          <w:sz w:val="24"/>
          <w:szCs w:val="24"/>
        </w:rPr>
        <w:t>缺漆、露底、遮盖不良、起泡、脱落、生锈、裂纹、针孔</w:t>
      </w:r>
      <w:r>
        <w:rPr>
          <w:rFonts w:hint="eastAsia" w:ascii="宋体" w:hAnsi="宋体"/>
          <w:sz w:val="24"/>
          <w:szCs w:val="22"/>
        </w:rPr>
        <w:t>），及时反馈。用P400砂纸打磨缺陷，并根据要求进行补漆处理。</w:t>
      </w:r>
    </w:p>
    <w:p w14:paraId="1746DB49">
      <w:pPr>
        <w:spacing w:line="360" w:lineRule="auto"/>
        <w:ind w:firstLine="480" w:firstLineChars="200"/>
        <w:rPr>
          <w:rFonts w:hint="eastAsia" w:ascii="宋体" w:hAnsi="宋体" w:cs="宋体"/>
          <w:sz w:val="24"/>
          <w:szCs w:val="24"/>
        </w:rPr>
      </w:pPr>
      <w:r>
        <w:rPr>
          <w:rFonts w:hint="eastAsia" w:ascii="宋体" w:hAnsi="宋体" w:cs="宋体"/>
          <w:sz w:val="24"/>
          <w:szCs w:val="24"/>
        </w:rPr>
        <w:t>3、清洗：施工完毕后，用稀释剂清洗干净喷枪、搅拌尺、涂4杯等工具。</w:t>
      </w:r>
    </w:p>
    <w:p w14:paraId="14574F19">
      <w:pPr>
        <w:spacing w:line="360" w:lineRule="auto"/>
        <w:ind w:firstLine="480" w:firstLineChars="200"/>
        <w:rPr>
          <w:rFonts w:ascii="宋体" w:hAnsi="宋体" w:cs="宋体"/>
          <w:sz w:val="24"/>
          <w:szCs w:val="24"/>
        </w:rPr>
      </w:pPr>
      <w:r>
        <w:rPr>
          <w:rFonts w:hint="eastAsia" w:ascii="宋体" w:hAnsi="宋体" w:cs="宋体"/>
          <w:sz w:val="24"/>
          <w:szCs w:val="24"/>
        </w:rPr>
        <w:t>4、漆膜检查：漆膜固化后对漆膜厚度、附着力（样板）、硬度（样板）进行检查。要求漆膜固化后总厚度（含车架电泳漆）≥60μm，漆膜附着力≤1级，硬度大于H。每批油漆使用前在车架电泳漆样板上做附着力，漆膜硬度测试。具体参数以工艺文件为准。</w:t>
      </w:r>
    </w:p>
    <w:p w14:paraId="58AF5D47">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四、质量管控要求</w:t>
      </w:r>
    </w:p>
    <w:p w14:paraId="6B132C57">
      <w:pPr>
        <w:spacing w:line="360" w:lineRule="auto"/>
        <w:ind w:firstLine="480" w:firstLineChars="200"/>
        <w:rPr>
          <w:rFonts w:hint="eastAsia" w:ascii="宋体" w:hAnsi="宋体"/>
          <w:sz w:val="24"/>
          <w:szCs w:val="24"/>
        </w:rPr>
      </w:pPr>
      <w:r>
        <w:rPr>
          <w:rFonts w:hint="eastAsia" w:ascii="宋体" w:hAnsi="宋体"/>
          <w:sz w:val="24"/>
          <w:szCs w:val="24"/>
        </w:rPr>
        <w:t>1.外包方负责按照要求完成外包方质量体系相关证明文件提交，商用车公司负责对工序外包方的质量保证能力进行审核。</w:t>
      </w:r>
    </w:p>
    <w:p w14:paraId="5998FEFD">
      <w:pPr>
        <w:spacing w:line="360" w:lineRule="auto"/>
        <w:ind w:firstLine="480" w:firstLineChars="200"/>
        <w:rPr>
          <w:rFonts w:hint="eastAsia" w:ascii="宋体" w:hAnsi="宋体"/>
          <w:sz w:val="24"/>
          <w:szCs w:val="24"/>
        </w:rPr>
      </w:pPr>
      <w:r>
        <w:rPr>
          <w:rFonts w:hint="eastAsia" w:ascii="宋体" w:hAnsi="宋体"/>
          <w:sz w:val="24"/>
          <w:szCs w:val="24"/>
        </w:rPr>
        <w:t>2.外包方负责业务外包方案中质量检验策划等，商用车公司负责对外包方的策划方案进行审核。</w:t>
      </w:r>
    </w:p>
    <w:p w14:paraId="5D7B13A3">
      <w:pPr>
        <w:spacing w:line="360" w:lineRule="auto"/>
        <w:ind w:firstLine="480" w:firstLineChars="200"/>
        <w:rPr>
          <w:rFonts w:hint="eastAsia" w:ascii="宋体" w:hAnsi="宋体"/>
          <w:sz w:val="24"/>
          <w:szCs w:val="24"/>
        </w:rPr>
      </w:pPr>
      <w:r>
        <w:rPr>
          <w:rFonts w:hint="eastAsia" w:ascii="宋体" w:hAnsi="宋体"/>
          <w:sz w:val="24"/>
          <w:szCs w:val="24"/>
        </w:rPr>
        <w:t>3.外包方负责配合商用车公司组织过程审核、产品审核、过程稽查，派负责人全程陪同。</w:t>
      </w:r>
    </w:p>
    <w:p w14:paraId="55AD4B5A">
      <w:pPr>
        <w:spacing w:line="360" w:lineRule="auto"/>
        <w:ind w:firstLine="480" w:firstLineChars="200"/>
        <w:rPr>
          <w:rFonts w:hint="eastAsia" w:ascii="宋体" w:hAnsi="宋体"/>
          <w:sz w:val="24"/>
          <w:szCs w:val="24"/>
        </w:rPr>
      </w:pPr>
      <w:r>
        <w:rPr>
          <w:rFonts w:hint="eastAsia" w:ascii="宋体" w:hAnsi="宋体"/>
          <w:sz w:val="24"/>
          <w:szCs w:val="24"/>
        </w:rPr>
        <w:t>4.商用车公司负责对在过程审核、产品审核、过程稽查中发现的问题组织开展问题整改，外包方配合整改。</w:t>
      </w:r>
    </w:p>
    <w:p w14:paraId="74308E30">
      <w:pPr>
        <w:spacing w:line="360" w:lineRule="auto"/>
        <w:ind w:firstLine="480" w:firstLineChars="200"/>
        <w:rPr>
          <w:rFonts w:hint="eastAsia" w:ascii="宋体" w:hAnsi="宋体"/>
          <w:sz w:val="24"/>
          <w:szCs w:val="24"/>
        </w:rPr>
      </w:pPr>
      <w:r>
        <w:rPr>
          <w:rFonts w:hint="eastAsia" w:ascii="宋体" w:hAnsi="宋体"/>
          <w:sz w:val="24"/>
          <w:szCs w:val="24"/>
        </w:rPr>
        <w:t>5.外包方负责通过实物巡检、抽检的方式，提前检查发现外包过程存在的问题并进行整改。</w:t>
      </w:r>
    </w:p>
    <w:p w14:paraId="05CBC71F">
      <w:pPr>
        <w:spacing w:line="360" w:lineRule="auto"/>
        <w:ind w:firstLine="480" w:firstLineChars="200"/>
        <w:rPr>
          <w:rFonts w:hint="eastAsia" w:ascii="宋体" w:hAnsi="宋体"/>
          <w:sz w:val="24"/>
          <w:szCs w:val="24"/>
        </w:rPr>
      </w:pPr>
      <w:r>
        <w:rPr>
          <w:rFonts w:hint="eastAsia" w:ascii="宋体" w:hAnsi="宋体"/>
          <w:sz w:val="24"/>
          <w:szCs w:val="24"/>
        </w:rPr>
        <w:t>6.外包方对新员工开展安全、质量、工艺、现场5S等相关培训，并留存培训记录。针对生产过程中发现的质量问题，商用车公司组织外包方对涉及员工进行专项培训，并留存培训记录。</w:t>
      </w:r>
    </w:p>
    <w:p w14:paraId="75A29127">
      <w:pPr>
        <w:spacing w:line="360" w:lineRule="auto"/>
        <w:ind w:firstLine="480" w:firstLineChars="200"/>
        <w:rPr>
          <w:rFonts w:hint="eastAsia" w:ascii="宋体" w:hAnsi="宋体"/>
          <w:sz w:val="24"/>
          <w:szCs w:val="24"/>
        </w:rPr>
      </w:pPr>
      <w:r>
        <w:rPr>
          <w:rFonts w:hint="eastAsia" w:ascii="宋体" w:hAnsi="宋体"/>
          <w:sz w:val="24"/>
          <w:szCs w:val="24"/>
        </w:rPr>
        <w:t>7.外包方应建立生产过程中的三检制度，对检验参数、检验标准以及专检、抽检的运行情况进行定期确认。商用车公司有权对外包方提供的产品实施质量监督抽查。</w:t>
      </w:r>
    </w:p>
    <w:p w14:paraId="78A77B67">
      <w:pPr>
        <w:spacing w:line="360" w:lineRule="auto"/>
        <w:ind w:firstLine="480" w:firstLineChars="200"/>
        <w:rPr>
          <w:rFonts w:hint="eastAsia" w:ascii="宋体" w:hAnsi="宋体"/>
          <w:sz w:val="24"/>
          <w:szCs w:val="24"/>
        </w:rPr>
      </w:pPr>
      <w:r>
        <w:rPr>
          <w:rFonts w:hint="eastAsia" w:ascii="宋体" w:hAnsi="宋体"/>
          <w:sz w:val="24"/>
          <w:szCs w:val="24"/>
        </w:rPr>
        <w:t>8.外包方接收后的底盘总成及零部件，应首先进行质量状态自查和确认，因外包方在作业过程中导致的磕碰、划伤、损坏、防护破损导致被防护件污染等质量问题由外包方负责，承担相应费用追偿。</w:t>
      </w:r>
    </w:p>
    <w:p w14:paraId="4C361089">
      <w:pPr>
        <w:spacing w:line="360" w:lineRule="auto"/>
        <w:ind w:firstLine="480" w:firstLineChars="200"/>
        <w:rPr>
          <w:rFonts w:ascii="宋体" w:hAnsi="宋体"/>
          <w:sz w:val="24"/>
          <w:szCs w:val="24"/>
        </w:rPr>
      </w:pPr>
      <w:r>
        <w:rPr>
          <w:rFonts w:hint="eastAsia" w:ascii="宋体" w:hAnsi="宋体"/>
          <w:sz w:val="24"/>
          <w:szCs w:val="24"/>
        </w:rPr>
        <w:t>9.外包方对在线、下线、入库车辆的底盘出现质量问题或临时工艺变更时要服从商用车公司统一安排进行喷涂作业。</w:t>
      </w:r>
    </w:p>
    <w:p w14:paraId="512523D2">
      <w:pPr>
        <w:spacing w:line="360" w:lineRule="auto"/>
        <w:ind w:firstLine="480" w:firstLineChars="200"/>
        <w:rPr>
          <w:rFonts w:hint="eastAsia" w:ascii="宋体" w:hAnsi="宋体"/>
          <w:sz w:val="24"/>
          <w:szCs w:val="24"/>
        </w:rPr>
      </w:pPr>
      <w:r>
        <w:rPr>
          <w:rFonts w:hint="eastAsia" w:ascii="宋体" w:hAnsi="宋体"/>
          <w:sz w:val="24"/>
          <w:szCs w:val="24"/>
        </w:rPr>
        <w:t>10.承包范围内的总成零件在商用车整车发交前，如出现质量问题，商用车按照规定零公里索赔外包方，整车发交后出现质量问题，视具体质量问题类别划分责任。</w:t>
      </w:r>
    </w:p>
    <w:p w14:paraId="18DC1724">
      <w:pPr>
        <w:spacing w:line="360" w:lineRule="auto"/>
        <w:ind w:firstLine="480" w:firstLineChars="200"/>
        <w:rPr>
          <w:rFonts w:hint="eastAsia" w:ascii="宋体" w:hAnsi="宋体"/>
          <w:sz w:val="24"/>
          <w:szCs w:val="24"/>
        </w:rPr>
      </w:pPr>
      <w:r>
        <w:rPr>
          <w:rFonts w:hint="eastAsia" w:ascii="宋体" w:hAnsi="宋体"/>
          <w:sz w:val="24"/>
          <w:szCs w:val="24"/>
        </w:rPr>
        <w:t>11.质量管控指标</w:t>
      </w:r>
    </w:p>
    <w:p w14:paraId="4E70907A">
      <w:pPr>
        <w:spacing w:line="360" w:lineRule="auto"/>
        <w:ind w:firstLine="480" w:firstLineChars="200"/>
        <w:rPr>
          <w:rFonts w:hint="eastAsia" w:ascii="宋体" w:hAnsi="宋体"/>
          <w:sz w:val="24"/>
          <w:szCs w:val="24"/>
        </w:rPr>
      </w:pPr>
      <w:r>
        <w:rPr>
          <w:rFonts w:hint="eastAsia" w:ascii="宋体" w:hAnsi="宋体"/>
          <w:sz w:val="24"/>
          <w:szCs w:val="24"/>
        </w:rPr>
        <w:t>外包方负责按照质量控制标准，实施喷涂产品制造过程质量控制，确保每工序质量问题得到及时修复，不得流入下一工序影响产品质量，车架底盘一次下线合格率≥99%，产品一次交付合格率≥99.5%。</w:t>
      </w:r>
    </w:p>
    <w:p w14:paraId="4F636E56">
      <w:pPr>
        <w:spacing w:line="360" w:lineRule="auto"/>
        <w:ind w:firstLine="480" w:firstLineChars="200"/>
        <w:rPr>
          <w:rFonts w:hint="eastAsia" w:ascii="宋体" w:hAnsi="宋体"/>
          <w:sz w:val="24"/>
          <w:szCs w:val="24"/>
        </w:rPr>
      </w:pPr>
      <w:r>
        <w:rPr>
          <w:rFonts w:hint="eastAsia" w:ascii="宋体" w:hAnsi="宋体"/>
          <w:sz w:val="24"/>
          <w:szCs w:val="24"/>
        </w:rPr>
        <w:t>车架底盘外观要求：无缺漆、露底、遮盖不良、起泡、脱落、生锈、裂纹、针孔等涂层缺陷，允许轻微的流痕和颗粒。</w:t>
      </w:r>
    </w:p>
    <w:p w14:paraId="348CC72A">
      <w:pPr>
        <w:spacing w:line="360" w:lineRule="auto"/>
        <w:ind w:firstLine="480" w:firstLineChars="200"/>
        <w:rPr>
          <w:rFonts w:hint="eastAsia" w:ascii="宋体" w:hAnsi="宋体"/>
          <w:sz w:val="24"/>
          <w:szCs w:val="24"/>
        </w:rPr>
      </w:pPr>
      <w:r>
        <w:rPr>
          <w:rFonts w:hint="eastAsia" w:ascii="宋体" w:hAnsi="宋体"/>
          <w:sz w:val="24"/>
          <w:szCs w:val="24"/>
        </w:rPr>
        <w:t>漆膜硬度、厚度要求：漆膜硬度≥H，面漆≥35μm，总厚度≥60μm。</w:t>
      </w:r>
    </w:p>
    <w:p w14:paraId="17C15BA5">
      <w:pPr>
        <w:spacing w:line="360" w:lineRule="auto"/>
        <w:ind w:firstLine="480" w:firstLineChars="200"/>
        <w:rPr>
          <w:rFonts w:hint="eastAsia" w:ascii="宋体" w:hAnsi="宋体"/>
          <w:sz w:val="24"/>
          <w:szCs w:val="24"/>
        </w:rPr>
      </w:pPr>
      <w:r>
        <w:rPr>
          <w:rFonts w:hint="eastAsia" w:ascii="宋体" w:hAnsi="宋体"/>
          <w:sz w:val="24"/>
          <w:szCs w:val="24"/>
        </w:rPr>
        <w:t>光泽度：（60°）≥85%，不能出现因为外包方喷涂或者其他操作原因导致的光泽度不合格问题出现。</w:t>
      </w:r>
    </w:p>
    <w:p w14:paraId="6FE5840F">
      <w:pPr>
        <w:spacing w:line="360" w:lineRule="auto"/>
        <w:ind w:firstLine="480" w:firstLineChars="200"/>
        <w:rPr>
          <w:rFonts w:hint="eastAsia" w:ascii="宋体" w:hAnsi="宋体"/>
          <w:sz w:val="24"/>
          <w:szCs w:val="24"/>
        </w:rPr>
      </w:pPr>
      <w:r>
        <w:rPr>
          <w:rFonts w:hint="eastAsia" w:ascii="宋体" w:hAnsi="宋体"/>
          <w:sz w:val="24"/>
          <w:szCs w:val="24"/>
        </w:rPr>
        <w:t>机械性能：柔韧性≤3mm，铅笔硬度≥H，附着力≤1级，杯突≥4mm，冲击强度≥30cm。</w:t>
      </w:r>
    </w:p>
    <w:p w14:paraId="5308195A">
      <w:pPr>
        <w:spacing w:line="360" w:lineRule="auto"/>
        <w:ind w:firstLine="480" w:firstLineChars="200"/>
        <w:rPr>
          <w:rFonts w:hint="eastAsia" w:ascii="宋体" w:hAnsi="宋体"/>
          <w:sz w:val="24"/>
          <w:szCs w:val="24"/>
        </w:rPr>
      </w:pPr>
      <w:r>
        <w:rPr>
          <w:rFonts w:hint="eastAsia" w:ascii="宋体" w:hAnsi="宋体"/>
          <w:sz w:val="24"/>
          <w:szCs w:val="24"/>
        </w:rPr>
        <w:t>色差：ΔE≤1（45°），或者目视无明显差别，不能出现因为外包方喷涂或者其他操作原因导致的色差不合格问题出现。</w:t>
      </w:r>
    </w:p>
    <w:p w14:paraId="78C16CBB">
      <w:pPr>
        <w:spacing w:line="360" w:lineRule="auto"/>
        <w:ind w:firstLine="480" w:firstLineChars="200"/>
        <w:rPr>
          <w:rFonts w:hint="eastAsia" w:ascii="宋体" w:hAnsi="宋体"/>
          <w:sz w:val="24"/>
          <w:szCs w:val="24"/>
        </w:rPr>
      </w:pPr>
      <w:r>
        <w:rPr>
          <w:rFonts w:hint="eastAsia" w:ascii="宋体" w:hAnsi="宋体"/>
          <w:sz w:val="24"/>
          <w:szCs w:val="24"/>
        </w:rPr>
        <w:t>其余耐水性、耐酸性、中性盐雾试验等质量指标要求符合ST3-甲-Q/ZZ21017相关规定。</w:t>
      </w:r>
    </w:p>
    <w:p w14:paraId="2F753660">
      <w:pPr>
        <w:spacing w:line="360" w:lineRule="auto"/>
        <w:ind w:firstLine="480" w:firstLineChars="200"/>
        <w:rPr>
          <w:rFonts w:hint="eastAsia" w:ascii="宋体" w:hAnsi="宋体"/>
          <w:sz w:val="24"/>
          <w:szCs w:val="24"/>
        </w:rPr>
      </w:pPr>
      <w:r>
        <w:rPr>
          <w:rFonts w:hint="eastAsia" w:ascii="宋体" w:hAnsi="宋体"/>
          <w:sz w:val="24"/>
          <w:szCs w:val="24"/>
        </w:rPr>
        <w:t>外包方进行喷涂的产品下线后发现有缺陷，由外包方承担整修，由于外包方原因导致的产品质量返修、点修费用由外包方承担。</w:t>
      </w:r>
    </w:p>
    <w:p w14:paraId="16E85007">
      <w:pPr>
        <w:spacing w:line="360" w:lineRule="auto"/>
        <w:ind w:firstLine="480" w:firstLineChars="200"/>
        <w:rPr>
          <w:rFonts w:hint="eastAsia" w:ascii="宋体" w:hAnsi="宋体"/>
          <w:sz w:val="24"/>
          <w:szCs w:val="24"/>
        </w:rPr>
      </w:pPr>
      <w:r>
        <w:rPr>
          <w:rFonts w:hint="eastAsia" w:ascii="宋体" w:hAnsi="宋体"/>
          <w:sz w:val="24"/>
          <w:szCs w:val="24"/>
        </w:rPr>
        <w:t>13.商用车负责根据控制计划，编制标准作业指导书，负责现场作业指导书的检查和更新，对作业文件的指导操作性及操作符合性进行检查及不断完善，外包方严格执行，商用车车架部对现场作业文件的有效性进行稽查。</w:t>
      </w:r>
    </w:p>
    <w:p w14:paraId="2CAEEE9F">
      <w:pPr>
        <w:spacing w:line="360" w:lineRule="auto"/>
        <w:ind w:firstLine="480" w:firstLineChars="200"/>
        <w:rPr>
          <w:rFonts w:hint="eastAsia" w:ascii="宋体" w:hAnsi="宋体" w:cs="宋体"/>
          <w:sz w:val="24"/>
          <w:szCs w:val="24"/>
        </w:rPr>
      </w:pPr>
      <w:r>
        <w:rPr>
          <w:rFonts w:hint="eastAsia" w:ascii="宋体" w:hAnsi="宋体" w:cs="宋体"/>
          <w:sz w:val="24"/>
          <w:szCs w:val="24"/>
        </w:rPr>
        <w:t>14.对于投标方喷涂过程中存在的问题，依据下述考核办法进行考核。</w:t>
      </w:r>
    </w:p>
    <w:tbl>
      <w:tblPr>
        <w:tblStyle w:val="30"/>
        <w:tblW w:w="9855" w:type="dxa"/>
        <w:jc w:val="center"/>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80"/>
        <w:gridCol w:w="3536"/>
        <w:gridCol w:w="2664"/>
        <w:gridCol w:w="1505"/>
        <w:gridCol w:w="1470"/>
      </w:tblGrid>
      <w:tr w14:paraId="212A0957">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4E050541">
            <w:pPr>
              <w:jc w:val="center"/>
              <w:rPr>
                <w:rFonts w:hint="eastAsia" w:ascii="宋体" w:hAnsi="宋体" w:cs="宋体"/>
                <w:b/>
                <w:bCs/>
                <w:szCs w:val="21"/>
              </w:rPr>
            </w:pPr>
            <w:bookmarkStart w:id="15" w:name="_Hlk71644694"/>
            <w:r>
              <w:rPr>
                <w:rFonts w:hint="eastAsia" w:ascii="宋体" w:hAnsi="宋体" w:cs="宋体"/>
                <w:b/>
                <w:bCs/>
                <w:szCs w:val="21"/>
              </w:rPr>
              <w:t>序号</w:t>
            </w:r>
          </w:p>
        </w:tc>
        <w:tc>
          <w:tcPr>
            <w:tcW w:w="3536" w:type="dxa"/>
            <w:tcBorders>
              <w:top w:val="single" w:color="auto" w:sz="4" w:space="0"/>
              <w:left w:val="single" w:color="auto" w:sz="4" w:space="0"/>
              <w:bottom w:val="single" w:color="auto" w:sz="4" w:space="0"/>
              <w:right w:val="single" w:color="auto" w:sz="4" w:space="0"/>
            </w:tcBorders>
            <w:vAlign w:val="center"/>
          </w:tcPr>
          <w:p w14:paraId="31A770FF">
            <w:pPr>
              <w:jc w:val="center"/>
              <w:rPr>
                <w:rFonts w:hint="eastAsia" w:ascii="宋体" w:hAnsi="宋体" w:cs="宋体"/>
                <w:b/>
                <w:bCs/>
                <w:szCs w:val="21"/>
              </w:rPr>
            </w:pPr>
            <w:r>
              <w:rPr>
                <w:rFonts w:hint="eastAsia" w:ascii="宋体" w:hAnsi="宋体" w:cs="宋体"/>
                <w:b/>
                <w:bCs/>
                <w:szCs w:val="21"/>
              </w:rPr>
              <w:t>考核项目</w:t>
            </w:r>
          </w:p>
        </w:tc>
        <w:tc>
          <w:tcPr>
            <w:tcW w:w="2664" w:type="dxa"/>
            <w:tcBorders>
              <w:top w:val="single" w:color="auto" w:sz="4" w:space="0"/>
              <w:left w:val="single" w:color="auto" w:sz="4" w:space="0"/>
              <w:bottom w:val="single" w:color="auto" w:sz="4" w:space="0"/>
              <w:right w:val="single" w:color="auto" w:sz="4" w:space="0"/>
            </w:tcBorders>
            <w:vAlign w:val="center"/>
          </w:tcPr>
          <w:p w14:paraId="7FA6AD11">
            <w:pPr>
              <w:jc w:val="center"/>
              <w:rPr>
                <w:rFonts w:hint="eastAsia" w:ascii="宋体" w:hAnsi="宋体" w:cs="宋体"/>
                <w:b/>
                <w:bCs/>
                <w:szCs w:val="21"/>
              </w:rPr>
            </w:pPr>
            <w:r>
              <w:rPr>
                <w:rFonts w:hint="eastAsia" w:ascii="宋体" w:hAnsi="宋体" w:cs="宋体"/>
                <w:b/>
                <w:bCs/>
                <w:szCs w:val="21"/>
              </w:rPr>
              <w:t>考核</w:t>
            </w:r>
          </w:p>
        </w:tc>
        <w:tc>
          <w:tcPr>
            <w:tcW w:w="1505" w:type="dxa"/>
            <w:tcBorders>
              <w:top w:val="single" w:color="auto" w:sz="4" w:space="0"/>
              <w:left w:val="single" w:color="auto" w:sz="4" w:space="0"/>
              <w:bottom w:val="single" w:color="auto" w:sz="4" w:space="0"/>
              <w:right w:val="single" w:color="auto" w:sz="4" w:space="0"/>
            </w:tcBorders>
            <w:vAlign w:val="center"/>
          </w:tcPr>
          <w:p w14:paraId="384A5B7D">
            <w:pPr>
              <w:jc w:val="center"/>
              <w:rPr>
                <w:rFonts w:hint="eastAsia" w:ascii="宋体" w:hAnsi="宋体" w:cs="宋体"/>
                <w:b/>
                <w:bCs/>
                <w:szCs w:val="21"/>
              </w:rPr>
            </w:pPr>
            <w:r>
              <w:rPr>
                <w:rFonts w:hint="eastAsia" w:ascii="宋体" w:hAnsi="宋体" w:cs="宋体"/>
                <w:b/>
                <w:bCs/>
                <w:szCs w:val="21"/>
              </w:rPr>
              <w:t>考核周期</w:t>
            </w:r>
          </w:p>
        </w:tc>
        <w:tc>
          <w:tcPr>
            <w:tcW w:w="1470" w:type="dxa"/>
            <w:tcBorders>
              <w:top w:val="single" w:color="auto" w:sz="4" w:space="0"/>
              <w:left w:val="single" w:color="auto" w:sz="4" w:space="0"/>
              <w:bottom w:val="single" w:color="auto" w:sz="4" w:space="0"/>
              <w:right w:val="single" w:color="auto" w:sz="4" w:space="0"/>
            </w:tcBorders>
            <w:vAlign w:val="center"/>
          </w:tcPr>
          <w:p w14:paraId="17A49D0F">
            <w:pPr>
              <w:jc w:val="center"/>
              <w:rPr>
                <w:rFonts w:hint="eastAsia" w:ascii="宋体" w:hAnsi="宋体" w:cs="宋体"/>
                <w:b/>
                <w:bCs/>
                <w:szCs w:val="21"/>
              </w:rPr>
            </w:pPr>
            <w:r>
              <w:rPr>
                <w:rFonts w:hint="eastAsia" w:ascii="宋体" w:hAnsi="宋体" w:cs="宋体"/>
                <w:b/>
                <w:bCs/>
                <w:szCs w:val="21"/>
              </w:rPr>
              <w:t>备注</w:t>
            </w:r>
          </w:p>
        </w:tc>
      </w:tr>
      <w:tr w14:paraId="69D208A5">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113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64B50D9E">
            <w:pPr>
              <w:jc w:val="center"/>
              <w:rPr>
                <w:rFonts w:hint="eastAsia" w:ascii="宋体" w:hAnsi="宋体" w:cs="宋体"/>
                <w:szCs w:val="21"/>
              </w:rPr>
            </w:pPr>
            <w:r>
              <w:rPr>
                <w:rFonts w:hint="eastAsia" w:ascii="宋体" w:hAnsi="宋体" w:cs="宋体"/>
                <w:szCs w:val="21"/>
              </w:rPr>
              <w:t>1</w:t>
            </w:r>
          </w:p>
        </w:tc>
        <w:tc>
          <w:tcPr>
            <w:tcW w:w="3536" w:type="dxa"/>
            <w:tcBorders>
              <w:top w:val="single" w:color="auto" w:sz="4" w:space="0"/>
              <w:left w:val="single" w:color="auto" w:sz="4" w:space="0"/>
              <w:bottom w:val="single" w:color="auto" w:sz="4" w:space="0"/>
              <w:right w:val="single" w:color="auto" w:sz="4" w:space="0"/>
            </w:tcBorders>
            <w:vAlign w:val="center"/>
          </w:tcPr>
          <w:p w14:paraId="10D85D63">
            <w:pPr>
              <w:rPr>
                <w:rFonts w:hint="eastAsia" w:ascii="宋体" w:hAnsi="宋体" w:cs="宋体"/>
                <w:szCs w:val="21"/>
              </w:rPr>
            </w:pPr>
            <w:r>
              <w:rPr>
                <w:rFonts w:hint="eastAsia" w:ascii="宋体" w:hAnsi="宋体" w:cs="宋体"/>
                <w:szCs w:val="21"/>
              </w:rPr>
              <w:t>集团公司产品审核出现质量问题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57836386">
            <w:pPr>
              <w:rPr>
                <w:rFonts w:hint="eastAsia" w:ascii="宋体" w:hAnsi="宋体" w:cs="宋体"/>
                <w:szCs w:val="21"/>
              </w:rPr>
            </w:pPr>
            <w:r>
              <w:rPr>
                <w:rFonts w:hint="eastAsia" w:ascii="宋体" w:hAnsi="宋体" w:cs="宋体"/>
                <w:szCs w:val="21"/>
              </w:rPr>
              <w:t>A类缺陷10000元/项次</w:t>
            </w:r>
          </w:p>
          <w:p w14:paraId="668DED3C">
            <w:pPr>
              <w:rPr>
                <w:rFonts w:hint="eastAsia" w:ascii="宋体" w:hAnsi="宋体" w:cs="宋体"/>
                <w:szCs w:val="21"/>
              </w:rPr>
            </w:pPr>
            <w:r>
              <w:rPr>
                <w:rFonts w:hint="eastAsia" w:ascii="宋体" w:hAnsi="宋体" w:cs="宋体"/>
                <w:szCs w:val="21"/>
              </w:rPr>
              <w:t>B类缺陷2000元/项次</w:t>
            </w:r>
          </w:p>
          <w:p w14:paraId="6DD303AA">
            <w:pPr>
              <w:rPr>
                <w:rFonts w:hint="eastAsia" w:ascii="宋体" w:hAnsi="宋体" w:cs="宋体"/>
                <w:szCs w:val="21"/>
              </w:rPr>
            </w:pPr>
            <w:r>
              <w:rPr>
                <w:rFonts w:hint="eastAsia" w:ascii="宋体" w:hAnsi="宋体" w:cs="宋体"/>
                <w:szCs w:val="21"/>
              </w:rPr>
              <w:t>C类缺陷200-500元/项次</w:t>
            </w:r>
          </w:p>
          <w:p w14:paraId="53408E09">
            <w:pPr>
              <w:rPr>
                <w:rFonts w:hint="eastAsia" w:ascii="宋体" w:hAnsi="宋体" w:cs="宋体"/>
                <w:szCs w:val="21"/>
              </w:rPr>
            </w:pPr>
            <w:r>
              <w:rPr>
                <w:rFonts w:hint="eastAsia" w:ascii="宋体" w:hAnsi="宋体" w:cs="宋体"/>
                <w:szCs w:val="21"/>
              </w:rPr>
              <w:t>D、E不纳入考核</w:t>
            </w:r>
          </w:p>
        </w:tc>
        <w:tc>
          <w:tcPr>
            <w:tcW w:w="1505" w:type="dxa"/>
            <w:tcBorders>
              <w:top w:val="single" w:color="auto" w:sz="4" w:space="0"/>
              <w:left w:val="single" w:color="auto" w:sz="4" w:space="0"/>
              <w:bottom w:val="single" w:color="auto" w:sz="4" w:space="0"/>
              <w:right w:val="single" w:color="auto" w:sz="4" w:space="0"/>
            </w:tcBorders>
            <w:vAlign w:val="center"/>
          </w:tcPr>
          <w:p w14:paraId="6E95E415">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075BDA4A">
            <w:pPr>
              <w:rPr>
                <w:rFonts w:hint="eastAsia" w:ascii="宋体" w:hAnsi="宋体" w:cs="宋体"/>
                <w:szCs w:val="21"/>
              </w:rPr>
            </w:pPr>
          </w:p>
        </w:tc>
      </w:tr>
      <w:tr w14:paraId="19402B91">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113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39A291E3">
            <w:pPr>
              <w:jc w:val="center"/>
              <w:rPr>
                <w:rFonts w:hint="eastAsia" w:ascii="宋体" w:hAnsi="宋体" w:cs="宋体"/>
                <w:szCs w:val="21"/>
              </w:rPr>
            </w:pPr>
            <w:r>
              <w:rPr>
                <w:rFonts w:hint="eastAsia" w:ascii="宋体" w:hAnsi="宋体" w:cs="宋体"/>
                <w:szCs w:val="21"/>
              </w:rPr>
              <w:t>2</w:t>
            </w:r>
          </w:p>
        </w:tc>
        <w:tc>
          <w:tcPr>
            <w:tcW w:w="3536" w:type="dxa"/>
            <w:tcBorders>
              <w:top w:val="single" w:color="auto" w:sz="4" w:space="0"/>
              <w:left w:val="single" w:color="auto" w:sz="4" w:space="0"/>
              <w:bottom w:val="single" w:color="auto" w:sz="4" w:space="0"/>
              <w:right w:val="single" w:color="auto" w:sz="4" w:space="0"/>
            </w:tcBorders>
            <w:vAlign w:val="center"/>
          </w:tcPr>
          <w:p w14:paraId="2CC3732E">
            <w:pPr>
              <w:rPr>
                <w:rFonts w:hint="eastAsia" w:ascii="宋体" w:hAnsi="宋体" w:cs="宋体"/>
                <w:szCs w:val="21"/>
              </w:rPr>
            </w:pPr>
            <w:r>
              <w:rPr>
                <w:rFonts w:hint="eastAsia" w:ascii="宋体" w:hAnsi="宋体" w:cs="宋体"/>
                <w:szCs w:val="21"/>
              </w:rPr>
              <w:t>质量部产品审核出现质量问题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61266AA6">
            <w:pPr>
              <w:rPr>
                <w:rFonts w:hint="eastAsia" w:ascii="宋体" w:hAnsi="宋体" w:cs="宋体"/>
                <w:szCs w:val="21"/>
              </w:rPr>
            </w:pPr>
            <w:r>
              <w:rPr>
                <w:rFonts w:hint="eastAsia" w:ascii="宋体" w:hAnsi="宋体" w:cs="宋体"/>
                <w:szCs w:val="21"/>
              </w:rPr>
              <w:t>A类缺陷10000元/项次</w:t>
            </w:r>
          </w:p>
          <w:p w14:paraId="19D65253">
            <w:pPr>
              <w:rPr>
                <w:rFonts w:hint="eastAsia" w:ascii="宋体" w:hAnsi="宋体" w:cs="宋体"/>
                <w:szCs w:val="21"/>
              </w:rPr>
            </w:pPr>
            <w:r>
              <w:rPr>
                <w:rFonts w:hint="eastAsia" w:ascii="宋体" w:hAnsi="宋体" w:cs="宋体"/>
                <w:szCs w:val="21"/>
              </w:rPr>
              <w:t>B类缺陷2000元/项次</w:t>
            </w:r>
          </w:p>
          <w:p w14:paraId="4E2102D5">
            <w:pPr>
              <w:rPr>
                <w:rFonts w:hint="eastAsia" w:ascii="宋体" w:hAnsi="宋体" w:cs="宋体"/>
                <w:szCs w:val="21"/>
              </w:rPr>
            </w:pPr>
            <w:r>
              <w:rPr>
                <w:rFonts w:hint="eastAsia" w:ascii="宋体" w:hAnsi="宋体" w:cs="宋体"/>
                <w:szCs w:val="21"/>
              </w:rPr>
              <w:t>C类缺陷200元/项次</w:t>
            </w:r>
          </w:p>
          <w:p w14:paraId="6376868F">
            <w:pPr>
              <w:rPr>
                <w:rFonts w:hint="eastAsia" w:ascii="宋体" w:hAnsi="宋体" w:cs="宋体"/>
                <w:szCs w:val="21"/>
              </w:rPr>
            </w:pPr>
            <w:r>
              <w:rPr>
                <w:rFonts w:hint="eastAsia" w:ascii="宋体" w:hAnsi="宋体" w:cs="宋体"/>
                <w:szCs w:val="21"/>
              </w:rPr>
              <w:t>D、E不纳入考核</w:t>
            </w:r>
          </w:p>
        </w:tc>
        <w:tc>
          <w:tcPr>
            <w:tcW w:w="1505" w:type="dxa"/>
            <w:tcBorders>
              <w:top w:val="single" w:color="auto" w:sz="4" w:space="0"/>
              <w:left w:val="single" w:color="auto" w:sz="4" w:space="0"/>
              <w:bottom w:val="single" w:color="auto" w:sz="4" w:space="0"/>
              <w:right w:val="single" w:color="auto" w:sz="4" w:space="0"/>
            </w:tcBorders>
            <w:vAlign w:val="center"/>
          </w:tcPr>
          <w:p w14:paraId="55150C57">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23875121">
            <w:pPr>
              <w:rPr>
                <w:rFonts w:hint="eastAsia" w:ascii="宋体" w:hAnsi="宋体" w:cs="宋体"/>
                <w:szCs w:val="21"/>
              </w:rPr>
            </w:pPr>
          </w:p>
        </w:tc>
      </w:tr>
      <w:tr w14:paraId="2E15B95A">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4DD42594">
            <w:pPr>
              <w:jc w:val="center"/>
              <w:rPr>
                <w:rFonts w:hint="eastAsia" w:ascii="宋体" w:hAnsi="宋体" w:cs="宋体"/>
                <w:szCs w:val="21"/>
              </w:rPr>
            </w:pPr>
            <w:r>
              <w:rPr>
                <w:rFonts w:hint="eastAsia" w:ascii="宋体" w:hAnsi="宋体" w:cs="宋体"/>
                <w:szCs w:val="21"/>
              </w:rPr>
              <w:t>3</w:t>
            </w:r>
          </w:p>
        </w:tc>
        <w:tc>
          <w:tcPr>
            <w:tcW w:w="3536" w:type="dxa"/>
            <w:tcBorders>
              <w:top w:val="single" w:color="auto" w:sz="4" w:space="0"/>
              <w:left w:val="single" w:color="auto" w:sz="4" w:space="0"/>
              <w:bottom w:val="single" w:color="auto" w:sz="4" w:space="0"/>
              <w:right w:val="single" w:color="auto" w:sz="4" w:space="0"/>
            </w:tcBorders>
            <w:vAlign w:val="center"/>
          </w:tcPr>
          <w:p w14:paraId="5EB278AE">
            <w:pPr>
              <w:rPr>
                <w:rFonts w:hint="eastAsia" w:ascii="宋体" w:hAnsi="宋体" w:cs="宋体"/>
                <w:szCs w:val="21"/>
              </w:rPr>
            </w:pPr>
            <w:r>
              <w:rPr>
                <w:rFonts w:hint="eastAsia" w:ascii="宋体" w:hAnsi="宋体" w:cs="宋体"/>
                <w:szCs w:val="21"/>
              </w:rPr>
              <w:t>内部客户反馈质量问题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7FCC83D9">
            <w:pPr>
              <w:rPr>
                <w:rFonts w:hint="eastAsia" w:ascii="宋体" w:hAnsi="宋体" w:cs="宋体"/>
                <w:szCs w:val="21"/>
              </w:rPr>
            </w:pPr>
            <w:r>
              <w:rPr>
                <w:rFonts w:hint="eastAsia" w:ascii="宋体" w:hAnsi="宋体" w:cs="宋体"/>
                <w:szCs w:val="21"/>
              </w:rPr>
              <w:t>100元/项次</w:t>
            </w:r>
          </w:p>
        </w:tc>
        <w:tc>
          <w:tcPr>
            <w:tcW w:w="1505" w:type="dxa"/>
            <w:tcBorders>
              <w:top w:val="single" w:color="auto" w:sz="4" w:space="0"/>
              <w:left w:val="single" w:color="auto" w:sz="4" w:space="0"/>
              <w:bottom w:val="single" w:color="auto" w:sz="4" w:space="0"/>
              <w:right w:val="single" w:color="auto" w:sz="4" w:space="0"/>
            </w:tcBorders>
            <w:vAlign w:val="center"/>
          </w:tcPr>
          <w:p w14:paraId="63EB1776">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4CEFFEFB">
            <w:pPr>
              <w:rPr>
                <w:rFonts w:hint="eastAsia" w:ascii="宋体" w:hAnsi="宋体" w:cs="宋体"/>
                <w:szCs w:val="21"/>
              </w:rPr>
            </w:pPr>
          </w:p>
        </w:tc>
      </w:tr>
      <w:tr w14:paraId="72104F89">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12748731">
            <w:pPr>
              <w:jc w:val="center"/>
              <w:rPr>
                <w:rFonts w:hint="eastAsia" w:ascii="宋体" w:hAnsi="宋体" w:cs="宋体"/>
                <w:szCs w:val="21"/>
              </w:rPr>
            </w:pPr>
            <w:r>
              <w:rPr>
                <w:rFonts w:hint="eastAsia" w:ascii="宋体" w:hAnsi="宋体" w:cs="宋体"/>
                <w:szCs w:val="21"/>
              </w:rPr>
              <w:t>4</w:t>
            </w:r>
          </w:p>
        </w:tc>
        <w:tc>
          <w:tcPr>
            <w:tcW w:w="3536" w:type="dxa"/>
            <w:tcBorders>
              <w:top w:val="single" w:color="auto" w:sz="4" w:space="0"/>
              <w:left w:val="single" w:color="auto" w:sz="4" w:space="0"/>
              <w:bottom w:val="single" w:color="auto" w:sz="4" w:space="0"/>
              <w:right w:val="single" w:color="auto" w:sz="4" w:space="0"/>
            </w:tcBorders>
            <w:vAlign w:val="center"/>
          </w:tcPr>
          <w:p w14:paraId="1B731FF2">
            <w:pPr>
              <w:rPr>
                <w:rFonts w:hint="eastAsia" w:ascii="宋体" w:hAnsi="宋体" w:cs="宋体"/>
                <w:szCs w:val="21"/>
              </w:rPr>
            </w:pPr>
            <w:r>
              <w:rPr>
                <w:rFonts w:hint="eastAsia" w:ascii="宋体" w:hAnsi="宋体" w:cs="宋体"/>
                <w:szCs w:val="21"/>
              </w:rPr>
              <w:t>质量部评审或产品稽查发现质量问题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2A9D42C9">
            <w:pPr>
              <w:rPr>
                <w:rFonts w:hint="eastAsia" w:ascii="宋体" w:hAnsi="宋体" w:cs="宋体"/>
                <w:sz w:val="20"/>
              </w:rPr>
            </w:pPr>
            <w:r>
              <w:rPr>
                <w:rFonts w:hint="eastAsia" w:ascii="宋体" w:hAnsi="宋体" w:cs="宋体"/>
                <w:sz w:val="20"/>
              </w:rPr>
              <w:t>①质量督查、过程巡检发现的问题，未按要求回复整改措施每项考核500-1000元；</w:t>
            </w:r>
          </w:p>
          <w:p w14:paraId="6E17D183">
            <w:pPr>
              <w:rPr>
                <w:rFonts w:hint="eastAsia" w:ascii="宋体" w:hAnsi="宋体" w:cs="宋体"/>
                <w:szCs w:val="21"/>
              </w:rPr>
            </w:pPr>
            <w:r>
              <w:rPr>
                <w:rFonts w:hint="eastAsia" w:ascii="宋体" w:hAnsi="宋体" w:cs="宋体"/>
                <w:sz w:val="20"/>
              </w:rPr>
              <w:t>②重复出现考核部门每项2000元。</w:t>
            </w:r>
          </w:p>
        </w:tc>
        <w:tc>
          <w:tcPr>
            <w:tcW w:w="1505" w:type="dxa"/>
            <w:tcBorders>
              <w:top w:val="single" w:color="auto" w:sz="4" w:space="0"/>
              <w:left w:val="single" w:color="auto" w:sz="4" w:space="0"/>
              <w:bottom w:val="single" w:color="auto" w:sz="4" w:space="0"/>
              <w:right w:val="single" w:color="auto" w:sz="4" w:space="0"/>
            </w:tcBorders>
            <w:vAlign w:val="center"/>
          </w:tcPr>
          <w:p w14:paraId="22CD8D25">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42AC9657">
            <w:pPr>
              <w:rPr>
                <w:rFonts w:hint="eastAsia" w:ascii="宋体" w:hAnsi="宋体" w:cs="宋体"/>
                <w:szCs w:val="21"/>
              </w:rPr>
            </w:pPr>
          </w:p>
        </w:tc>
      </w:tr>
      <w:tr w14:paraId="39DFDE12">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6C822FE">
            <w:pPr>
              <w:jc w:val="center"/>
              <w:rPr>
                <w:rFonts w:hint="eastAsia" w:ascii="宋体" w:hAnsi="宋体" w:cs="宋体"/>
                <w:szCs w:val="21"/>
              </w:rPr>
            </w:pPr>
            <w:r>
              <w:rPr>
                <w:rFonts w:hint="eastAsia" w:ascii="宋体" w:hAnsi="宋体" w:cs="宋体"/>
                <w:szCs w:val="21"/>
              </w:rPr>
              <w:t>5</w:t>
            </w:r>
          </w:p>
        </w:tc>
        <w:tc>
          <w:tcPr>
            <w:tcW w:w="3536" w:type="dxa"/>
            <w:tcBorders>
              <w:top w:val="single" w:color="auto" w:sz="4" w:space="0"/>
              <w:left w:val="single" w:color="auto" w:sz="4" w:space="0"/>
              <w:bottom w:val="single" w:color="auto" w:sz="4" w:space="0"/>
              <w:right w:val="single" w:color="auto" w:sz="4" w:space="0"/>
            </w:tcBorders>
            <w:vAlign w:val="center"/>
          </w:tcPr>
          <w:p w14:paraId="76F35D96">
            <w:pPr>
              <w:rPr>
                <w:rFonts w:hint="eastAsia" w:ascii="宋体" w:hAnsi="宋体" w:cs="宋体"/>
                <w:szCs w:val="21"/>
              </w:rPr>
            </w:pPr>
            <w:r>
              <w:rPr>
                <w:rFonts w:hint="eastAsia" w:ascii="宋体" w:hAnsi="宋体" w:cs="宋体"/>
                <w:szCs w:val="21"/>
              </w:rPr>
              <w:t>因质量体系评定质量部对车架部底盘面漆的考核</w:t>
            </w:r>
          </w:p>
        </w:tc>
        <w:tc>
          <w:tcPr>
            <w:tcW w:w="2664" w:type="dxa"/>
            <w:tcBorders>
              <w:top w:val="single" w:color="auto" w:sz="4" w:space="0"/>
              <w:left w:val="single" w:color="auto" w:sz="4" w:space="0"/>
              <w:bottom w:val="single" w:color="auto" w:sz="4" w:space="0"/>
              <w:right w:val="single" w:color="auto" w:sz="4" w:space="0"/>
            </w:tcBorders>
            <w:vAlign w:val="center"/>
          </w:tcPr>
          <w:p w14:paraId="715A324F">
            <w:pPr>
              <w:rPr>
                <w:sz w:val="20"/>
              </w:rPr>
            </w:pPr>
            <w:r>
              <w:rPr>
                <w:rFonts w:hint="eastAsia"/>
                <w:sz w:val="20"/>
              </w:rPr>
              <w:t>①体系审核发现的不符合项影响公司按计划通过审核的，考核责任单位5000元。</w:t>
            </w:r>
          </w:p>
          <w:p w14:paraId="2C48F36A">
            <w:pPr>
              <w:rPr>
                <w:sz w:val="20"/>
              </w:rPr>
            </w:pPr>
            <w:r>
              <w:rPr>
                <w:rFonts w:hint="eastAsia"/>
                <w:sz w:val="20"/>
              </w:rPr>
              <w:t>②外部审核发现的不符合项未按要求整改关闭，每项次考核2</w:t>
            </w:r>
            <w:r>
              <w:rPr>
                <w:sz w:val="20"/>
              </w:rPr>
              <w:t>000</w:t>
            </w:r>
            <w:r>
              <w:rPr>
                <w:rFonts w:hint="eastAsia"/>
                <w:sz w:val="20"/>
              </w:rPr>
              <w:t>元。</w:t>
            </w:r>
          </w:p>
          <w:p w14:paraId="05AF06F3">
            <w:pPr>
              <w:rPr>
                <w:rFonts w:hint="eastAsia" w:ascii="宋体" w:hAnsi="宋体" w:cs="宋体"/>
                <w:szCs w:val="21"/>
              </w:rPr>
            </w:pPr>
            <w:r>
              <w:rPr>
                <w:rFonts w:hint="eastAsia"/>
                <w:sz w:val="20"/>
              </w:rPr>
              <w:t>③内部审核不合格项未按要求整改关闭，每项次考核责任单位5</w:t>
            </w:r>
            <w:r>
              <w:rPr>
                <w:sz w:val="20"/>
              </w:rPr>
              <w:t>00</w:t>
            </w:r>
            <w:r>
              <w:rPr>
                <w:rFonts w:hint="eastAsia"/>
                <w:sz w:val="20"/>
              </w:rPr>
              <w:t>元。</w:t>
            </w:r>
          </w:p>
        </w:tc>
        <w:tc>
          <w:tcPr>
            <w:tcW w:w="1505" w:type="dxa"/>
            <w:tcBorders>
              <w:top w:val="single" w:color="auto" w:sz="4" w:space="0"/>
              <w:left w:val="single" w:color="auto" w:sz="4" w:space="0"/>
              <w:bottom w:val="single" w:color="auto" w:sz="4" w:space="0"/>
              <w:right w:val="single" w:color="auto" w:sz="4" w:space="0"/>
            </w:tcBorders>
            <w:vAlign w:val="center"/>
          </w:tcPr>
          <w:p w14:paraId="26AA38CC">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6B51BD81">
            <w:pPr>
              <w:rPr>
                <w:rFonts w:hint="eastAsia" w:ascii="宋体" w:hAnsi="宋体" w:cs="宋体"/>
                <w:szCs w:val="21"/>
              </w:rPr>
            </w:pPr>
            <w:r>
              <w:rPr>
                <w:rFonts w:hint="eastAsia" w:ascii="宋体" w:hAnsi="宋体" w:cs="宋体"/>
                <w:szCs w:val="21"/>
              </w:rPr>
              <w:t>外包方原因</w:t>
            </w:r>
          </w:p>
        </w:tc>
      </w:tr>
      <w:tr w14:paraId="105925F5">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48"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5C573B12">
            <w:pPr>
              <w:jc w:val="center"/>
              <w:rPr>
                <w:rFonts w:hint="eastAsia" w:ascii="宋体" w:hAnsi="宋体" w:cs="宋体"/>
                <w:szCs w:val="21"/>
              </w:rPr>
            </w:pPr>
            <w:r>
              <w:rPr>
                <w:rFonts w:hint="eastAsia" w:ascii="宋体" w:hAnsi="宋体" w:cs="宋体"/>
                <w:szCs w:val="21"/>
              </w:rPr>
              <w:t>6</w:t>
            </w:r>
          </w:p>
        </w:tc>
        <w:tc>
          <w:tcPr>
            <w:tcW w:w="3536" w:type="dxa"/>
            <w:tcBorders>
              <w:top w:val="single" w:color="auto" w:sz="4" w:space="0"/>
              <w:left w:val="single" w:color="auto" w:sz="4" w:space="0"/>
              <w:bottom w:val="single" w:color="auto" w:sz="4" w:space="0"/>
              <w:right w:val="single" w:color="auto" w:sz="4" w:space="0"/>
            </w:tcBorders>
            <w:vAlign w:val="center"/>
          </w:tcPr>
          <w:p w14:paraId="1981F5E9">
            <w:pPr>
              <w:rPr>
                <w:rFonts w:hint="eastAsia" w:ascii="宋体" w:hAnsi="宋体" w:cs="宋体"/>
                <w:szCs w:val="21"/>
              </w:rPr>
            </w:pPr>
            <w:r>
              <w:rPr>
                <w:rFonts w:hint="eastAsia" w:ascii="宋体" w:hAnsi="宋体" w:cs="宋体"/>
                <w:szCs w:val="21"/>
              </w:rPr>
              <w:t>产品审核扣分值连续超标</w:t>
            </w:r>
          </w:p>
        </w:tc>
        <w:tc>
          <w:tcPr>
            <w:tcW w:w="2664" w:type="dxa"/>
            <w:tcBorders>
              <w:top w:val="single" w:color="auto" w:sz="4" w:space="0"/>
              <w:left w:val="single" w:color="auto" w:sz="4" w:space="0"/>
              <w:bottom w:val="single" w:color="auto" w:sz="4" w:space="0"/>
              <w:right w:val="single" w:color="auto" w:sz="4" w:space="0"/>
            </w:tcBorders>
            <w:vAlign w:val="center"/>
          </w:tcPr>
          <w:p w14:paraId="29C3B35A">
            <w:pPr>
              <w:rPr>
                <w:rFonts w:hint="eastAsia" w:ascii="宋体" w:hAnsi="宋体" w:cs="宋体"/>
                <w:szCs w:val="21"/>
              </w:rPr>
            </w:pPr>
            <w:r>
              <w:rPr>
                <w:rFonts w:hint="eastAsia" w:ascii="宋体" w:hAnsi="宋体" w:cs="宋体"/>
                <w:szCs w:val="21"/>
              </w:rPr>
              <w:t>前一次考核额度×2</w:t>
            </w:r>
          </w:p>
        </w:tc>
        <w:tc>
          <w:tcPr>
            <w:tcW w:w="1505" w:type="dxa"/>
            <w:tcBorders>
              <w:top w:val="single" w:color="auto" w:sz="4" w:space="0"/>
              <w:left w:val="single" w:color="auto" w:sz="4" w:space="0"/>
              <w:bottom w:val="single" w:color="auto" w:sz="4" w:space="0"/>
              <w:right w:val="single" w:color="auto" w:sz="4" w:space="0"/>
            </w:tcBorders>
            <w:vAlign w:val="center"/>
          </w:tcPr>
          <w:p w14:paraId="53C45704">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2E4B0DB2">
            <w:pPr>
              <w:rPr>
                <w:rFonts w:hint="eastAsia" w:ascii="宋体" w:hAnsi="宋体" w:cs="宋体"/>
                <w:szCs w:val="21"/>
              </w:rPr>
            </w:pPr>
          </w:p>
        </w:tc>
      </w:tr>
      <w:tr w14:paraId="1F84172D">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4711D5A3">
            <w:pPr>
              <w:jc w:val="center"/>
              <w:rPr>
                <w:rFonts w:hint="eastAsia" w:ascii="宋体" w:hAnsi="宋体" w:cs="宋体"/>
                <w:szCs w:val="21"/>
              </w:rPr>
            </w:pPr>
            <w:r>
              <w:rPr>
                <w:rFonts w:hint="eastAsia" w:ascii="宋体" w:hAnsi="宋体" w:cs="宋体"/>
                <w:szCs w:val="21"/>
              </w:rPr>
              <w:t>7</w:t>
            </w:r>
          </w:p>
        </w:tc>
        <w:tc>
          <w:tcPr>
            <w:tcW w:w="3536" w:type="dxa"/>
            <w:tcBorders>
              <w:top w:val="single" w:color="auto" w:sz="4" w:space="0"/>
              <w:left w:val="single" w:color="auto" w:sz="4" w:space="0"/>
              <w:bottom w:val="single" w:color="auto" w:sz="4" w:space="0"/>
              <w:right w:val="single" w:color="auto" w:sz="4" w:space="0"/>
            </w:tcBorders>
            <w:vAlign w:val="center"/>
          </w:tcPr>
          <w:p w14:paraId="123D9972">
            <w:pPr>
              <w:rPr>
                <w:rFonts w:hint="eastAsia" w:ascii="宋体" w:hAnsi="宋体" w:cs="宋体"/>
                <w:szCs w:val="21"/>
              </w:rPr>
            </w:pPr>
            <w:r>
              <w:rPr>
                <w:rFonts w:hint="eastAsia" w:ascii="宋体" w:hAnsi="宋体" w:cs="宋体"/>
                <w:szCs w:val="21"/>
              </w:rPr>
              <w:t>底盘返修率高于5%</w:t>
            </w:r>
          </w:p>
        </w:tc>
        <w:tc>
          <w:tcPr>
            <w:tcW w:w="2664" w:type="dxa"/>
            <w:tcBorders>
              <w:top w:val="single" w:color="auto" w:sz="4" w:space="0"/>
              <w:left w:val="single" w:color="auto" w:sz="4" w:space="0"/>
              <w:bottom w:val="single" w:color="auto" w:sz="4" w:space="0"/>
              <w:right w:val="single" w:color="auto" w:sz="4" w:space="0"/>
            </w:tcBorders>
            <w:vAlign w:val="center"/>
          </w:tcPr>
          <w:p w14:paraId="60346BFA">
            <w:pPr>
              <w:rPr>
                <w:rFonts w:hint="eastAsia" w:ascii="宋体" w:hAnsi="宋体" w:cs="宋体"/>
                <w:szCs w:val="21"/>
              </w:rPr>
            </w:pPr>
            <w:r>
              <w:rPr>
                <w:rFonts w:hint="eastAsia" w:ascii="宋体" w:hAnsi="宋体" w:cs="宋体"/>
                <w:szCs w:val="21"/>
              </w:rPr>
              <w:t>500元/次</w:t>
            </w:r>
          </w:p>
        </w:tc>
        <w:tc>
          <w:tcPr>
            <w:tcW w:w="1505" w:type="dxa"/>
            <w:tcBorders>
              <w:top w:val="single" w:color="auto" w:sz="4" w:space="0"/>
              <w:left w:val="single" w:color="auto" w:sz="4" w:space="0"/>
              <w:bottom w:val="single" w:color="auto" w:sz="4" w:space="0"/>
              <w:right w:val="single" w:color="auto" w:sz="4" w:space="0"/>
            </w:tcBorders>
            <w:vAlign w:val="center"/>
          </w:tcPr>
          <w:p w14:paraId="561F2D30">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05155C57">
            <w:pPr>
              <w:rPr>
                <w:rFonts w:hint="eastAsia" w:ascii="宋体" w:hAnsi="宋体" w:cs="宋体"/>
                <w:szCs w:val="21"/>
              </w:rPr>
            </w:pPr>
            <w:r>
              <w:rPr>
                <w:rFonts w:hint="eastAsia" w:ascii="宋体" w:hAnsi="宋体" w:cs="宋体"/>
                <w:szCs w:val="21"/>
              </w:rPr>
              <w:t>外包方原因</w:t>
            </w:r>
          </w:p>
        </w:tc>
      </w:tr>
      <w:tr w14:paraId="4CA5B675">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979DB36">
            <w:pPr>
              <w:jc w:val="center"/>
              <w:rPr>
                <w:rFonts w:hint="eastAsia" w:ascii="宋体" w:hAnsi="宋体" w:cs="宋体"/>
                <w:szCs w:val="21"/>
              </w:rPr>
            </w:pPr>
            <w:r>
              <w:rPr>
                <w:rFonts w:hint="eastAsia" w:ascii="宋体" w:hAnsi="宋体" w:cs="宋体"/>
                <w:szCs w:val="21"/>
              </w:rPr>
              <w:t>8</w:t>
            </w:r>
          </w:p>
        </w:tc>
        <w:tc>
          <w:tcPr>
            <w:tcW w:w="3536" w:type="dxa"/>
            <w:tcBorders>
              <w:top w:val="single" w:color="auto" w:sz="4" w:space="0"/>
              <w:left w:val="single" w:color="auto" w:sz="4" w:space="0"/>
              <w:bottom w:val="single" w:color="auto" w:sz="4" w:space="0"/>
              <w:right w:val="single" w:color="auto" w:sz="4" w:space="0"/>
            </w:tcBorders>
            <w:vAlign w:val="center"/>
          </w:tcPr>
          <w:p w14:paraId="42DB737E">
            <w:pPr>
              <w:rPr>
                <w:rFonts w:hint="eastAsia" w:ascii="宋体" w:hAnsi="宋体" w:cs="宋体"/>
                <w:szCs w:val="21"/>
              </w:rPr>
            </w:pPr>
            <w:r>
              <w:rPr>
                <w:rFonts w:hint="eastAsia" w:ascii="宋体" w:hAnsi="宋体" w:cs="宋体"/>
                <w:szCs w:val="21"/>
              </w:rPr>
              <w:t>底盘漏检率高于10%</w:t>
            </w:r>
          </w:p>
        </w:tc>
        <w:tc>
          <w:tcPr>
            <w:tcW w:w="2664" w:type="dxa"/>
            <w:tcBorders>
              <w:top w:val="single" w:color="auto" w:sz="4" w:space="0"/>
              <w:left w:val="single" w:color="auto" w:sz="4" w:space="0"/>
              <w:bottom w:val="single" w:color="auto" w:sz="4" w:space="0"/>
              <w:right w:val="single" w:color="auto" w:sz="4" w:space="0"/>
            </w:tcBorders>
            <w:vAlign w:val="center"/>
          </w:tcPr>
          <w:p w14:paraId="77EA908C">
            <w:pPr>
              <w:rPr>
                <w:rFonts w:hint="eastAsia" w:ascii="宋体" w:hAnsi="宋体" w:cs="宋体"/>
                <w:szCs w:val="21"/>
              </w:rPr>
            </w:pPr>
            <w:r>
              <w:rPr>
                <w:rFonts w:hint="eastAsia" w:ascii="宋体" w:hAnsi="宋体" w:cs="宋体"/>
                <w:szCs w:val="21"/>
              </w:rPr>
              <w:t>500元/次</w:t>
            </w:r>
          </w:p>
        </w:tc>
        <w:tc>
          <w:tcPr>
            <w:tcW w:w="1505" w:type="dxa"/>
            <w:tcBorders>
              <w:top w:val="single" w:color="auto" w:sz="4" w:space="0"/>
              <w:left w:val="single" w:color="auto" w:sz="4" w:space="0"/>
              <w:bottom w:val="single" w:color="auto" w:sz="4" w:space="0"/>
              <w:right w:val="single" w:color="auto" w:sz="4" w:space="0"/>
            </w:tcBorders>
            <w:vAlign w:val="center"/>
          </w:tcPr>
          <w:p w14:paraId="7CB83AA6">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42AEF2CF">
            <w:pPr>
              <w:rPr>
                <w:rFonts w:hint="eastAsia" w:ascii="宋体" w:hAnsi="宋体" w:cs="宋体"/>
                <w:szCs w:val="21"/>
              </w:rPr>
            </w:pPr>
          </w:p>
        </w:tc>
      </w:tr>
      <w:tr w14:paraId="0973A3EC">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C557662">
            <w:pPr>
              <w:jc w:val="center"/>
              <w:rPr>
                <w:rFonts w:hint="eastAsia" w:ascii="宋体" w:hAnsi="宋体" w:cs="宋体"/>
                <w:szCs w:val="21"/>
              </w:rPr>
            </w:pPr>
            <w:r>
              <w:rPr>
                <w:rFonts w:hint="eastAsia" w:ascii="宋体" w:hAnsi="宋体" w:cs="宋体"/>
                <w:szCs w:val="21"/>
              </w:rPr>
              <w:t>9</w:t>
            </w:r>
          </w:p>
        </w:tc>
        <w:tc>
          <w:tcPr>
            <w:tcW w:w="3536" w:type="dxa"/>
            <w:tcBorders>
              <w:top w:val="single" w:color="auto" w:sz="4" w:space="0"/>
              <w:left w:val="single" w:color="auto" w:sz="4" w:space="0"/>
              <w:bottom w:val="single" w:color="auto" w:sz="4" w:space="0"/>
              <w:right w:val="single" w:color="auto" w:sz="4" w:space="0"/>
            </w:tcBorders>
            <w:vAlign w:val="center"/>
          </w:tcPr>
          <w:p w14:paraId="45AB32D7">
            <w:pPr>
              <w:rPr>
                <w:rFonts w:hint="eastAsia" w:ascii="宋体" w:hAnsi="宋体" w:cs="宋体"/>
                <w:szCs w:val="21"/>
              </w:rPr>
            </w:pPr>
            <w:r>
              <w:rPr>
                <w:rFonts w:hint="eastAsia" w:ascii="宋体" w:hAnsi="宋体" w:cs="宋体"/>
                <w:szCs w:val="21"/>
              </w:rPr>
              <w:t>车架一次返修不合格</w:t>
            </w:r>
          </w:p>
        </w:tc>
        <w:tc>
          <w:tcPr>
            <w:tcW w:w="2664" w:type="dxa"/>
            <w:tcBorders>
              <w:top w:val="single" w:color="auto" w:sz="4" w:space="0"/>
              <w:left w:val="single" w:color="auto" w:sz="4" w:space="0"/>
              <w:bottom w:val="single" w:color="auto" w:sz="4" w:space="0"/>
              <w:right w:val="single" w:color="auto" w:sz="4" w:space="0"/>
            </w:tcBorders>
            <w:vAlign w:val="center"/>
          </w:tcPr>
          <w:p w14:paraId="53CA4682">
            <w:pPr>
              <w:rPr>
                <w:rFonts w:hint="eastAsia" w:ascii="宋体" w:hAnsi="宋体" w:cs="宋体"/>
                <w:szCs w:val="21"/>
              </w:rPr>
            </w:pPr>
            <w:r>
              <w:rPr>
                <w:rFonts w:hint="eastAsia" w:ascii="宋体" w:hAnsi="宋体" w:cs="宋体"/>
                <w:szCs w:val="21"/>
              </w:rPr>
              <w:t>20-300元/件次</w:t>
            </w:r>
          </w:p>
        </w:tc>
        <w:tc>
          <w:tcPr>
            <w:tcW w:w="1505" w:type="dxa"/>
            <w:tcBorders>
              <w:top w:val="single" w:color="auto" w:sz="4" w:space="0"/>
              <w:left w:val="single" w:color="auto" w:sz="4" w:space="0"/>
              <w:bottom w:val="single" w:color="auto" w:sz="4" w:space="0"/>
              <w:right w:val="single" w:color="auto" w:sz="4" w:space="0"/>
            </w:tcBorders>
            <w:vAlign w:val="center"/>
          </w:tcPr>
          <w:p w14:paraId="11FFD25B">
            <w:pPr>
              <w:rPr>
                <w:rFonts w:hint="eastAsia" w:ascii="宋体" w:hAnsi="宋体" w:cs="宋体"/>
                <w:szCs w:val="21"/>
              </w:rPr>
            </w:pPr>
            <w:r>
              <w:rPr>
                <w:rFonts w:hint="eastAsia" w:ascii="宋体" w:hAnsi="宋体" w:cs="宋体"/>
                <w:szCs w:val="21"/>
              </w:rPr>
              <w:t>月度</w:t>
            </w:r>
          </w:p>
        </w:tc>
        <w:tc>
          <w:tcPr>
            <w:tcW w:w="1470" w:type="dxa"/>
            <w:tcBorders>
              <w:top w:val="single" w:color="auto" w:sz="4" w:space="0"/>
              <w:left w:val="single" w:color="auto" w:sz="4" w:space="0"/>
              <w:bottom w:val="single" w:color="auto" w:sz="4" w:space="0"/>
              <w:right w:val="single" w:color="auto" w:sz="4" w:space="0"/>
            </w:tcBorders>
            <w:vAlign w:val="center"/>
          </w:tcPr>
          <w:p w14:paraId="1E359A78">
            <w:pPr>
              <w:rPr>
                <w:rFonts w:hint="eastAsia" w:ascii="宋体" w:hAnsi="宋体" w:cs="宋体"/>
                <w:szCs w:val="21"/>
              </w:rPr>
            </w:pPr>
            <w:r>
              <w:rPr>
                <w:rFonts w:hint="eastAsia" w:ascii="宋体" w:hAnsi="宋体" w:cs="宋体"/>
                <w:szCs w:val="21"/>
              </w:rPr>
              <w:t>外包方原因</w:t>
            </w:r>
          </w:p>
        </w:tc>
      </w:tr>
      <w:tr w14:paraId="566DC8BE">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34643C4C">
            <w:pPr>
              <w:jc w:val="center"/>
              <w:rPr>
                <w:rFonts w:hint="eastAsia" w:ascii="宋体" w:hAnsi="宋体" w:cs="宋体"/>
                <w:szCs w:val="21"/>
              </w:rPr>
            </w:pPr>
            <w:r>
              <w:rPr>
                <w:rFonts w:hint="eastAsia" w:ascii="宋体" w:hAnsi="宋体" w:cs="宋体"/>
                <w:szCs w:val="21"/>
              </w:rPr>
              <w:t>10</w:t>
            </w:r>
          </w:p>
        </w:tc>
        <w:tc>
          <w:tcPr>
            <w:tcW w:w="3536" w:type="dxa"/>
            <w:tcBorders>
              <w:top w:val="single" w:color="auto" w:sz="4" w:space="0"/>
              <w:left w:val="single" w:color="auto" w:sz="4" w:space="0"/>
              <w:bottom w:val="single" w:color="auto" w:sz="4" w:space="0"/>
              <w:right w:val="single" w:color="auto" w:sz="4" w:space="0"/>
            </w:tcBorders>
            <w:vAlign w:val="center"/>
          </w:tcPr>
          <w:p w14:paraId="046A05DB">
            <w:pPr>
              <w:rPr>
                <w:rFonts w:hint="eastAsia" w:ascii="宋体" w:hAnsi="宋体" w:cs="宋体"/>
                <w:szCs w:val="21"/>
              </w:rPr>
            </w:pPr>
            <w:r>
              <w:rPr>
                <w:rFonts w:hint="eastAsia" w:ascii="宋体" w:hAnsi="宋体" w:cs="宋体"/>
                <w:szCs w:val="21"/>
              </w:rPr>
              <w:t>喷涂原因导致车架一次返修不合格</w:t>
            </w:r>
          </w:p>
        </w:tc>
        <w:tc>
          <w:tcPr>
            <w:tcW w:w="2664" w:type="dxa"/>
            <w:tcBorders>
              <w:top w:val="single" w:color="auto" w:sz="4" w:space="0"/>
              <w:left w:val="single" w:color="auto" w:sz="4" w:space="0"/>
              <w:bottom w:val="single" w:color="auto" w:sz="4" w:space="0"/>
              <w:right w:val="single" w:color="auto" w:sz="4" w:space="0"/>
            </w:tcBorders>
            <w:vAlign w:val="center"/>
          </w:tcPr>
          <w:p w14:paraId="726F58A7">
            <w:pPr>
              <w:rPr>
                <w:rFonts w:hint="eastAsia" w:ascii="宋体" w:hAnsi="宋体" w:cs="宋体"/>
                <w:szCs w:val="21"/>
              </w:rPr>
            </w:pPr>
            <w:r>
              <w:rPr>
                <w:rFonts w:hint="eastAsia" w:ascii="宋体" w:hAnsi="宋体" w:cs="宋体"/>
                <w:szCs w:val="21"/>
              </w:rPr>
              <w:t>100元/件</w:t>
            </w:r>
          </w:p>
        </w:tc>
        <w:tc>
          <w:tcPr>
            <w:tcW w:w="1505" w:type="dxa"/>
            <w:tcBorders>
              <w:top w:val="single" w:color="auto" w:sz="4" w:space="0"/>
              <w:left w:val="single" w:color="auto" w:sz="4" w:space="0"/>
              <w:bottom w:val="single" w:color="auto" w:sz="4" w:space="0"/>
              <w:right w:val="single" w:color="auto" w:sz="4" w:space="0"/>
            </w:tcBorders>
            <w:vAlign w:val="center"/>
          </w:tcPr>
          <w:p w14:paraId="34A9046A">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531B3930">
            <w:pPr>
              <w:rPr>
                <w:rFonts w:hint="eastAsia" w:ascii="宋体" w:hAnsi="宋体" w:cs="宋体"/>
                <w:szCs w:val="21"/>
              </w:rPr>
            </w:pPr>
          </w:p>
        </w:tc>
      </w:tr>
      <w:tr w14:paraId="15D050A3">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4CBB06DA">
            <w:pPr>
              <w:jc w:val="center"/>
              <w:rPr>
                <w:rFonts w:hint="eastAsia" w:ascii="宋体" w:hAnsi="宋体" w:cs="宋体"/>
                <w:szCs w:val="21"/>
              </w:rPr>
            </w:pPr>
            <w:r>
              <w:rPr>
                <w:rFonts w:hint="eastAsia" w:ascii="宋体" w:hAnsi="宋体" w:cs="宋体"/>
                <w:szCs w:val="21"/>
              </w:rPr>
              <w:t>11</w:t>
            </w:r>
          </w:p>
        </w:tc>
        <w:tc>
          <w:tcPr>
            <w:tcW w:w="3536" w:type="dxa"/>
            <w:tcBorders>
              <w:top w:val="single" w:color="auto" w:sz="4" w:space="0"/>
              <w:left w:val="single" w:color="auto" w:sz="4" w:space="0"/>
              <w:bottom w:val="single" w:color="auto" w:sz="4" w:space="0"/>
              <w:right w:val="single" w:color="auto" w:sz="4" w:space="0"/>
            </w:tcBorders>
            <w:vAlign w:val="center"/>
          </w:tcPr>
          <w:p w14:paraId="3E02AD44">
            <w:pPr>
              <w:rPr>
                <w:rFonts w:hint="eastAsia" w:ascii="宋体" w:hAnsi="宋体" w:cs="宋体"/>
                <w:szCs w:val="21"/>
              </w:rPr>
            </w:pPr>
            <w:r>
              <w:rPr>
                <w:rFonts w:hint="eastAsia" w:ascii="宋体" w:hAnsi="宋体" w:cs="宋体"/>
                <w:szCs w:val="21"/>
              </w:rPr>
              <w:t>以上由于返修不合格导致重复返修</w:t>
            </w:r>
          </w:p>
        </w:tc>
        <w:tc>
          <w:tcPr>
            <w:tcW w:w="2664" w:type="dxa"/>
            <w:tcBorders>
              <w:top w:val="single" w:color="auto" w:sz="4" w:space="0"/>
              <w:left w:val="single" w:color="auto" w:sz="4" w:space="0"/>
              <w:bottom w:val="single" w:color="auto" w:sz="4" w:space="0"/>
              <w:right w:val="single" w:color="auto" w:sz="4" w:space="0"/>
            </w:tcBorders>
            <w:vAlign w:val="center"/>
          </w:tcPr>
          <w:p w14:paraId="07BDDBE7">
            <w:pPr>
              <w:rPr>
                <w:rFonts w:hint="eastAsia" w:ascii="宋体" w:hAnsi="宋体" w:cs="宋体"/>
                <w:szCs w:val="21"/>
              </w:rPr>
            </w:pPr>
            <w:r>
              <w:rPr>
                <w:rFonts w:hint="eastAsia" w:ascii="宋体" w:hAnsi="宋体" w:cs="宋体"/>
                <w:szCs w:val="21"/>
              </w:rPr>
              <w:t>前一次考核额度×2</w:t>
            </w:r>
          </w:p>
        </w:tc>
        <w:tc>
          <w:tcPr>
            <w:tcW w:w="1505" w:type="dxa"/>
            <w:tcBorders>
              <w:top w:val="single" w:color="auto" w:sz="4" w:space="0"/>
              <w:left w:val="single" w:color="auto" w:sz="4" w:space="0"/>
              <w:bottom w:val="single" w:color="auto" w:sz="4" w:space="0"/>
              <w:right w:val="single" w:color="auto" w:sz="4" w:space="0"/>
            </w:tcBorders>
            <w:vAlign w:val="center"/>
          </w:tcPr>
          <w:p w14:paraId="19A9EA5D">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2690A32A">
            <w:pPr>
              <w:rPr>
                <w:rFonts w:hint="eastAsia" w:ascii="宋体" w:hAnsi="宋体" w:cs="宋体"/>
                <w:szCs w:val="21"/>
              </w:rPr>
            </w:pPr>
          </w:p>
        </w:tc>
      </w:tr>
      <w:tr w14:paraId="4D967F0E">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85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3B2308A">
            <w:pPr>
              <w:jc w:val="center"/>
              <w:rPr>
                <w:rFonts w:hint="eastAsia" w:ascii="宋体" w:hAnsi="宋体" w:cs="宋体"/>
                <w:szCs w:val="21"/>
              </w:rPr>
            </w:pPr>
            <w:r>
              <w:rPr>
                <w:rFonts w:hint="eastAsia" w:ascii="宋体" w:hAnsi="宋体" w:cs="宋体"/>
                <w:szCs w:val="21"/>
              </w:rPr>
              <w:t>12</w:t>
            </w:r>
          </w:p>
        </w:tc>
        <w:tc>
          <w:tcPr>
            <w:tcW w:w="3536" w:type="dxa"/>
            <w:tcBorders>
              <w:top w:val="single" w:color="auto" w:sz="4" w:space="0"/>
              <w:left w:val="single" w:color="auto" w:sz="4" w:space="0"/>
              <w:bottom w:val="single" w:color="auto" w:sz="4" w:space="0"/>
              <w:right w:val="single" w:color="auto" w:sz="4" w:space="0"/>
            </w:tcBorders>
            <w:vAlign w:val="center"/>
          </w:tcPr>
          <w:p w14:paraId="15FD083C">
            <w:pPr>
              <w:rPr>
                <w:rFonts w:hint="eastAsia" w:ascii="宋体" w:hAnsi="宋体" w:cs="宋体"/>
                <w:szCs w:val="21"/>
              </w:rPr>
            </w:pPr>
            <w:r>
              <w:rPr>
                <w:rFonts w:hint="eastAsia" w:ascii="宋体" w:hAnsi="宋体" w:cs="宋体"/>
                <w:szCs w:val="21"/>
              </w:rPr>
              <w:t>下线产品出现缺漆、露底、遮盖不良、起泡、脱落、生锈、裂纹、针孔等质量问题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2731A111">
            <w:pPr>
              <w:rPr>
                <w:rFonts w:hint="eastAsia" w:ascii="宋体" w:hAnsi="宋体" w:cs="宋体"/>
                <w:szCs w:val="21"/>
              </w:rPr>
            </w:pPr>
            <w:r>
              <w:rPr>
                <w:rFonts w:hint="eastAsia" w:ascii="宋体" w:hAnsi="宋体" w:cs="宋体"/>
                <w:szCs w:val="21"/>
              </w:rPr>
              <w:t>50元/件，</w:t>
            </w:r>
            <w:r>
              <w:rPr>
                <w:rFonts w:hint="eastAsia"/>
                <w:szCs w:val="21"/>
              </w:rPr>
              <w:t>重复发生考核每加倍。</w:t>
            </w:r>
          </w:p>
        </w:tc>
        <w:tc>
          <w:tcPr>
            <w:tcW w:w="1505" w:type="dxa"/>
            <w:tcBorders>
              <w:top w:val="single" w:color="auto" w:sz="4" w:space="0"/>
              <w:left w:val="single" w:color="auto" w:sz="4" w:space="0"/>
              <w:bottom w:val="single" w:color="auto" w:sz="4" w:space="0"/>
              <w:right w:val="single" w:color="auto" w:sz="4" w:space="0"/>
            </w:tcBorders>
            <w:vAlign w:val="center"/>
          </w:tcPr>
          <w:p w14:paraId="35FCD6A7">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3FC39777">
            <w:pPr>
              <w:rPr>
                <w:rFonts w:hint="eastAsia" w:ascii="宋体" w:hAnsi="宋体" w:cs="宋体"/>
                <w:szCs w:val="21"/>
              </w:rPr>
            </w:pPr>
            <w:r>
              <w:rPr>
                <w:rFonts w:hint="eastAsia" w:ascii="宋体" w:hAnsi="宋体" w:cs="宋体"/>
                <w:szCs w:val="21"/>
              </w:rPr>
              <w:t>外包方原因</w:t>
            </w:r>
          </w:p>
        </w:tc>
      </w:tr>
      <w:tr w14:paraId="646B3730">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1951939">
            <w:pPr>
              <w:jc w:val="center"/>
              <w:rPr>
                <w:rFonts w:hint="eastAsia" w:ascii="宋体" w:hAnsi="宋体" w:cs="宋体"/>
                <w:szCs w:val="21"/>
              </w:rPr>
            </w:pPr>
            <w:r>
              <w:rPr>
                <w:rFonts w:hint="eastAsia" w:ascii="宋体" w:hAnsi="宋体" w:cs="宋体"/>
                <w:szCs w:val="21"/>
              </w:rPr>
              <w:t>13</w:t>
            </w:r>
          </w:p>
        </w:tc>
        <w:tc>
          <w:tcPr>
            <w:tcW w:w="3536" w:type="dxa"/>
            <w:tcBorders>
              <w:top w:val="single" w:color="auto" w:sz="4" w:space="0"/>
              <w:left w:val="single" w:color="auto" w:sz="4" w:space="0"/>
              <w:bottom w:val="single" w:color="auto" w:sz="4" w:space="0"/>
              <w:right w:val="single" w:color="auto" w:sz="4" w:space="0"/>
            </w:tcBorders>
            <w:vAlign w:val="center"/>
          </w:tcPr>
          <w:p w14:paraId="6FF57114">
            <w:pPr>
              <w:rPr>
                <w:rFonts w:hint="eastAsia" w:ascii="宋体" w:hAnsi="宋体" w:cs="宋体"/>
                <w:szCs w:val="21"/>
              </w:rPr>
            </w:pPr>
            <w:r>
              <w:rPr>
                <w:rFonts w:hint="eastAsia" w:ascii="宋体" w:hAnsi="宋体" w:cs="宋体"/>
                <w:szCs w:val="21"/>
              </w:rPr>
              <w:t>车架漆膜色差值、光泽度、厚度、桔皮值不符合要求</w:t>
            </w:r>
          </w:p>
        </w:tc>
        <w:tc>
          <w:tcPr>
            <w:tcW w:w="2664" w:type="dxa"/>
            <w:tcBorders>
              <w:top w:val="single" w:color="auto" w:sz="4" w:space="0"/>
              <w:left w:val="single" w:color="auto" w:sz="4" w:space="0"/>
              <w:bottom w:val="single" w:color="auto" w:sz="4" w:space="0"/>
              <w:right w:val="single" w:color="auto" w:sz="4" w:space="0"/>
            </w:tcBorders>
            <w:vAlign w:val="center"/>
          </w:tcPr>
          <w:p w14:paraId="35FFF025">
            <w:pPr>
              <w:rPr>
                <w:rFonts w:hint="eastAsia" w:ascii="宋体" w:hAnsi="宋体" w:cs="宋体"/>
                <w:szCs w:val="21"/>
              </w:rPr>
            </w:pPr>
            <w:r>
              <w:rPr>
                <w:rFonts w:hint="eastAsia" w:ascii="宋体" w:hAnsi="宋体" w:cs="宋体"/>
                <w:szCs w:val="21"/>
              </w:rPr>
              <w:t>50元/件次，</w:t>
            </w:r>
            <w:r>
              <w:rPr>
                <w:rFonts w:hint="eastAsia"/>
                <w:szCs w:val="21"/>
              </w:rPr>
              <w:t>重复发生考核加倍。</w:t>
            </w:r>
          </w:p>
        </w:tc>
        <w:tc>
          <w:tcPr>
            <w:tcW w:w="1505" w:type="dxa"/>
            <w:tcBorders>
              <w:top w:val="single" w:color="auto" w:sz="4" w:space="0"/>
              <w:left w:val="single" w:color="auto" w:sz="4" w:space="0"/>
              <w:bottom w:val="single" w:color="auto" w:sz="4" w:space="0"/>
              <w:right w:val="single" w:color="auto" w:sz="4" w:space="0"/>
            </w:tcBorders>
            <w:vAlign w:val="center"/>
          </w:tcPr>
          <w:p w14:paraId="36AC9A3A">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16A5744C">
            <w:pPr>
              <w:rPr>
                <w:rFonts w:hint="eastAsia" w:ascii="宋体" w:hAnsi="宋体" w:cs="宋体"/>
                <w:szCs w:val="21"/>
              </w:rPr>
            </w:pPr>
            <w:r>
              <w:rPr>
                <w:rFonts w:hint="eastAsia" w:ascii="宋体" w:hAnsi="宋体" w:cs="宋体"/>
                <w:szCs w:val="21"/>
              </w:rPr>
              <w:t>外包方原因</w:t>
            </w:r>
          </w:p>
        </w:tc>
      </w:tr>
      <w:tr w14:paraId="09541060">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0311365">
            <w:pPr>
              <w:jc w:val="center"/>
              <w:rPr>
                <w:rFonts w:hint="eastAsia" w:ascii="宋体" w:hAnsi="宋体" w:cs="宋体"/>
                <w:szCs w:val="21"/>
              </w:rPr>
            </w:pPr>
            <w:r>
              <w:rPr>
                <w:rFonts w:hint="eastAsia" w:ascii="宋体" w:hAnsi="宋体" w:cs="宋体"/>
                <w:szCs w:val="21"/>
              </w:rPr>
              <w:t>14</w:t>
            </w:r>
          </w:p>
        </w:tc>
        <w:tc>
          <w:tcPr>
            <w:tcW w:w="3536" w:type="dxa"/>
            <w:tcBorders>
              <w:top w:val="single" w:color="auto" w:sz="4" w:space="0"/>
              <w:left w:val="single" w:color="auto" w:sz="4" w:space="0"/>
              <w:bottom w:val="single" w:color="auto" w:sz="4" w:space="0"/>
              <w:right w:val="single" w:color="auto" w:sz="4" w:space="0"/>
            </w:tcBorders>
            <w:vAlign w:val="center"/>
          </w:tcPr>
          <w:p w14:paraId="75C1ACD4">
            <w:pPr>
              <w:rPr>
                <w:rFonts w:hint="eastAsia" w:ascii="宋体" w:hAnsi="宋体" w:cs="宋体"/>
                <w:szCs w:val="21"/>
              </w:rPr>
            </w:pPr>
            <w:r>
              <w:rPr>
                <w:rFonts w:hint="eastAsia" w:ascii="宋体" w:hAnsi="宋体" w:cs="宋体"/>
                <w:szCs w:val="21"/>
              </w:rPr>
              <w:t>车架底盘面漆喷涂不平整，虚漆</w:t>
            </w:r>
          </w:p>
        </w:tc>
        <w:tc>
          <w:tcPr>
            <w:tcW w:w="2664" w:type="dxa"/>
            <w:tcBorders>
              <w:top w:val="single" w:color="auto" w:sz="4" w:space="0"/>
              <w:left w:val="single" w:color="auto" w:sz="4" w:space="0"/>
              <w:bottom w:val="single" w:color="auto" w:sz="4" w:space="0"/>
              <w:right w:val="single" w:color="auto" w:sz="4" w:space="0"/>
            </w:tcBorders>
            <w:vAlign w:val="center"/>
          </w:tcPr>
          <w:p w14:paraId="2210487D">
            <w:pPr>
              <w:rPr>
                <w:rFonts w:hint="eastAsia" w:ascii="宋体" w:hAnsi="宋体" w:cs="宋体"/>
                <w:szCs w:val="21"/>
              </w:rPr>
            </w:pPr>
            <w:r>
              <w:rPr>
                <w:rFonts w:hint="eastAsia" w:ascii="宋体" w:hAnsi="宋体" w:cs="宋体"/>
                <w:szCs w:val="21"/>
              </w:rPr>
              <w:t>50元/件次，</w:t>
            </w:r>
            <w:r>
              <w:rPr>
                <w:rFonts w:hint="eastAsia"/>
                <w:szCs w:val="21"/>
              </w:rPr>
              <w:t>重复发生考核加倍。</w:t>
            </w:r>
          </w:p>
        </w:tc>
        <w:tc>
          <w:tcPr>
            <w:tcW w:w="1505" w:type="dxa"/>
            <w:tcBorders>
              <w:top w:val="single" w:color="auto" w:sz="4" w:space="0"/>
              <w:left w:val="single" w:color="auto" w:sz="4" w:space="0"/>
              <w:bottom w:val="single" w:color="auto" w:sz="4" w:space="0"/>
              <w:right w:val="single" w:color="auto" w:sz="4" w:space="0"/>
            </w:tcBorders>
            <w:vAlign w:val="center"/>
          </w:tcPr>
          <w:p w14:paraId="65B9B4DB">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205C2069">
            <w:pPr>
              <w:rPr>
                <w:rFonts w:hint="eastAsia" w:ascii="宋体" w:hAnsi="宋体" w:cs="宋体"/>
                <w:szCs w:val="21"/>
              </w:rPr>
            </w:pPr>
          </w:p>
        </w:tc>
      </w:tr>
      <w:tr w14:paraId="05709099">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904D723">
            <w:pPr>
              <w:jc w:val="center"/>
              <w:rPr>
                <w:rFonts w:hint="eastAsia" w:ascii="宋体" w:hAnsi="宋体" w:cs="宋体"/>
                <w:szCs w:val="21"/>
              </w:rPr>
            </w:pPr>
            <w:r>
              <w:rPr>
                <w:rFonts w:hint="eastAsia" w:ascii="宋体" w:hAnsi="宋体" w:cs="宋体"/>
                <w:szCs w:val="21"/>
              </w:rPr>
              <w:t>15</w:t>
            </w:r>
          </w:p>
        </w:tc>
        <w:tc>
          <w:tcPr>
            <w:tcW w:w="3536" w:type="dxa"/>
            <w:tcBorders>
              <w:top w:val="single" w:color="auto" w:sz="4" w:space="0"/>
              <w:left w:val="single" w:color="auto" w:sz="4" w:space="0"/>
              <w:bottom w:val="single" w:color="auto" w:sz="4" w:space="0"/>
              <w:right w:val="single" w:color="auto" w:sz="4" w:space="0"/>
            </w:tcBorders>
            <w:vAlign w:val="center"/>
          </w:tcPr>
          <w:p w14:paraId="49BE569F">
            <w:pPr>
              <w:rPr>
                <w:rFonts w:hint="eastAsia" w:ascii="宋体" w:hAnsi="宋体" w:cs="宋体"/>
                <w:szCs w:val="21"/>
              </w:rPr>
            </w:pPr>
            <w:r>
              <w:rPr>
                <w:rFonts w:hint="eastAsia" w:ascii="宋体" w:hAnsi="宋体" w:cs="宋体"/>
                <w:szCs w:val="21"/>
              </w:rPr>
              <w:t>由于擦拭不净未能自检反馈，导致出现质量问题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260DE3CF">
            <w:pPr>
              <w:rPr>
                <w:rFonts w:hint="eastAsia" w:ascii="宋体" w:hAnsi="宋体" w:cs="宋体"/>
                <w:szCs w:val="21"/>
              </w:rPr>
            </w:pPr>
            <w:r>
              <w:rPr>
                <w:rFonts w:hint="eastAsia" w:ascii="宋体" w:hAnsi="宋体" w:cs="宋体"/>
                <w:szCs w:val="21"/>
              </w:rPr>
              <w:t>100元/辆次，</w:t>
            </w:r>
            <w:r>
              <w:rPr>
                <w:rFonts w:hint="eastAsia"/>
                <w:szCs w:val="21"/>
              </w:rPr>
              <w:t>重复发生考核加倍。</w:t>
            </w:r>
          </w:p>
        </w:tc>
        <w:tc>
          <w:tcPr>
            <w:tcW w:w="1505" w:type="dxa"/>
            <w:tcBorders>
              <w:top w:val="single" w:color="auto" w:sz="4" w:space="0"/>
              <w:left w:val="single" w:color="auto" w:sz="4" w:space="0"/>
              <w:bottom w:val="single" w:color="auto" w:sz="4" w:space="0"/>
              <w:right w:val="single" w:color="auto" w:sz="4" w:space="0"/>
            </w:tcBorders>
            <w:vAlign w:val="center"/>
          </w:tcPr>
          <w:p w14:paraId="7DE95210">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AFE3628">
            <w:pPr>
              <w:rPr>
                <w:rFonts w:hint="eastAsia" w:ascii="宋体" w:hAnsi="宋体" w:cs="宋体"/>
                <w:szCs w:val="21"/>
              </w:rPr>
            </w:pPr>
          </w:p>
        </w:tc>
      </w:tr>
      <w:tr w14:paraId="561BC07D">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85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4A67FEFE">
            <w:pPr>
              <w:jc w:val="center"/>
              <w:rPr>
                <w:rFonts w:hint="eastAsia" w:ascii="宋体" w:hAnsi="宋体" w:cs="宋体"/>
                <w:szCs w:val="21"/>
              </w:rPr>
            </w:pPr>
            <w:r>
              <w:rPr>
                <w:rFonts w:hint="eastAsia" w:ascii="宋体" w:hAnsi="宋体" w:cs="宋体"/>
                <w:szCs w:val="21"/>
              </w:rPr>
              <w:t>16</w:t>
            </w:r>
          </w:p>
        </w:tc>
        <w:tc>
          <w:tcPr>
            <w:tcW w:w="3536" w:type="dxa"/>
            <w:tcBorders>
              <w:top w:val="single" w:color="auto" w:sz="4" w:space="0"/>
              <w:left w:val="single" w:color="auto" w:sz="4" w:space="0"/>
              <w:bottom w:val="single" w:color="auto" w:sz="4" w:space="0"/>
              <w:right w:val="single" w:color="auto" w:sz="4" w:space="0"/>
            </w:tcBorders>
            <w:vAlign w:val="center"/>
          </w:tcPr>
          <w:p w14:paraId="12AE4612">
            <w:pPr>
              <w:rPr>
                <w:rFonts w:hint="eastAsia" w:ascii="宋体" w:hAnsi="宋体" w:cs="宋体"/>
                <w:szCs w:val="21"/>
              </w:rPr>
            </w:pPr>
            <w:r>
              <w:rPr>
                <w:rFonts w:hint="eastAsia" w:ascii="宋体" w:hAnsi="宋体" w:cs="宋体"/>
                <w:szCs w:val="21"/>
              </w:rPr>
              <w:t>喷涂过程出现工序件质量问题未得到及时修复或者流入下一道工序而影响产品质量</w:t>
            </w:r>
          </w:p>
        </w:tc>
        <w:tc>
          <w:tcPr>
            <w:tcW w:w="2664" w:type="dxa"/>
            <w:tcBorders>
              <w:top w:val="single" w:color="auto" w:sz="4" w:space="0"/>
              <w:left w:val="single" w:color="auto" w:sz="4" w:space="0"/>
              <w:bottom w:val="single" w:color="auto" w:sz="4" w:space="0"/>
              <w:right w:val="single" w:color="auto" w:sz="4" w:space="0"/>
            </w:tcBorders>
            <w:vAlign w:val="center"/>
          </w:tcPr>
          <w:p w14:paraId="42C2D451">
            <w:pPr>
              <w:rPr>
                <w:rFonts w:hint="eastAsia" w:ascii="宋体" w:hAnsi="宋体" w:cs="宋体"/>
                <w:szCs w:val="21"/>
              </w:rPr>
            </w:pPr>
            <w:r>
              <w:rPr>
                <w:rFonts w:hint="eastAsia" w:ascii="宋体" w:hAnsi="宋体" w:cs="宋体"/>
                <w:szCs w:val="21"/>
              </w:rPr>
              <w:t>100元/项次，</w:t>
            </w:r>
            <w:r>
              <w:rPr>
                <w:rFonts w:hint="eastAsia"/>
                <w:szCs w:val="21"/>
              </w:rPr>
              <w:t>重复发生考核加倍。</w:t>
            </w:r>
          </w:p>
        </w:tc>
        <w:tc>
          <w:tcPr>
            <w:tcW w:w="1505" w:type="dxa"/>
            <w:tcBorders>
              <w:top w:val="single" w:color="auto" w:sz="4" w:space="0"/>
              <w:left w:val="single" w:color="auto" w:sz="4" w:space="0"/>
              <w:bottom w:val="single" w:color="auto" w:sz="4" w:space="0"/>
              <w:right w:val="single" w:color="auto" w:sz="4" w:space="0"/>
            </w:tcBorders>
            <w:vAlign w:val="center"/>
          </w:tcPr>
          <w:p w14:paraId="4757EE9C">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13699F95">
            <w:pPr>
              <w:rPr>
                <w:rFonts w:hint="eastAsia" w:ascii="宋体" w:hAnsi="宋体" w:cs="宋体"/>
                <w:szCs w:val="21"/>
              </w:rPr>
            </w:pPr>
          </w:p>
        </w:tc>
      </w:tr>
      <w:tr w14:paraId="462E68F7">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1B45F72">
            <w:pPr>
              <w:jc w:val="center"/>
              <w:rPr>
                <w:rFonts w:hint="eastAsia" w:ascii="宋体" w:hAnsi="宋体" w:cs="宋体"/>
                <w:szCs w:val="21"/>
              </w:rPr>
            </w:pPr>
            <w:r>
              <w:rPr>
                <w:rFonts w:hint="eastAsia" w:ascii="宋体" w:hAnsi="宋体" w:cs="宋体"/>
                <w:szCs w:val="21"/>
              </w:rPr>
              <w:t>17</w:t>
            </w:r>
          </w:p>
        </w:tc>
        <w:tc>
          <w:tcPr>
            <w:tcW w:w="3536" w:type="dxa"/>
            <w:tcBorders>
              <w:top w:val="single" w:color="auto" w:sz="4" w:space="0"/>
              <w:left w:val="single" w:color="auto" w:sz="4" w:space="0"/>
              <w:bottom w:val="single" w:color="auto" w:sz="4" w:space="0"/>
              <w:right w:val="single" w:color="auto" w:sz="4" w:space="0"/>
            </w:tcBorders>
            <w:vAlign w:val="center"/>
          </w:tcPr>
          <w:p w14:paraId="7FBE3854">
            <w:pPr>
              <w:rPr>
                <w:rFonts w:hint="eastAsia" w:ascii="宋体" w:hAnsi="宋体" w:cs="宋体"/>
                <w:szCs w:val="21"/>
              </w:rPr>
            </w:pPr>
            <w:r>
              <w:rPr>
                <w:rFonts w:hint="eastAsia" w:ascii="宋体" w:hAnsi="宋体" w:cs="宋体"/>
                <w:szCs w:val="21"/>
              </w:rPr>
              <w:t>工艺纪律检查不合格</w:t>
            </w:r>
          </w:p>
        </w:tc>
        <w:tc>
          <w:tcPr>
            <w:tcW w:w="2664" w:type="dxa"/>
            <w:tcBorders>
              <w:top w:val="single" w:color="auto" w:sz="4" w:space="0"/>
              <w:left w:val="single" w:color="auto" w:sz="4" w:space="0"/>
              <w:bottom w:val="single" w:color="auto" w:sz="4" w:space="0"/>
              <w:right w:val="single" w:color="auto" w:sz="4" w:space="0"/>
            </w:tcBorders>
            <w:vAlign w:val="center"/>
          </w:tcPr>
          <w:p w14:paraId="3F83FD42">
            <w:pPr>
              <w:rPr>
                <w:rFonts w:hint="eastAsia" w:ascii="宋体" w:hAnsi="宋体" w:cs="宋体"/>
                <w:szCs w:val="21"/>
              </w:rPr>
            </w:pPr>
            <w:r>
              <w:rPr>
                <w:rFonts w:hint="eastAsia" w:ascii="宋体" w:hAnsi="宋体" w:cs="宋体"/>
                <w:szCs w:val="21"/>
              </w:rPr>
              <w:t>200元/项次</w:t>
            </w:r>
          </w:p>
        </w:tc>
        <w:tc>
          <w:tcPr>
            <w:tcW w:w="1505" w:type="dxa"/>
            <w:tcBorders>
              <w:top w:val="single" w:color="auto" w:sz="4" w:space="0"/>
              <w:left w:val="single" w:color="auto" w:sz="4" w:space="0"/>
              <w:bottom w:val="single" w:color="auto" w:sz="4" w:space="0"/>
              <w:right w:val="single" w:color="auto" w:sz="4" w:space="0"/>
            </w:tcBorders>
            <w:vAlign w:val="center"/>
          </w:tcPr>
          <w:p w14:paraId="4597986E">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63BF8A6D">
            <w:pPr>
              <w:rPr>
                <w:rFonts w:hint="eastAsia" w:ascii="宋体" w:hAnsi="宋体" w:cs="宋体"/>
                <w:szCs w:val="21"/>
              </w:rPr>
            </w:pPr>
          </w:p>
        </w:tc>
      </w:tr>
      <w:tr w14:paraId="3273FCE3">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D7D9EBF">
            <w:pPr>
              <w:jc w:val="center"/>
              <w:rPr>
                <w:rFonts w:hint="eastAsia" w:ascii="宋体" w:hAnsi="宋体" w:cs="宋体"/>
                <w:szCs w:val="21"/>
              </w:rPr>
            </w:pPr>
            <w:r>
              <w:rPr>
                <w:rFonts w:hint="eastAsia" w:ascii="宋体" w:hAnsi="宋体" w:cs="宋体"/>
                <w:szCs w:val="21"/>
              </w:rPr>
              <w:t>18</w:t>
            </w:r>
          </w:p>
        </w:tc>
        <w:tc>
          <w:tcPr>
            <w:tcW w:w="3536" w:type="dxa"/>
            <w:tcBorders>
              <w:top w:val="single" w:color="auto" w:sz="4" w:space="0"/>
              <w:left w:val="single" w:color="auto" w:sz="4" w:space="0"/>
              <w:bottom w:val="single" w:color="auto" w:sz="4" w:space="0"/>
              <w:right w:val="single" w:color="auto" w:sz="4" w:space="0"/>
            </w:tcBorders>
            <w:vAlign w:val="center"/>
          </w:tcPr>
          <w:p w14:paraId="57400F7A">
            <w:pPr>
              <w:rPr>
                <w:rFonts w:hint="eastAsia" w:ascii="宋体" w:hAnsi="宋体" w:cs="宋体"/>
                <w:szCs w:val="21"/>
              </w:rPr>
            </w:pPr>
            <w:r>
              <w:rPr>
                <w:rFonts w:hint="eastAsia" w:ascii="宋体" w:hAnsi="宋体" w:cs="宋体"/>
                <w:szCs w:val="21"/>
              </w:rPr>
              <w:t>因清洗喷枪不充分导致面漆出现杂物等缺陷</w:t>
            </w:r>
          </w:p>
        </w:tc>
        <w:tc>
          <w:tcPr>
            <w:tcW w:w="2664" w:type="dxa"/>
            <w:tcBorders>
              <w:top w:val="single" w:color="auto" w:sz="4" w:space="0"/>
              <w:left w:val="single" w:color="auto" w:sz="4" w:space="0"/>
              <w:bottom w:val="single" w:color="auto" w:sz="4" w:space="0"/>
              <w:right w:val="single" w:color="auto" w:sz="4" w:space="0"/>
            </w:tcBorders>
            <w:vAlign w:val="center"/>
          </w:tcPr>
          <w:p w14:paraId="4F9EB288">
            <w:pPr>
              <w:rPr>
                <w:rFonts w:hint="eastAsia" w:ascii="宋体" w:hAnsi="宋体" w:cs="宋体"/>
                <w:szCs w:val="21"/>
              </w:rPr>
            </w:pPr>
            <w:r>
              <w:rPr>
                <w:rFonts w:hint="eastAsia" w:ascii="宋体" w:hAnsi="宋体" w:cs="宋体"/>
                <w:szCs w:val="21"/>
              </w:rPr>
              <w:t>50元/辆次</w:t>
            </w:r>
          </w:p>
        </w:tc>
        <w:tc>
          <w:tcPr>
            <w:tcW w:w="1505" w:type="dxa"/>
            <w:tcBorders>
              <w:top w:val="single" w:color="auto" w:sz="4" w:space="0"/>
              <w:left w:val="single" w:color="auto" w:sz="4" w:space="0"/>
              <w:bottom w:val="single" w:color="auto" w:sz="4" w:space="0"/>
              <w:right w:val="single" w:color="auto" w:sz="4" w:space="0"/>
            </w:tcBorders>
            <w:vAlign w:val="center"/>
          </w:tcPr>
          <w:p w14:paraId="1633E4E0">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5FE01434">
            <w:pPr>
              <w:rPr>
                <w:rFonts w:hint="eastAsia" w:ascii="宋体" w:hAnsi="宋体" w:cs="宋体"/>
                <w:szCs w:val="21"/>
              </w:rPr>
            </w:pPr>
          </w:p>
        </w:tc>
      </w:tr>
      <w:tr w14:paraId="08319C0F">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6B95CD2">
            <w:pPr>
              <w:jc w:val="center"/>
              <w:rPr>
                <w:rFonts w:hint="eastAsia" w:ascii="宋体" w:hAnsi="宋体" w:cs="宋体"/>
                <w:szCs w:val="21"/>
              </w:rPr>
            </w:pPr>
            <w:r>
              <w:rPr>
                <w:rFonts w:hint="eastAsia" w:ascii="宋体" w:hAnsi="宋体" w:cs="宋体"/>
                <w:szCs w:val="21"/>
              </w:rPr>
              <w:t>19</w:t>
            </w:r>
          </w:p>
        </w:tc>
        <w:tc>
          <w:tcPr>
            <w:tcW w:w="3536" w:type="dxa"/>
            <w:tcBorders>
              <w:top w:val="single" w:color="auto" w:sz="4" w:space="0"/>
              <w:left w:val="single" w:color="auto" w:sz="4" w:space="0"/>
              <w:bottom w:val="single" w:color="auto" w:sz="4" w:space="0"/>
              <w:right w:val="single" w:color="auto" w:sz="4" w:space="0"/>
            </w:tcBorders>
            <w:vAlign w:val="center"/>
          </w:tcPr>
          <w:p w14:paraId="302A9B4A">
            <w:pPr>
              <w:rPr>
                <w:rFonts w:hint="eastAsia" w:ascii="宋体" w:hAnsi="宋体" w:cs="宋体"/>
                <w:szCs w:val="21"/>
              </w:rPr>
            </w:pPr>
            <w:r>
              <w:rPr>
                <w:rFonts w:hint="eastAsia" w:ascii="宋体" w:hAnsi="宋体" w:cs="宋体"/>
                <w:szCs w:val="21"/>
              </w:rPr>
              <w:t>因清洗喷枪不充分导致车架批量出现质量问题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6D9425CB">
            <w:pPr>
              <w:rPr>
                <w:rFonts w:hint="eastAsia" w:ascii="宋体" w:hAnsi="宋体" w:cs="宋体"/>
                <w:szCs w:val="21"/>
              </w:rPr>
            </w:pPr>
            <w:r>
              <w:rPr>
                <w:rFonts w:hint="eastAsia" w:ascii="宋体" w:hAnsi="宋体" w:cs="宋体"/>
                <w:szCs w:val="21"/>
              </w:rPr>
              <w:t>500元/批次</w:t>
            </w:r>
          </w:p>
        </w:tc>
        <w:tc>
          <w:tcPr>
            <w:tcW w:w="1505" w:type="dxa"/>
            <w:tcBorders>
              <w:top w:val="single" w:color="auto" w:sz="4" w:space="0"/>
              <w:left w:val="single" w:color="auto" w:sz="4" w:space="0"/>
              <w:bottom w:val="single" w:color="auto" w:sz="4" w:space="0"/>
              <w:right w:val="single" w:color="auto" w:sz="4" w:space="0"/>
            </w:tcBorders>
            <w:vAlign w:val="center"/>
          </w:tcPr>
          <w:p w14:paraId="677ADAA0">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6F220BF5">
            <w:pPr>
              <w:rPr>
                <w:rFonts w:hint="eastAsia" w:ascii="宋体" w:hAnsi="宋体" w:cs="宋体"/>
                <w:szCs w:val="21"/>
              </w:rPr>
            </w:pPr>
          </w:p>
        </w:tc>
      </w:tr>
      <w:tr w14:paraId="0E5D13BD">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107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23CAE35">
            <w:pPr>
              <w:jc w:val="center"/>
              <w:rPr>
                <w:rFonts w:hint="eastAsia" w:ascii="宋体" w:hAnsi="宋体" w:cs="宋体"/>
                <w:szCs w:val="21"/>
              </w:rPr>
            </w:pPr>
            <w:r>
              <w:rPr>
                <w:rFonts w:hint="eastAsia" w:ascii="宋体" w:hAnsi="宋体" w:cs="宋体"/>
                <w:szCs w:val="21"/>
              </w:rPr>
              <w:t>20</w:t>
            </w:r>
          </w:p>
        </w:tc>
        <w:tc>
          <w:tcPr>
            <w:tcW w:w="3536" w:type="dxa"/>
            <w:tcBorders>
              <w:top w:val="single" w:color="auto" w:sz="4" w:space="0"/>
              <w:left w:val="single" w:color="auto" w:sz="4" w:space="0"/>
              <w:bottom w:val="single" w:color="auto" w:sz="4" w:space="0"/>
              <w:right w:val="single" w:color="auto" w:sz="4" w:space="0"/>
            </w:tcBorders>
            <w:vAlign w:val="center"/>
          </w:tcPr>
          <w:p w14:paraId="1CF42164">
            <w:pPr>
              <w:rPr>
                <w:rFonts w:hint="eastAsia" w:ascii="宋体" w:hAnsi="宋体" w:cs="宋体"/>
                <w:szCs w:val="21"/>
              </w:rPr>
            </w:pPr>
            <w:r>
              <w:rPr>
                <w:rFonts w:hint="eastAsia" w:ascii="宋体" w:hAnsi="宋体" w:cs="宋体"/>
                <w:szCs w:val="21"/>
              </w:rPr>
              <w:t>漏检以下内容：漏喷，面漆划伤，流漆，脱落，裂纹，套色边缘不齐，气泡，失光，漏青，腻子疤</w:t>
            </w:r>
          </w:p>
        </w:tc>
        <w:tc>
          <w:tcPr>
            <w:tcW w:w="2664" w:type="dxa"/>
            <w:tcBorders>
              <w:top w:val="single" w:color="auto" w:sz="4" w:space="0"/>
              <w:left w:val="single" w:color="auto" w:sz="4" w:space="0"/>
              <w:bottom w:val="single" w:color="auto" w:sz="4" w:space="0"/>
              <w:right w:val="single" w:color="auto" w:sz="4" w:space="0"/>
            </w:tcBorders>
            <w:vAlign w:val="center"/>
          </w:tcPr>
          <w:p w14:paraId="5CB1AFCD">
            <w:pPr>
              <w:rPr>
                <w:rFonts w:hint="eastAsia" w:ascii="宋体" w:hAnsi="宋体" w:cs="宋体"/>
                <w:szCs w:val="21"/>
              </w:rPr>
            </w:pPr>
            <w:r>
              <w:rPr>
                <w:rFonts w:hint="eastAsia" w:ascii="宋体" w:hAnsi="宋体" w:cs="宋体"/>
                <w:szCs w:val="21"/>
              </w:rPr>
              <w:t>100元/处</w:t>
            </w:r>
          </w:p>
        </w:tc>
        <w:tc>
          <w:tcPr>
            <w:tcW w:w="1505" w:type="dxa"/>
            <w:tcBorders>
              <w:top w:val="single" w:color="auto" w:sz="4" w:space="0"/>
              <w:left w:val="single" w:color="auto" w:sz="4" w:space="0"/>
              <w:bottom w:val="single" w:color="auto" w:sz="4" w:space="0"/>
              <w:right w:val="single" w:color="auto" w:sz="4" w:space="0"/>
            </w:tcBorders>
            <w:vAlign w:val="center"/>
          </w:tcPr>
          <w:p w14:paraId="27B22756">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89BDC3D">
            <w:pPr>
              <w:rPr>
                <w:rFonts w:hint="eastAsia" w:ascii="宋体" w:hAnsi="宋体" w:cs="宋体"/>
                <w:szCs w:val="21"/>
              </w:rPr>
            </w:pPr>
          </w:p>
        </w:tc>
      </w:tr>
      <w:tr w14:paraId="6F2BF847">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3CAEBA4">
            <w:pPr>
              <w:jc w:val="center"/>
              <w:rPr>
                <w:rFonts w:hint="eastAsia" w:ascii="宋体" w:hAnsi="宋体" w:cs="宋体"/>
                <w:szCs w:val="21"/>
              </w:rPr>
            </w:pPr>
            <w:r>
              <w:rPr>
                <w:rFonts w:hint="eastAsia" w:ascii="宋体" w:hAnsi="宋体" w:cs="宋体"/>
                <w:szCs w:val="21"/>
              </w:rPr>
              <w:t>21</w:t>
            </w:r>
          </w:p>
        </w:tc>
        <w:tc>
          <w:tcPr>
            <w:tcW w:w="3536" w:type="dxa"/>
            <w:tcBorders>
              <w:top w:val="single" w:color="auto" w:sz="4" w:space="0"/>
              <w:left w:val="single" w:color="auto" w:sz="4" w:space="0"/>
              <w:bottom w:val="single" w:color="auto" w:sz="4" w:space="0"/>
              <w:right w:val="single" w:color="auto" w:sz="4" w:space="0"/>
            </w:tcBorders>
            <w:vAlign w:val="center"/>
          </w:tcPr>
          <w:p w14:paraId="3ABEABF9">
            <w:pPr>
              <w:rPr>
                <w:rFonts w:hint="eastAsia" w:ascii="宋体" w:hAnsi="宋体" w:cs="宋体"/>
                <w:szCs w:val="21"/>
              </w:rPr>
            </w:pPr>
            <w:r>
              <w:rPr>
                <w:rFonts w:hint="eastAsia" w:ascii="宋体" w:hAnsi="宋体" w:cs="宋体"/>
                <w:szCs w:val="21"/>
              </w:rPr>
              <w:t>漏检以下内容：颗粒，针孔，麻点，漆渣，杂物，手印，纤维</w:t>
            </w:r>
          </w:p>
        </w:tc>
        <w:tc>
          <w:tcPr>
            <w:tcW w:w="2664" w:type="dxa"/>
            <w:tcBorders>
              <w:top w:val="single" w:color="auto" w:sz="4" w:space="0"/>
              <w:left w:val="single" w:color="auto" w:sz="4" w:space="0"/>
              <w:bottom w:val="single" w:color="auto" w:sz="4" w:space="0"/>
              <w:right w:val="single" w:color="auto" w:sz="4" w:space="0"/>
            </w:tcBorders>
            <w:vAlign w:val="center"/>
          </w:tcPr>
          <w:p w14:paraId="3FD84E8B">
            <w:pPr>
              <w:rPr>
                <w:rFonts w:hint="eastAsia" w:ascii="宋体" w:hAnsi="宋体" w:cs="宋体"/>
                <w:szCs w:val="21"/>
              </w:rPr>
            </w:pPr>
            <w:r>
              <w:rPr>
                <w:rFonts w:hint="eastAsia" w:ascii="宋体" w:hAnsi="宋体" w:cs="宋体"/>
                <w:szCs w:val="21"/>
              </w:rPr>
              <w:t>50元/处</w:t>
            </w:r>
          </w:p>
        </w:tc>
        <w:tc>
          <w:tcPr>
            <w:tcW w:w="1505" w:type="dxa"/>
            <w:tcBorders>
              <w:top w:val="single" w:color="auto" w:sz="4" w:space="0"/>
              <w:left w:val="single" w:color="auto" w:sz="4" w:space="0"/>
              <w:bottom w:val="single" w:color="auto" w:sz="4" w:space="0"/>
              <w:right w:val="single" w:color="auto" w:sz="4" w:space="0"/>
            </w:tcBorders>
            <w:vAlign w:val="center"/>
          </w:tcPr>
          <w:p w14:paraId="6849F13A">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7B829E4">
            <w:pPr>
              <w:rPr>
                <w:rFonts w:hint="eastAsia" w:ascii="宋体" w:hAnsi="宋体" w:cs="宋体"/>
                <w:szCs w:val="21"/>
              </w:rPr>
            </w:pPr>
          </w:p>
        </w:tc>
      </w:tr>
      <w:tr w14:paraId="370A853F">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4E09DBA">
            <w:pPr>
              <w:jc w:val="center"/>
              <w:rPr>
                <w:rFonts w:hint="eastAsia" w:ascii="宋体" w:hAnsi="宋体" w:cs="宋体"/>
                <w:szCs w:val="21"/>
              </w:rPr>
            </w:pPr>
            <w:r>
              <w:rPr>
                <w:rFonts w:hint="eastAsia" w:ascii="宋体" w:hAnsi="宋体" w:cs="宋体"/>
                <w:szCs w:val="21"/>
              </w:rPr>
              <w:t>22</w:t>
            </w:r>
          </w:p>
        </w:tc>
        <w:tc>
          <w:tcPr>
            <w:tcW w:w="3536" w:type="dxa"/>
            <w:tcBorders>
              <w:top w:val="single" w:color="auto" w:sz="4" w:space="0"/>
              <w:left w:val="single" w:color="auto" w:sz="4" w:space="0"/>
              <w:bottom w:val="single" w:color="auto" w:sz="4" w:space="0"/>
              <w:right w:val="single" w:color="auto" w:sz="4" w:space="0"/>
            </w:tcBorders>
            <w:vAlign w:val="center"/>
          </w:tcPr>
          <w:p w14:paraId="380FABA2">
            <w:pPr>
              <w:rPr>
                <w:rFonts w:hint="eastAsia" w:ascii="宋体" w:hAnsi="宋体" w:cs="宋体"/>
                <w:szCs w:val="21"/>
              </w:rPr>
            </w:pPr>
            <w:r>
              <w:rPr>
                <w:rFonts w:hint="eastAsia" w:ascii="宋体" w:hAnsi="宋体" w:cs="宋体"/>
                <w:szCs w:val="21"/>
              </w:rPr>
              <w:t>一次下线的工件，出现非油漆质量问题引起的色差</w:t>
            </w:r>
          </w:p>
        </w:tc>
        <w:tc>
          <w:tcPr>
            <w:tcW w:w="2664" w:type="dxa"/>
            <w:tcBorders>
              <w:top w:val="single" w:color="auto" w:sz="4" w:space="0"/>
              <w:left w:val="single" w:color="auto" w:sz="4" w:space="0"/>
              <w:bottom w:val="single" w:color="auto" w:sz="4" w:space="0"/>
              <w:right w:val="single" w:color="auto" w:sz="4" w:space="0"/>
            </w:tcBorders>
            <w:vAlign w:val="center"/>
          </w:tcPr>
          <w:p w14:paraId="4C382F22">
            <w:pPr>
              <w:rPr>
                <w:rFonts w:hint="eastAsia" w:ascii="宋体" w:hAnsi="宋体" w:cs="宋体"/>
                <w:szCs w:val="21"/>
              </w:rPr>
            </w:pPr>
            <w:r>
              <w:rPr>
                <w:rFonts w:hint="eastAsia" w:ascii="宋体" w:hAnsi="宋体" w:cs="宋体"/>
                <w:szCs w:val="21"/>
              </w:rPr>
              <w:t>200元/件次</w:t>
            </w:r>
          </w:p>
        </w:tc>
        <w:tc>
          <w:tcPr>
            <w:tcW w:w="1505" w:type="dxa"/>
            <w:tcBorders>
              <w:top w:val="single" w:color="auto" w:sz="4" w:space="0"/>
              <w:left w:val="single" w:color="auto" w:sz="4" w:space="0"/>
              <w:bottom w:val="single" w:color="auto" w:sz="4" w:space="0"/>
              <w:right w:val="single" w:color="auto" w:sz="4" w:space="0"/>
            </w:tcBorders>
            <w:vAlign w:val="center"/>
          </w:tcPr>
          <w:p w14:paraId="2274F78E">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C49D202">
            <w:pPr>
              <w:rPr>
                <w:rFonts w:hint="eastAsia" w:ascii="宋体" w:hAnsi="宋体" w:cs="宋体"/>
                <w:szCs w:val="21"/>
              </w:rPr>
            </w:pPr>
          </w:p>
        </w:tc>
      </w:tr>
      <w:tr w14:paraId="77AEADD4">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85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9A698BB">
            <w:pPr>
              <w:jc w:val="center"/>
              <w:rPr>
                <w:rFonts w:hint="eastAsia" w:ascii="宋体" w:hAnsi="宋体" w:cs="宋体"/>
                <w:szCs w:val="21"/>
              </w:rPr>
            </w:pPr>
            <w:r>
              <w:rPr>
                <w:rFonts w:hint="eastAsia" w:ascii="宋体" w:hAnsi="宋体" w:cs="宋体"/>
                <w:szCs w:val="21"/>
              </w:rPr>
              <w:t>23</w:t>
            </w:r>
          </w:p>
        </w:tc>
        <w:tc>
          <w:tcPr>
            <w:tcW w:w="3536" w:type="dxa"/>
            <w:tcBorders>
              <w:top w:val="single" w:color="auto" w:sz="4" w:space="0"/>
              <w:left w:val="single" w:color="auto" w:sz="4" w:space="0"/>
              <w:bottom w:val="single" w:color="auto" w:sz="4" w:space="0"/>
              <w:right w:val="single" w:color="auto" w:sz="4" w:space="0"/>
            </w:tcBorders>
            <w:vAlign w:val="center"/>
          </w:tcPr>
          <w:p w14:paraId="773E056A">
            <w:pPr>
              <w:rPr>
                <w:rFonts w:hint="eastAsia" w:ascii="宋体" w:hAnsi="宋体" w:cs="宋体"/>
                <w:szCs w:val="21"/>
              </w:rPr>
            </w:pPr>
            <w:r>
              <w:rPr>
                <w:rFonts w:hint="eastAsia" w:ascii="宋体" w:hAnsi="宋体" w:cs="宋体"/>
                <w:szCs w:val="21"/>
              </w:rPr>
              <w:t>点修不合格或点修不及时的质量问题，导致耽误生产进度或总装停线</w:t>
            </w:r>
          </w:p>
        </w:tc>
        <w:tc>
          <w:tcPr>
            <w:tcW w:w="2664" w:type="dxa"/>
            <w:tcBorders>
              <w:top w:val="single" w:color="auto" w:sz="4" w:space="0"/>
              <w:left w:val="single" w:color="auto" w:sz="4" w:space="0"/>
              <w:bottom w:val="single" w:color="auto" w:sz="4" w:space="0"/>
              <w:right w:val="single" w:color="auto" w:sz="4" w:space="0"/>
            </w:tcBorders>
            <w:vAlign w:val="center"/>
          </w:tcPr>
          <w:p w14:paraId="2162984A">
            <w:pPr>
              <w:rPr>
                <w:rFonts w:hint="eastAsia" w:ascii="宋体" w:hAnsi="宋体" w:cs="宋体"/>
                <w:szCs w:val="21"/>
              </w:rPr>
            </w:pPr>
            <w:r>
              <w:rPr>
                <w:rFonts w:hint="eastAsia" w:ascii="宋体" w:hAnsi="宋体" w:cs="宋体"/>
                <w:szCs w:val="21"/>
              </w:rPr>
              <w:t>500元/件次</w:t>
            </w:r>
          </w:p>
        </w:tc>
        <w:tc>
          <w:tcPr>
            <w:tcW w:w="1505" w:type="dxa"/>
            <w:tcBorders>
              <w:top w:val="single" w:color="auto" w:sz="4" w:space="0"/>
              <w:left w:val="single" w:color="auto" w:sz="4" w:space="0"/>
              <w:bottom w:val="single" w:color="auto" w:sz="4" w:space="0"/>
              <w:right w:val="single" w:color="auto" w:sz="4" w:space="0"/>
            </w:tcBorders>
            <w:vAlign w:val="center"/>
          </w:tcPr>
          <w:p w14:paraId="5E790E32">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652280A9">
            <w:pPr>
              <w:rPr>
                <w:rFonts w:hint="eastAsia" w:ascii="宋体" w:hAnsi="宋体" w:cs="宋体"/>
                <w:szCs w:val="21"/>
              </w:rPr>
            </w:pPr>
          </w:p>
        </w:tc>
      </w:tr>
      <w:tr w14:paraId="3D275F83">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34FA770">
            <w:pPr>
              <w:jc w:val="center"/>
              <w:rPr>
                <w:rFonts w:hint="eastAsia" w:ascii="宋体" w:hAnsi="宋体" w:cs="宋体"/>
                <w:szCs w:val="21"/>
              </w:rPr>
            </w:pPr>
            <w:r>
              <w:rPr>
                <w:rFonts w:hint="eastAsia" w:ascii="宋体" w:hAnsi="宋体" w:cs="宋体"/>
                <w:szCs w:val="21"/>
              </w:rPr>
              <w:t>24</w:t>
            </w:r>
          </w:p>
        </w:tc>
        <w:tc>
          <w:tcPr>
            <w:tcW w:w="3536" w:type="dxa"/>
            <w:tcBorders>
              <w:top w:val="single" w:color="auto" w:sz="4" w:space="0"/>
              <w:left w:val="single" w:color="auto" w:sz="4" w:space="0"/>
              <w:bottom w:val="single" w:color="auto" w:sz="4" w:space="0"/>
              <w:right w:val="single" w:color="auto" w:sz="4" w:space="0"/>
            </w:tcBorders>
            <w:vAlign w:val="center"/>
          </w:tcPr>
          <w:p w14:paraId="21D72C43">
            <w:pPr>
              <w:rPr>
                <w:rFonts w:hint="eastAsia" w:ascii="宋体" w:hAnsi="宋体" w:cs="宋体"/>
                <w:szCs w:val="21"/>
              </w:rPr>
            </w:pPr>
            <w:r>
              <w:rPr>
                <w:rFonts w:hint="eastAsia" w:ascii="宋体" w:hAnsi="宋体" w:cs="宋体"/>
                <w:szCs w:val="21"/>
              </w:rPr>
              <w:t>生产现场服务不到位</w:t>
            </w:r>
          </w:p>
        </w:tc>
        <w:tc>
          <w:tcPr>
            <w:tcW w:w="2664" w:type="dxa"/>
            <w:tcBorders>
              <w:top w:val="single" w:color="auto" w:sz="4" w:space="0"/>
              <w:left w:val="single" w:color="auto" w:sz="4" w:space="0"/>
              <w:bottom w:val="single" w:color="auto" w:sz="4" w:space="0"/>
              <w:right w:val="single" w:color="auto" w:sz="4" w:space="0"/>
            </w:tcBorders>
            <w:vAlign w:val="center"/>
          </w:tcPr>
          <w:p w14:paraId="56C9BF23">
            <w:pPr>
              <w:rPr>
                <w:rFonts w:hint="eastAsia" w:ascii="宋体" w:hAnsi="宋体" w:cs="宋体"/>
                <w:szCs w:val="21"/>
              </w:rPr>
            </w:pPr>
            <w:r>
              <w:rPr>
                <w:rFonts w:hint="eastAsia" w:ascii="宋体" w:hAnsi="宋体" w:cs="宋体"/>
                <w:szCs w:val="21"/>
              </w:rPr>
              <w:t>2000元/次</w:t>
            </w:r>
          </w:p>
        </w:tc>
        <w:tc>
          <w:tcPr>
            <w:tcW w:w="1505" w:type="dxa"/>
            <w:tcBorders>
              <w:top w:val="single" w:color="auto" w:sz="4" w:space="0"/>
              <w:left w:val="single" w:color="auto" w:sz="4" w:space="0"/>
              <w:bottom w:val="single" w:color="auto" w:sz="4" w:space="0"/>
              <w:right w:val="single" w:color="auto" w:sz="4" w:space="0"/>
            </w:tcBorders>
            <w:vAlign w:val="center"/>
          </w:tcPr>
          <w:p w14:paraId="14B6866C">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394F9582">
            <w:pPr>
              <w:rPr>
                <w:rFonts w:hint="eastAsia" w:ascii="宋体" w:hAnsi="宋体" w:cs="宋体"/>
                <w:szCs w:val="21"/>
              </w:rPr>
            </w:pPr>
          </w:p>
        </w:tc>
      </w:tr>
      <w:tr w14:paraId="600A716A">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2A8802C7">
            <w:pPr>
              <w:jc w:val="center"/>
              <w:rPr>
                <w:rFonts w:hint="eastAsia" w:ascii="宋体" w:hAnsi="宋体" w:cs="宋体"/>
                <w:szCs w:val="21"/>
              </w:rPr>
            </w:pPr>
            <w:r>
              <w:rPr>
                <w:rFonts w:hint="eastAsia" w:ascii="宋体" w:hAnsi="宋体" w:cs="宋体"/>
                <w:szCs w:val="21"/>
              </w:rPr>
              <w:t>25</w:t>
            </w:r>
          </w:p>
        </w:tc>
        <w:tc>
          <w:tcPr>
            <w:tcW w:w="3536" w:type="dxa"/>
            <w:tcBorders>
              <w:top w:val="single" w:color="auto" w:sz="4" w:space="0"/>
              <w:left w:val="single" w:color="auto" w:sz="4" w:space="0"/>
              <w:bottom w:val="single" w:color="auto" w:sz="4" w:space="0"/>
              <w:right w:val="single" w:color="auto" w:sz="4" w:space="0"/>
            </w:tcBorders>
            <w:vAlign w:val="center"/>
          </w:tcPr>
          <w:p w14:paraId="3EDF4C22">
            <w:pPr>
              <w:rPr>
                <w:rFonts w:hint="eastAsia" w:ascii="宋体" w:hAnsi="宋体" w:cs="宋体"/>
                <w:szCs w:val="21"/>
              </w:rPr>
            </w:pPr>
            <w:r>
              <w:rPr>
                <w:rFonts w:hint="eastAsia" w:ascii="宋体" w:hAnsi="宋体" w:cs="宋体"/>
                <w:szCs w:val="21"/>
              </w:rPr>
              <w:t>质量信息反馈回复不及时</w:t>
            </w:r>
          </w:p>
        </w:tc>
        <w:tc>
          <w:tcPr>
            <w:tcW w:w="2664" w:type="dxa"/>
            <w:tcBorders>
              <w:top w:val="single" w:color="auto" w:sz="4" w:space="0"/>
              <w:left w:val="single" w:color="auto" w:sz="4" w:space="0"/>
              <w:bottom w:val="single" w:color="auto" w:sz="4" w:space="0"/>
              <w:right w:val="single" w:color="auto" w:sz="4" w:space="0"/>
            </w:tcBorders>
            <w:vAlign w:val="center"/>
          </w:tcPr>
          <w:p w14:paraId="177884E7">
            <w:pPr>
              <w:rPr>
                <w:rFonts w:hint="eastAsia" w:ascii="宋体" w:hAnsi="宋体" w:cs="宋体"/>
                <w:szCs w:val="21"/>
              </w:rPr>
            </w:pPr>
            <w:r>
              <w:rPr>
                <w:rFonts w:hint="eastAsia" w:ascii="宋体" w:hAnsi="宋体" w:cs="宋体"/>
                <w:szCs w:val="21"/>
              </w:rPr>
              <w:t>1000元/次</w:t>
            </w:r>
          </w:p>
        </w:tc>
        <w:tc>
          <w:tcPr>
            <w:tcW w:w="1505" w:type="dxa"/>
            <w:tcBorders>
              <w:top w:val="single" w:color="auto" w:sz="4" w:space="0"/>
              <w:left w:val="single" w:color="auto" w:sz="4" w:space="0"/>
              <w:bottom w:val="single" w:color="auto" w:sz="4" w:space="0"/>
              <w:right w:val="single" w:color="auto" w:sz="4" w:space="0"/>
            </w:tcBorders>
            <w:vAlign w:val="center"/>
          </w:tcPr>
          <w:p w14:paraId="058F4F83">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65EA13E7">
            <w:pPr>
              <w:rPr>
                <w:rFonts w:hint="eastAsia" w:ascii="宋体" w:hAnsi="宋体" w:cs="宋体"/>
                <w:szCs w:val="21"/>
              </w:rPr>
            </w:pPr>
          </w:p>
        </w:tc>
      </w:tr>
      <w:tr w14:paraId="03CCCFA8">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0BADC9F3">
            <w:pPr>
              <w:jc w:val="center"/>
              <w:rPr>
                <w:rFonts w:hint="eastAsia" w:ascii="宋体" w:hAnsi="宋体" w:cs="宋体"/>
                <w:szCs w:val="21"/>
              </w:rPr>
            </w:pPr>
            <w:r>
              <w:rPr>
                <w:rFonts w:hint="eastAsia" w:ascii="宋体" w:hAnsi="宋体" w:cs="宋体"/>
                <w:szCs w:val="21"/>
              </w:rPr>
              <w:t>26</w:t>
            </w:r>
          </w:p>
        </w:tc>
        <w:tc>
          <w:tcPr>
            <w:tcW w:w="3536" w:type="dxa"/>
            <w:tcBorders>
              <w:top w:val="single" w:color="auto" w:sz="4" w:space="0"/>
              <w:left w:val="single" w:color="auto" w:sz="4" w:space="0"/>
              <w:bottom w:val="single" w:color="auto" w:sz="4" w:space="0"/>
              <w:right w:val="single" w:color="auto" w:sz="4" w:space="0"/>
            </w:tcBorders>
            <w:vAlign w:val="center"/>
          </w:tcPr>
          <w:p w14:paraId="25292BF9">
            <w:pPr>
              <w:rPr>
                <w:rFonts w:hint="eastAsia" w:ascii="宋体" w:hAnsi="宋体" w:cs="宋体"/>
                <w:szCs w:val="21"/>
              </w:rPr>
            </w:pPr>
            <w:r>
              <w:rPr>
                <w:rFonts w:hint="eastAsia" w:ascii="宋体" w:hAnsi="宋体" w:cs="宋体"/>
                <w:szCs w:val="21"/>
              </w:rPr>
              <w:t>质量问题整改措施验证无效</w:t>
            </w:r>
          </w:p>
        </w:tc>
        <w:tc>
          <w:tcPr>
            <w:tcW w:w="2664" w:type="dxa"/>
            <w:tcBorders>
              <w:top w:val="single" w:color="auto" w:sz="4" w:space="0"/>
              <w:left w:val="single" w:color="auto" w:sz="4" w:space="0"/>
              <w:bottom w:val="single" w:color="auto" w:sz="4" w:space="0"/>
              <w:right w:val="single" w:color="auto" w:sz="4" w:space="0"/>
            </w:tcBorders>
            <w:vAlign w:val="center"/>
          </w:tcPr>
          <w:p w14:paraId="3788A7E1">
            <w:pPr>
              <w:rPr>
                <w:rFonts w:hint="eastAsia" w:ascii="宋体" w:hAnsi="宋体" w:cs="宋体"/>
                <w:szCs w:val="21"/>
              </w:rPr>
            </w:pPr>
            <w:r>
              <w:rPr>
                <w:rFonts w:hint="eastAsia" w:ascii="宋体" w:hAnsi="宋体" w:cs="宋体"/>
                <w:szCs w:val="21"/>
              </w:rPr>
              <w:t>1000元/次</w:t>
            </w:r>
          </w:p>
        </w:tc>
        <w:tc>
          <w:tcPr>
            <w:tcW w:w="1505" w:type="dxa"/>
            <w:tcBorders>
              <w:top w:val="single" w:color="auto" w:sz="4" w:space="0"/>
              <w:left w:val="single" w:color="auto" w:sz="4" w:space="0"/>
              <w:bottom w:val="single" w:color="auto" w:sz="4" w:space="0"/>
              <w:right w:val="single" w:color="auto" w:sz="4" w:space="0"/>
            </w:tcBorders>
            <w:vAlign w:val="center"/>
          </w:tcPr>
          <w:p w14:paraId="109D33F7">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9DF3A4F">
            <w:pPr>
              <w:rPr>
                <w:rFonts w:hint="eastAsia" w:ascii="宋体" w:hAnsi="宋体" w:cs="宋体"/>
                <w:szCs w:val="21"/>
              </w:rPr>
            </w:pPr>
          </w:p>
        </w:tc>
      </w:tr>
      <w:tr w14:paraId="26900891">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63470352">
            <w:pPr>
              <w:jc w:val="center"/>
              <w:rPr>
                <w:rFonts w:hint="eastAsia" w:ascii="宋体" w:hAnsi="宋体" w:cs="宋体"/>
                <w:szCs w:val="21"/>
              </w:rPr>
            </w:pPr>
            <w:r>
              <w:rPr>
                <w:rFonts w:hint="eastAsia" w:ascii="宋体" w:hAnsi="宋体" w:cs="宋体"/>
                <w:szCs w:val="21"/>
              </w:rPr>
              <w:t>27</w:t>
            </w:r>
          </w:p>
        </w:tc>
        <w:tc>
          <w:tcPr>
            <w:tcW w:w="3536" w:type="dxa"/>
            <w:tcBorders>
              <w:top w:val="single" w:color="auto" w:sz="4" w:space="0"/>
              <w:left w:val="single" w:color="auto" w:sz="4" w:space="0"/>
              <w:bottom w:val="single" w:color="auto" w:sz="4" w:space="0"/>
              <w:right w:val="single" w:color="auto" w:sz="4" w:space="0"/>
            </w:tcBorders>
            <w:vAlign w:val="center"/>
          </w:tcPr>
          <w:p w14:paraId="36574FD5">
            <w:pPr>
              <w:rPr>
                <w:rFonts w:hint="eastAsia" w:ascii="宋体" w:hAnsi="宋体" w:cs="宋体"/>
                <w:szCs w:val="21"/>
              </w:rPr>
            </w:pPr>
            <w:r>
              <w:rPr>
                <w:rFonts w:hint="eastAsia" w:ascii="宋体" w:hAnsi="宋体" w:cs="宋体"/>
                <w:szCs w:val="21"/>
              </w:rPr>
              <w:t>以上3项问题重复出现</w:t>
            </w:r>
          </w:p>
        </w:tc>
        <w:tc>
          <w:tcPr>
            <w:tcW w:w="2664" w:type="dxa"/>
            <w:tcBorders>
              <w:top w:val="single" w:color="auto" w:sz="4" w:space="0"/>
              <w:left w:val="single" w:color="auto" w:sz="4" w:space="0"/>
              <w:bottom w:val="single" w:color="auto" w:sz="4" w:space="0"/>
              <w:right w:val="single" w:color="auto" w:sz="4" w:space="0"/>
            </w:tcBorders>
            <w:vAlign w:val="center"/>
          </w:tcPr>
          <w:p w14:paraId="4E9E7F8F">
            <w:pPr>
              <w:rPr>
                <w:rFonts w:hint="eastAsia" w:ascii="宋体" w:hAnsi="宋体" w:cs="宋体"/>
                <w:szCs w:val="21"/>
              </w:rPr>
            </w:pPr>
            <w:r>
              <w:rPr>
                <w:rFonts w:hint="eastAsia" w:ascii="宋体" w:hAnsi="宋体" w:cs="宋体"/>
                <w:szCs w:val="21"/>
              </w:rPr>
              <w:t>前一次考核额度×2</w:t>
            </w:r>
          </w:p>
        </w:tc>
        <w:tc>
          <w:tcPr>
            <w:tcW w:w="1505" w:type="dxa"/>
            <w:tcBorders>
              <w:top w:val="single" w:color="auto" w:sz="4" w:space="0"/>
              <w:left w:val="single" w:color="auto" w:sz="4" w:space="0"/>
              <w:bottom w:val="single" w:color="auto" w:sz="4" w:space="0"/>
              <w:right w:val="single" w:color="auto" w:sz="4" w:space="0"/>
            </w:tcBorders>
            <w:vAlign w:val="center"/>
          </w:tcPr>
          <w:p w14:paraId="31908158">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0FBED221">
            <w:pPr>
              <w:rPr>
                <w:rFonts w:hint="eastAsia" w:ascii="宋体" w:hAnsi="宋体" w:cs="宋体"/>
                <w:szCs w:val="21"/>
              </w:rPr>
            </w:pPr>
          </w:p>
        </w:tc>
      </w:tr>
      <w:tr w14:paraId="2F6C8E9C">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567"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EA56E93">
            <w:pPr>
              <w:jc w:val="center"/>
              <w:rPr>
                <w:rFonts w:hint="eastAsia" w:ascii="宋体" w:hAnsi="宋体" w:cs="宋体"/>
                <w:szCs w:val="21"/>
              </w:rPr>
            </w:pPr>
            <w:r>
              <w:rPr>
                <w:rFonts w:hint="eastAsia" w:ascii="宋体" w:hAnsi="宋体" w:cs="宋体"/>
                <w:szCs w:val="21"/>
              </w:rPr>
              <w:t>28</w:t>
            </w:r>
          </w:p>
        </w:tc>
        <w:tc>
          <w:tcPr>
            <w:tcW w:w="3536" w:type="dxa"/>
            <w:tcBorders>
              <w:top w:val="single" w:color="auto" w:sz="4" w:space="0"/>
              <w:left w:val="single" w:color="auto" w:sz="4" w:space="0"/>
              <w:bottom w:val="single" w:color="auto" w:sz="4" w:space="0"/>
              <w:right w:val="single" w:color="auto" w:sz="4" w:space="0"/>
            </w:tcBorders>
            <w:vAlign w:val="center"/>
          </w:tcPr>
          <w:p w14:paraId="2B8FFDAE">
            <w:pPr>
              <w:rPr>
                <w:rFonts w:hint="eastAsia" w:ascii="宋体" w:hAnsi="宋体" w:cs="宋体"/>
                <w:szCs w:val="21"/>
              </w:rPr>
            </w:pPr>
            <w:r>
              <w:rPr>
                <w:rFonts w:hint="eastAsia" w:ascii="宋体" w:hAnsi="宋体" w:cs="宋体"/>
                <w:szCs w:val="21"/>
              </w:rPr>
              <w:t>多次出现但未执行措施、未整改的质量问题</w:t>
            </w:r>
          </w:p>
        </w:tc>
        <w:tc>
          <w:tcPr>
            <w:tcW w:w="2664" w:type="dxa"/>
            <w:tcBorders>
              <w:top w:val="single" w:color="auto" w:sz="4" w:space="0"/>
              <w:left w:val="single" w:color="auto" w:sz="4" w:space="0"/>
              <w:bottom w:val="single" w:color="auto" w:sz="4" w:space="0"/>
              <w:right w:val="single" w:color="auto" w:sz="4" w:space="0"/>
            </w:tcBorders>
            <w:vAlign w:val="center"/>
          </w:tcPr>
          <w:p w14:paraId="4E03D4DA">
            <w:pPr>
              <w:rPr>
                <w:rFonts w:hint="eastAsia" w:ascii="宋体" w:hAnsi="宋体" w:cs="宋体"/>
                <w:szCs w:val="21"/>
              </w:rPr>
            </w:pPr>
            <w:r>
              <w:rPr>
                <w:rFonts w:hint="eastAsia" w:ascii="宋体" w:hAnsi="宋体" w:cs="宋体"/>
                <w:szCs w:val="21"/>
              </w:rPr>
              <w:t>200元/项次</w:t>
            </w:r>
          </w:p>
        </w:tc>
        <w:tc>
          <w:tcPr>
            <w:tcW w:w="1505" w:type="dxa"/>
            <w:tcBorders>
              <w:top w:val="single" w:color="auto" w:sz="4" w:space="0"/>
              <w:left w:val="single" w:color="auto" w:sz="4" w:space="0"/>
              <w:bottom w:val="single" w:color="auto" w:sz="4" w:space="0"/>
              <w:right w:val="single" w:color="auto" w:sz="4" w:space="0"/>
            </w:tcBorders>
            <w:vAlign w:val="center"/>
          </w:tcPr>
          <w:p w14:paraId="04098478">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7C2B97D4">
            <w:pPr>
              <w:rPr>
                <w:rFonts w:hint="eastAsia" w:ascii="宋体" w:hAnsi="宋体" w:cs="宋体"/>
                <w:szCs w:val="21"/>
              </w:rPr>
            </w:pPr>
          </w:p>
        </w:tc>
      </w:tr>
      <w:tr w14:paraId="774069D2">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453"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2A7D468">
            <w:pPr>
              <w:jc w:val="center"/>
              <w:rPr>
                <w:rFonts w:hint="eastAsia" w:ascii="宋体" w:hAnsi="宋体" w:cs="宋体"/>
                <w:szCs w:val="21"/>
              </w:rPr>
            </w:pPr>
            <w:r>
              <w:rPr>
                <w:rFonts w:hint="eastAsia" w:ascii="宋体" w:hAnsi="宋体" w:cs="宋体"/>
                <w:szCs w:val="21"/>
              </w:rPr>
              <w:t>29</w:t>
            </w:r>
          </w:p>
        </w:tc>
        <w:tc>
          <w:tcPr>
            <w:tcW w:w="3536" w:type="dxa"/>
            <w:tcBorders>
              <w:top w:val="single" w:color="auto" w:sz="4" w:space="0"/>
              <w:left w:val="single" w:color="auto" w:sz="4" w:space="0"/>
              <w:bottom w:val="single" w:color="auto" w:sz="4" w:space="0"/>
              <w:right w:val="single" w:color="auto" w:sz="4" w:space="0"/>
            </w:tcBorders>
            <w:vAlign w:val="center"/>
          </w:tcPr>
          <w:p w14:paraId="2B8C7C8A">
            <w:pPr>
              <w:rPr>
                <w:rFonts w:hint="eastAsia" w:ascii="宋体" w:hAnsi="宋体" w:cs="宋体"/>
                <w:szCs w:val="21"/>
              </w:rPr>
            </w:pPr>
            <w:r>
              <w:rPr>
                <w:rFonts w:hint="eastAsia" w:ascii="宋体" w:hAnsi="宋体" w:cs="宋体"/>
                <w:szCs w:val="21"/>
              </w:rPr>
              <w:t>违反现场管理制度</w:t>
            </w:r>
          </w:p>
        </w:tc>
        <w:tc>
          <w:tcPr>
            <w:tcW w:w="2664" w:type="dxa"/>
            <w:tcBorders>
              <w:top w:val="single" w:color="auto" w:sz="4" w:space="0"/>
              <w:left w:val="single" w:color="auto" w:sz="4" w:space="0"/>
              <w:bottom w:val="single" w:color="auto" w:sz="4" w:space="0"/>
              <w:right w:val="single" w:color="auto" w:sz="4" w:space="0"/>
            </w:tcBorders>
            <w:vAlign w:val="center"/>
          </w:tcPr>
          <w:p w14:paraId="47927D32">
            <w:pPr>
              <w:rPr>
                <w:rFonts w:hint="eastAsia" w:ascii="宋体" w:hAnsi="宋体" w:cs="宋体"/>
                <w:szCs w:val="21"/>
              </w:rPr>
            </w:pPr>
            <w:r>
              <w:rPr>
                <w:rFonts w:hint="eastAsia" w:ascii="宋体" w:hAnsi="宋体" w:cs="宋体"/>
                <w:szCs w:val="21"/>
              </w:rPr>
              <w:t>500-10000元/次</w:t>
            </w:r>
          </w:p>
        </w:tc>
        <w:tc>
          <w:tcPr>
            <w:tcW w:w="1505" w:type="dxa"/>
            <w:tcBorders>
              <w:top w:val="single" w:color="auto" w:sz="4" w:space="0"/>
              <w:left w:val="single" w:color="auto" w:sz="4" w:space="0"/>
              <w:bottom w:val="single" w:color="auto" w:sz="4" w:space="0"/>
              <w:right w:val="single" w:color="auto" w:sz="4" w:space="0"/>
            </w:tcBorders>
            <w:vAlign w:val="center"/>
          </w:tcPr>
          <w:p w14:paraId="59D9B071">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0F52D19F">
            <w:pPr>
              <w:rPr>
                <w:rFonts w:hint="eastAsia" w:ascii="宋体" w:hAnsi="宋体" w:cs="宋体"/>
                <w:szCs w:val="21"/>
              </w:rPr>
            </w:pPr>
          </w:p>
        </w:tc>
      </w:tr>
      <w:tr w14:paraId="64E9C44E">
        <w:tblPrEx>
          <w:tblBorders>
            <w:top w:val="double" w:color="auto" w:sz="4" w:space="0"/>
            <w:left w:val="double" w:color="auto" w:sz="4" w:space="0"/>
            <w:bottom w:val="double" w:color="auto" w:sz="4" w:space="0"/>
            <w:right w:val="double" w:color="auto" w:sz="4" w:space="0"/>
            <w:insideH w:val="dotted" w:color="auto" w:sz="4" w:space="0"/>
            <w:insideV w:val="dotted" w:color="auto" w:sz="4" w:space="0"/>
          </w:tblBorders>
          <w:tblCellMar>
            <w:top w:w="0" w:type="dxa"/>
            <w:left w:w="108" w:type="dxa"/>
            <w:bottom w:w="0" w:type="dxa"/>
            <w:right w:w="108" w:type="dxa"/>
          </w:tblCellMar>
        </w:tblPrEx>
        <w:trPr>
          <w:cantSplit/>
          <w:trHeight w:val="850"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14:paraId="7D288BCE">
            <w:pPr>
              <w:jc w:val="center"/>
              <w:rPr>
                <w:rFonts w:hint="eastAsia" w:ascii="宋体" w:hAnsi="宋体" w:cs="宋体"/>
                <w:szCs w:val="21"/>
              </w:rPr>
            </w:pPr>
            <w:r>
              <w:rPr>
                <w:rFonts w:hint="eastAsia" w:ascii="宋体" w:hAnsi="宋体" w:cs="宋体"/>
                <w:szCs w:val="21"/>
              </w:rPr>
              <w:t>30</w:t>
            </w:r>
          </w:p>
        </w:tc>
        <w:tc>
          <w:tcPr>
            <w:tcW w:w="3536" w:type="dxa"/>
            <w:tcBorders>
              <w:top w:val="single" w:color="auto" w:sz="4" w:space="0"/>
              <w:left w:val="single" w:color="auto" w:sz="4" w:space="0"/>
              <w:bottom w:val="single" w:color="auto" w:sz="4" w:space="0"/>
              <w:right w:val="single" w:color="auto" w:sz="4" w:space="0"/>
            </w:tcBorders>
            <w:vAlign w:val="center"/>
          </w:tcPr>
          <w:p w14:paraId="17885B0B">
            <w:pPr>
              <w:rPr>
                <w:rFonts w:hint="eastAsia" w:ascii="宋体" w:hAnsi="宋体" w:cs="宋体"/>
                <w:szCs w:val="21"/>
              </w:rPr>
            </w:pPr>
            <w:r>
              <w:rPr>
                <w:rFonts w:hint="eastAsia" w:ascii="宋体" w:hAnsi="宋体" w:cs="宋体"/>
                <w:szCs w:val="21"/>
              </w:rPr>
              <w:t>因喷涂错误操作（例如：洗枪不充分、车架面漆喷涂不合格）导致车架返线</w:t>
            </w:r>
          </w:p>
        </w:tc>
        <w:tc>
          <w:tcPr>
            <w:tcW w:w="2664" w:type="dxa"/>
            <w:tcBorders>
              <w:top w:val="single" w:color="auto" w:sz="4" w:space="0"/>
              <w:left w:val="single" w:color="auto" w:sz="4" w:space="0"/>
              <w:bottom w:val="single" w:color="auto" w:sz="4" w:space="0"/>
              <w:right w:val="single" w:color="auto" w:sz="4" w:space="0"/>
            </w:tcBorders>
            <w:vAlign w:val="center"/>
          </w:tcPr>
          <w:p w14:paraId="65197C8D">
            <w:pPr>
              <w:rPr>
                <w:rFonts w:hint="eastAsia" w:ascii="宋体" w:hAnsi="宋体" w:cs="宋体"/>
                <w:szCs w:val="21"/>
              </w:rPr>
            </w:pPr>
            <w:r>
              <w:rPr>
                <w:rFonts w:hint="eastAsia" w:ascii="宋体" w:hAnsi="宋体" w:cs="宋体"/>
                <w:szCs w:val="21"/>
              </w:rPr>
              <w:t>200元/件次</w:t>
            </w:r>
          </w:p>
        </w:tc>
        <w:tc>
          <w:tcPr>
            <w:tcW w:w="1505" w:type="dxa"/>
            <w:tcBorders>
              <w:top w:val="single" w:color="auto" w:sz="4" w:space="0"/>
              <w:left w:val="single" w:color="auto" w:sz="4" w:space="0"/>
              <w:bottom w:val="single" w:color="auto" w:sz="4" w:space="0"/>
              <w:right w:val="single" w:color="auto" w:sz="4" w:space="0"/>
            </w:tcBorders>
            <w:vAlign w:val="center"/>
          </w:tcPr>
          <w:p w14:paraId="1DCC18F9">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vAlign w:val="center"/>
          </w:tcPr>
          <w:p w14:paraId="39E6C393">
            <w:pPr>
              <w:rPr>
                <w:rFonts w:hint="eastAsia" w:ascii="宋体" w:hAnsi="宋体" w:cs="宋体"/>
                <w:szCs w:val="21"/>
              </w:rPr>
            </w:pPr>
          </w:p>
        </w:tc>
      </w:tr>
      <w:bookmarkEnd w:id="15"/>
      <w:tr w14:paraId="7B33DF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1CBF5F">
            <w:pPr>
              <w:jc w:val="center"/>
              <w:rPr>
                <w:rFonts w:hint="eastAsia" w:ascii="宋体" w:hAnsi="宋体" w:cs="宋体"/>
                <w:szCs w:val="21"/>
              </w:rPr>
            </w:pPr>
            <w:r>
              <w:rPr>
                <w:rFonts w:hint="eastAsia" w:ascii="宋体" w:hAnsi="宋体" w:cs="宋体"/>
                <w:szCs w:val="21"/>
              </w:rPr>
              <w:t>31</w:t>
            </w:r>
          </w:p>
        </w:tc>
        <w:tc>
          <w:tcPr>
            <w:tcW w:w="35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E693F4">
            <w:pPr>
              <w:rPr>
                <w:rFonts w:hint="eastAsia" w:ascii="宋体" w:hAnsi="宋体" w:cs="宋体"/>
                <w:szCs w:val="21"/>
              </w:rPr>
            </w:pPr>
            <w:r>
              <w:rPr>
                <w:rFonts w:hint="eastAsia" w:ascii="宋体" w:hAnsi="宋体" w:cs="宋体"/>
                <w:szCs w:val="21"/>
              </w:rPr>
              <w:t>不执行现场工艺操作</w:t>
            </w:r>
          </w:p>
        </w:tc>
        <w:tc>
          <w:tcPr>
            <w:tcW w:w="26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C6B59B">
            <w:pPr>
              <w:rPr>
                <w:rFonts w:hint="eastAsia" w:ascii="宋体" w:hAnsi="宋体" w:cs="宋体"/>
                <w:szCs w:val="21"/>
              </w:rPr>
            </w:pPr>
            <w:r>
              <w:rPr>
                <w:rFonts w:hint="eastAsia" w:ascii="宋体" w:hAnsi="宋体" w:cs="宋体"/>
                <w:szCs w:val="21"/>
              </w:rPr>
              <w:t>500元/次</w:t>
            </w:r>
          </w:p>
        </w:tc>
        <w:tc>
          <w:tcPr>
            <w:tcW w:w="1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31DD77">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09F61F">
            <w:pPr>
              <w:rPr>
                <w:rFonts w:hint="eastAsia" w:ascii="宋体" w:hAnsi="宋体" w:cs="宋体"/>
                <w:szCs w:val="21"/>
              </w:rPr>
            </w:pPr>
            <w:r>
              <w:rPr>
                <w:rFonts w:hint="eastAsia" w:ascii="宋体" w:hAnsi="宋体" w:cs="宋体"/>
                <w:szCs w:val="21"/>
              </w:rPr>
              <w:t> </w:t>
            </w:r>
          </w:p>
        </w:tc>
      </w:tr>
      <w:tr w14:paraId="52585C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14DBDA">
            <w:pPr>
              <w:jc w:val="center"/>
              <w:rPr>
                <w:rFonts w:hint="eastAsia" w:ascii="宋体" w:hAnsi="宋体" w:cs="宋体"/>
                <w:szCs w:val="21"/>
              </w:rPr>
            </w:pPr>
            <w:r>
              <w:rPr>
                <w:rFonts w:hint="eastAsia" w:ascii="宋体" w:hAnsi="宋体" w:cs="宋体"/>
                <w:szCs w:val="21"/>
              </w:rPr>
              <w:t>32</w:t>
            </w:r>
          </w:p>
        </w:tc>
        <w:tc>
          <w:tcPr>
            <w:tcW w:w="35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42FEC2">
            <w:pPr>
              <w:rPr>
                <w:rFonts w:hint="eastAsia" w:ascii="宋体" w:hAnsi="宋体" w:cs="宋体"/>
                <w:szCs w:val="21"/>
              </w:rPr>
            </w:pPr>
            <w:r>
              <w:rPr>
                <w:rFonts w:hint="eastAsia" w:ascii="宋体" w:hAnsi="宋体" w:cs="宋体"/>
                <w:szCs w:val="21"/>
              </w:rPr>
              <w:t>入库检查问题</w:t>
            </w:r>
          </w:p>
        </w:tc>
        <w:tc>
          <w:tcPr>
            <w:tcW w:w="26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3413AC">
            <w:pPr>
              <w:rPr>
                <w:rFonts w:hint="eastAsia" w:ascii="宋体" w:hAnsi="宋体" w:cs="宋体"/>
                <w:szCs w:val="21"/>
              </w:rPr>
            </w:pPr>
            <w:r>
              <w:rPr>
                <w:rFonts w:hint="eastAsia"/>
                <w:sz w:val="20"/>
              </w:rPr>
              <w:t>入库检验发现的问题，A项考核责任部门每项</w:t>
            </w:r>
            <w:r>
              <w:rPr>
                <w:sz w:val="20"/>
              </w:rPr>
              <w:t>5</w:t>
            </w:r>
            <w:r>
              <w:rPr>
                <w:rFonts w:hint="eastAsia"/>
                <w:sz w:val="20"/>
              </w:rPr>
              <w:t>00元，B项考核责任部门每项</w:t>
            </w:r>
            <w:r>
              <w:rPr>
                <w:sz w:val="20"/>
              </w:rPr>
              <w:t>2</w:t>
            </w:r>
            <w:r>
              <w:rPr>
                <w:rFonts w:hint="eastAsia"/>
                <w:sz w:val="20"/>
              </w:rPr>
              <w:t>00元。</w:t>
            </w:r>
          </w:p>
        </w:tc>
        <w:tc>
          <w:tcPr>
            <w:tcW w:w="1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E373FD">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E5AE31">
            <w:pPr>
              <w:rPr>
                <w:rFonts w:hint="eastAsia" w:ascii="宋体" w:hAnsi="宋体" w:cs="宋体"/>
                <w:szCs w:val="21"/>
              </w:rPr>
            </w:pPr>
          </w:p>
        </w:tc>
      </w:tr>
      <w:tr w14:paraId="495CE7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2D7E3E9">
            <w:pPr>
              <w:jc w:val="center"/>
              <w:rPr>
                <w:rFonts w:hint="eastAsia" w:ascii="宋体" w:hAnsi="宋体" w:cs="宋体"/>
                <w:szCs w:val="21"/>
              </w:rPr>
            </w:pPr>
            <w:r>
              <w:rPr>
                <w:rFonts w:hint="eastAsia" w:ascii="宋体" w:hAnsi="宋体" w:cs="宋体"/>
                <w:szCs w:val="21"/>
              </w:rPr>
              <w:t>33</w:t>
            </w:r>
          </w:p>
        </w:tc>
        <w:tc>
          <w:tcPr>
            <w:tcW w:w="35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4F2142">
            <w:pPr>
              <w:rPr>
                <w:rFonts w:hint="eastAsia" w:ascii="宋体" w:hAnsi="宋体" w:cs="宋体"/>
                <w:szCs w:val="21"/>
              </w:rPr>
            </w:pPr>
            <w:r>
              <w:rPr>
                <w:rFonts w:hint="eastAsia" w:ascii="宋体" w:hAnsi="宋体" w:cs="宋体"/>
                <w:szCs w:val="21"/>
              </w:rPr>
              <w:t>批量问题</w:t>
            </w:r>
          </w:p>
        </w:tc>
        <w:tc>
          <w:tcPr>
            <w:tcW w:w="26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BBC2FC">
            <w:pPr>
              <w:rPr>
                <w:sz w:val="20"/>
              </w:rPr>
            </w:pPr>
            <w:r>
              <w:rPr>
                <w:rFonts w:hint="eastAsia"/>
                <w:sz w:val="20"/>
              </w:rPr>
              <w:t>①批量问题根据质量损失情况，考核责任部门损失金额，最低金额不低于1</w:t>
            </w:r>
            <w:r>
              <w:rPr>
                <w:sz w:val="20"/>
              </w:rPr>
              <w:t>0000</w:t>
            </w:r>
            <w:r>
              <w:rPr>
                <w:rFonts w:hint="eastAsia"/>
                <w:sz w:val="20"/>
              </w:rPr>
              <w:t>元。</w:t>
            </w:r>
          </w:p>
          <w:p w14:paraId="23340781">
            <w:pPr>
              <w:rPr>
                <w:sz w:val="20"/>
              </w:rPr>
            </w:pPr>
            <w:r>
              <w:rPr>
                <w:rFonts w:hint="eastAsia"/>
                <w:sz w:val="20"/>
              </w:rPr>
              <w:t>②对重大质量问题有意隐瞒不报，造成较大影响时，对供方按照10万元实施考核。</w:t>
            </w:r>
          </w:p>
          <w:p w14:paraId="1E109E0E">
            <w:pPr>
              <w:rPr>
                <w:sz w:val="20"/>
              </w:rPr>
            </w:pPr>
            <w:r>
              <w:rPr>
                <w:rFonts w:hint="eastAsia"/>
                <w:sz w:val="20"/>
              </w:rPr>
              <w:t>③对一般批量质量问题有意隐瞒不报，对正常生产造成一定影响的，对供方按照1万元实施考核。</w:t>
            </w:r>
          </w:p>
          <w:p w14:paraId="7E8C4FC8">
            <w:pPr>
              <w:rPr>
                <w:sz w:val="20"/>
              </w:rPr>
            </w:pPr>
            <w:r>
              <w:rPr>
                <w:rFonts w:hint="eastAsia"/>
                <w:sz w:val="20"/>
              </w:rPr>
              <w:t>④对无正当理由未按要求提供“4M1E 报告”、公司相关变更信息等，给产品带来质量隐患或对正常生产造成影响的，视影响程度、损失大小，对供方按照1万元-5万元实施考核。</w:t>
            </w:r>
          </w:p>
        </w:tc>
        <w:tc>
          <w:tcPr>
            <w:tcW w:w="1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DD9D8C">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F1E14C">
            <w:pPr>
              <w:rPr>
                <w:rFonts w:hint="eastAsia" w:ascii="宋体" w:hAnsi="宋体" w:cs="宋体"/>
                <w:szCs w:val="21"/>
              </w:rPr>
            </w:pPr>
          </w:p>
        </w:tc>
      </w:tr>
      <w:tr w14:paraId="626924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jc w:val="center"/>
        </w:trPr>
        <w:tc>
          <w:tcPr>
            <w:tcW w:w="6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29A02C">
            <w:pPr>
              <w:jc w:val="center"/>
              <w:rPr>
                <w:rFonts w:hint="eastAsia" w:ascii="宋体" w:hAnsi="宋体" w:cs="宋体"/>
                <w:szCs w:val="21"/>
              </w:rPr>
            </w:pPr>
            <w:r>
              <w:rPr>
                <w:rFonts w:hint="eastAsia" w:ascii="宋体" w:hAnsi="宋体" w:cs="宋体"/>
                <w:szCs w:val="21"/>
              </w:rPr>
              <w:t>34</w:t>
            </w:r>
          </w:p>
        </w:tc>
        <w:tc>
          <w:tcPr>
            <w:tcW w:w="35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F271D5">
            <w:pPr>
              <w:rPr>
                <w:rFonts w:hint="eastAsia" w:ascii="宋体" w:hAnsi="宋体" w:cs="宋体"/>
                <w:szCs w:val="21"/>
              </w:rPr>
            </w:pPr>
            <w:r>
              <w:rPr>
                <w:rFonts w:hint="eastAsia" w:ascii="宋体" w:hAnsi="宋体" w:cs="宋体"/>
                <w:szCs w:val="21"/>
              </w:rPr>
              <w:t>售后过程</w:t>
            </w:r>
          </w:p>
        </w:tc>
        <w:tc>
          <w:tcPr>
            <w:tcW w:w="266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05B48B">
            <w:pPr>
              <w:widowControl/>
              <w:jc w:val="left"/>
              <w:rPr>
                <w:sz w:val="20"/>
              </w:rPr>
            </w:pPr>
            <w:r>
              <w:rPr>
                <w:rFonts w:hint="eastAsia"/>
                <w:sz w:val="20"/>
              </w:rPr>
              <w:t>①针对重大、批量性影响销售的质量问题，质量损失总额未达到整车价值时，按照整车价值（销售价格表中含税销售价格）对供方进行考核</w:t>
            </w:r>
            <w:r>
              <w:rPr>
                <w:rFonts w:hint="eastAsia" w:ascii="宋体" w:hAnsi="宋体" w:cs="宋体"/>
                <w:sz w:val="20"/>
              </w:rPr>
              <w:t>，</w:t>
            </w:r>
            <w:r>
              <w:rPr>
                <w:rFonts w:hint="eastAsia" w:ascii="宋体" w:hAnsi="宋体" w:cs="宋体"/>
                <w:color w:val="000000"/>
                <w:kern w:val="0"/>
                <w:sz w:val="20"/>
                <w:lang w:bidi="ar"/>
              </w:rPr>
              <w:t>供方还应承担因质量问题造成的退车、用户提出的如误工、罚款等赔偿费用。</w:t>
            </w:r>
          </w:p>
          <w:p w14:paraId="30EC333B">
            <w:pPr>
              <w:rPr>
                <w:sz w:val="20"/>
              </w:rPr>
            </w:pPr>
            <w:r>
              <w:rPr>
                <w:rFonts w:hint="eastAsia"/>
                <w:sz w:val="20"/>
              </w:rPr>
              <w:t>②对于发生重大质量问题造成客户投诉的产品，还将按照质量损失分级对供方实施追加考核：质量损失≥100万元，追加考核不低于20万元；质量损失50-100万元（含50万元），追加考核不低于10万元；质量损失10-50万元（含10万元），追加考核不低于5万元；质量损失10万元以下，追加考核不低于1万元。</w:t>
            </w:r>
          </w:p>
        </w:tc>
        <w:tc>
          <w:tcPr>
            <w:tcW w:w="15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76264A">
            <w:pPr>
              <w:rPr>
                <w:rFonts w:hint="eastAsia" w:ascii="宋体" w:hAnsi="宋体" w:cs="宋体"/>
                <w:szCs w:val="21"/>
              </w:rPr>
            </w:pPr>
            <w:r>
              <w:rPr>
                <w:rFonts w:hint="eastAsia" w:ascii="宋体" w:hAnsi="宋体" w:cs="宋体"/>
                <w:szCs w:val="21"/>
              </w:rPr>
              <w:t>根据实际反馈</w:t>
            </w:r>
          </w:p>
        </w:tc>
        <w:tc>
          <w:tcPr>
            <w:tcW w:w="14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A7C623">
            <w:pPr>
              <w:rPr>
                <w:rFonts w:hint="eastAsia" w:ascii="宋体" w:hAnsi="宋体" w:cs="宋体"/>
                <w:szCs w:val="21"/>
              </w:rPr>
            </w:pPr>
          </w:p>
        </w:tc>
      </w:tr>
    </w:tbl>
    <w:p w14:paraId="0E877F9C">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四、人员管理</w:t>
      </w:r>
    </w:p>
    <w:p w14:paraId="7F37436F">
      <w:pPr>
        <w:spacing w:line="360" w:lineRule="auto"/>
        <w:ind w:firstLine="480" w:firstLineChars="200"/>
        <w:rPr>
          <w:rFonts w:hint="eastAsia" w:ascii="宋体" w:hAnsi="宋体"/>
          <w:sz w:val="24"/>
          <w:szCs w:val="24"/>
        </w:rPr>
      </w:pPr>
      <w:r>
        <w:rPr>
          <w:rFonts w:hint="eastAsia" w:ascii="宋体" w:hAnsi="宋体"/>
          <w:sz w:val="24"/>
          <w:szCs w:val="24"/>
        </w:rPr>
        <w:t>1、技术与专业知识</w:t>
      </w:r>
    </w:p>
    <w:p w14:paraId="0622E945">
      <w:pPr>
        <w:spacing w:line="360" w:lineRule="auto"/>
        <w:ind w:firstLine="480" w:firstLineChars="200"/>
        <w:rPr>
          <w:rFonts w:hint="eastAsia" w:ascii="宋体" w:hAnsi="宋体"/>
          <w:sz w:val="24"/>
          <w:szCs w:val="24"/>
          <w:highlight w:val="yellow"/>
        </w:rPr>
      </w:pPr>
      <w:r>
        <w:rPr>
          <w:rFonts w:hint="eastAsia" w:ascii="宋体" w:hAnsi="宋体"/>
          <w:sz w:val="24"/>
          <w:szCs w:val="24"/>
        </w:rPr>
        <w:t>外包方应该储备充足的专业操作人员及生产管理、技术质量人员，负责新进人员的技能培训。新进人员需符合安全及环保职业健康要求，培训合格后方可上岗。</w:t>
      </w:r>
    </w:p>
    <w:p w14:paraId="045BBDEF">
      <w:pPr>
        <w:spacing w:line="360" w:lineRule="auto"/>
        <w:ind w:firstLine="480" w:firstLineChars="200"/>
        <w:rPr>
          <w:rFonts w:hint="eastAsia" w:ascii="宋体" w:hAnsi="宋体"/>
          <w:sz w:val="24"/>
          <w:szCs w:val="24"/>
        </w:rPr>
      </w:pPr>
      <w:r>
        <w:rPr>
          <w:rFonts w:hint="eastAsia" w:ascii="宋体" w:hAnsi="宋体"/>
          <w:sz w:val="24"/>
          <w:szCs w:val="24"/>
        </w:rPr>
        <w:t>2、人员管理</w:t>
      </w:r>
    </w:p>
    <w:p w14:paraId="4E922056">
      <w:pPr>
        <w:spacing w:line="360" w:lineRule="auto"/>
        <w:ind w:firstLine="480" w:firstLineChars="200"/>
        <w:rPr>
          <w:rFonts w:hint="eastAsia" w:ascii="宋体" w:hAnsi="宋体"/>
          <w:sz w:val="24"/>
          <w:szCs w:val="24"/>
        </w:rPr>
      </w:pPr>
      <w:r>
        <w:rPr>
          <w:rFonts w:hint="eastAsia" w:ascii="宋体" w:hAnsi="宋体"/>
          <w:sz w:val="24"/>
          <w:szCs w:val="24"/>
        </w:rPr>
        <w:t>2.1合同签订：外包方应按照商用车公司相关要求，组织业务开展，负责对所用人员的管理，包括签署劳动合同、购买工伤保险、支付报酬等，并确保派驻至商用车公司的人员均已签署正式劳动合同，同时需确保人员稳定性，且年龄女职工不超过45岁，男职工不超过50岁；喷涂人员更换不允许一年超过两次，要建立完善的工作交接制度，出现人员更换时，新进人员应熟练掌握业务技能，并符合相关安全及环保职业健康要求。</w:t>
      </w:r>
    </w:p>
    <w:p w14:paraId="56EF6B04">
      <w:pPr>
        <w:spacing w:line="360" w:lineRule="auto"/>
        <w:ind w:firstLine="480" w:firstLineChars="200"/>
        <w:rPr>
          <w:rFonts w:hint="eastAsia" w:ascii="宋体" w:hAnsi="宋体" w:cs="仿宋"/>
          <w:sz w:val="24"/>
          <w:szCs w:val="24"/>
        </w:rPr>
      </w:pPr>
      <w:r>
        <w:rPr>
          <w:rFonts w:hint="eastAsia" w:ascii="宋体" w:hAnsi="宋体"/>
          <w:sz w:val="24"/>
          <w:szCs w:val="24"/>
        </w:rPr>
        <w:t>2.2人员要求：外包方必须按照额定工艺定员配置人员，</w:t>
      </w:r>
      <w:r>
        <w:rPr>
          <w:rFonts w:hint="eastAsia" w:ascii="宋体" w:hAnsi="宋体" w:cs="仿宋"/>
          <w:sz w:val="24"/>
          <w:szCs w:val="24"/>
        </w:rPr>
        <w:t>不允许因人员问题影响生产秩序。外包方需建立人员储备预案，保证产品保质保量按期交付，喷涂人员应至少保证储备2人，现场管理人员储备1人。</w:t>
      </w:r>
    </w:p>
    <w:p w14:paraId="39E9683F">
      <w:pPr>
        <w:spacing w:line="360" w:lineRule="auto"/>
        <w:ind w:firstLine="480" w:firstLineChars="200"/>
        <w:rPr>
          <w:rFonts w:ascii="宋体" w:hAnsi="宋体"/>
          <w:sz w:val="24"/>
          <w:szCs w:val="24"/>
        </w:rPr>
      </w:pPr>
      <w:r>
        <w:rPr>
          <w:rFonts w:hint="eastAsia" w:ascii="宋体" w:hAnsi="宋体"/>
          <w:sz w:val="24"/>
          <w:szCs w:val="24"/>
        </w:rPr>
        <w:t>2.3出勤管理：外包方对业务承包范围内的人员出勤情况负责，要求外包单位配备独立的信息化考勤系统（人脸识别考勤机等）并确保考勤记录情况真实，严禁委托他人或代替他人考勤，严禁工作时长造假。外包方要保留员工考勤原 始数据，商用车公司定期对外包方考勤记录进行核实。出勤期间，外包单位人员要严格遵守商用车公司各项劳动纪律，多次违反或严重违反劳动纪律的，予以辞退。</w:t>
      </w:r>
    </w:p>
    <w:p w14:paraId="4A511306">
      <w:pPr>
        <w:spacing w:line="360" w:lineRule="auto"/>
        <w:ind w:firstLine="480" w:firstLineChars="200"/>
        <w:rPr>
          <w:rFonts w:hint="eastAsia" w:ascii="宋体" w:hAnsi="宋体"/>
          <w:sz w:val="24"/>
          <w:szCs w:val="24"/>
        </w:rPr>
      </w:pPr>
      <w:r>
        <w:rPr>
          <w:rFonts w:hint="eastAsia" w:ascii="宋体" w:hAnsi="宋体"/>
          <w:sz w:val="24"/>
          <w:szCs w:val="24"/>
        </w:rPr>
        <w:t>2.4文化认同：外包单位员工在商用车公司工作期间，需认同企业文化，奉公守法，如有违反中国重汽集团管理规定或触犯国家法律法规的，予以辞退。</w:t>
      </w:r>
    </w:p>
    <w:p w14:paraId="2353BABA">
      <w:pPr>
        <w:spacing w:line="360" w:lineRule="auto"/>
        <w:ind w:firstLine="480" w:firstLineChars="200"/>
        <w:rPr>
          <w:rFonts w:hint="eastAsia" w:ascii="宋体" w:hAnsi="宋体"/>
          <w:sz w:val="24"/>
          <w:szCs w:val="24"/>
        </w:rPr>
      </w:pPr>
      <w:r>
        <w:rPr>
          <w:rFonts w:hint="eastAsia" w:ascii="宋体" w:hAnsi="宋体"/>
          <w:sz w:val="24"/>
          <w:szCs w:val="24"/>
        </w:rPr>
        <w:t>2.5关重岗：面漆喷涂相关工序直接影响产品外观质量，所有外包相关岗位均为关重岗。</w:t>
      </w:r>
    </w:p>
    <w:p w14:paraId="4A2FEED3">
      <w:pPr>
        <w:spacing w:line="360" w:lineRule="auto"/>
        <w:ind w:firstLine="480" w:firstLineChars="200"/>
        <w:rPr>
          <w:rFonts w:hint="eastAsia" w:ascii="宋体" w:hAnsi="宋体"/>
          <w:sz w:val="24"/>
          <w:szCs w:val="24"/>
        </w:rPr>
      </w:pPr>
      <w:r>
        <w:rPr>
          <w:rFonts w:hint="eastAsia" w:ascii="宋体" w:hAnsi="宋体"/>
          <w:sz w:val="24"/>
          <w:szCs w:val="24"/>
        </w:rPr>
        <w:t>2.6生活费用：投标方员工的就餐、乘用车辆、清洁用品、使用的工作服、手套、劳保鞋、防毒口罩等劳保用品由投标方自行解决，投标方应确保相关劳保用品的合格性和适用性。</w:t>
      </w:r>
    </w:p>
    <w:p w14:paraId="181A1B00">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五、物料计划</w:t>
      </w:r>
    </w:p>
    <w:p w14:paraId="3C8A81F4">
      <w:pPr>
        <w:spacing w:line="360" w:lineRule="auto"/>
        <w:ind w:firstLine="480" w:firstLineChars="200"/>
        <w:rPr>
          <w:rFonts w:hint="eastAsia" w:ascii="宋体" w:hAnsi="宋体"/>
          <w:sz w:val="24"/>
          <w:szCs w:val="24"/>
        </w:rPr>
      </w:pPr>
      <w:r>
        <w:rPr>
          <w:rFonts w:hint="eastAsia" w:ascii="宋体" w:hAnsi="宋体"/>
          <w:sz w:val="24"/>
          <w:szCs w:val="24"/>
        </w:rPr>
        <w:t>1、生产作业计划</w:t>
      </w:r>
    </w:p>
    <w:p w14:paraId="1543ACB4">
      <w:pPr>
        <w:spacing w:line="360" w:lineRule="auto"/>
        <w:ind w:firstLine="480" w:firstLineChars="200"/>
        <w:rPr>
          <w:rFonts w:ascii="宋体" w:hAnsi="宋体"/>
          <w:sz w:val="24"/>
          <w:szCs w:val="24"/>
        </w:rPr>
      </w:pPr>
      <w:r>
        <w:rPr>
          <w:rFonts w:hint="eastAsia" w:ascii="宋体" w:hAnsi="宋体"/>
          <w:sz w:val="24"/>
          <w:szCs w:val="24"/>
        </w:rPr>
        <w:t>根据商用车公司下发的生产计划，制定车架底盘面漆喷涂作业计划，保证车架底盘及时流转至下一工序。</w:t>
      </w:r>
    </w:p>
    <w:p w14:paraId="58022B6D">
      <w:pPr>
        <w:spacing w:line="360" w:lineRule="auto"/>
        <w:ind w:firstLine="480" w:firstLineChars="200"/>
        <w:rPr>
          <w:rFonts w:hint="eastAsia" w:ascii="宋体" w:hAnsi="宋体"/>
          <w:sz w:val="24"/>
          <w:szCs w:val="24"/>
        </w:rPr>
      </w:pPr>
      <w:r>
        <w:rPr>
          <w:rFonts w:hint="eastAsia" w:ascii="宋体" w:hAnsi="宋体"/>
          <w:sz w:val="24"/>
          <w:szCs w:val="24"/>
        </w:rPr>
        <w:t>紧急调整：紧急情况下，商用车公司因特殊原因，需要紧急调整生产作业计划时，需及时通知外包方，并提供相关支持，外包方必须全力配合保证生产；外包方因特殊原因，需要调整生产计划时，必须经商用车公司同意后方可实施，以保证生产秩序稳定。</w:t>
      </w:r>
    </w:p>
    <w:p w14:paraId="6648E690">
      <w:pPr>
        <w:spacing w:line="360" w:lineRule="auto"/>
        <w:ind w:firstLine="480" w:firstLineChars="200"/>
        <w:rPr>
          <w:rFonts w:hint="eastAsia" w:ascii="宋体" w:hAnsi="宋体"/>
          <w:sz w:val="24"/>
          <w:szCs w:val="24"/>
        </w:rPr>
      </w:pPr>
      <w:r>
        <w:rPr>
          <w:rFonts w:hint="eastAsia" w:ascii="宋体" w:hAnsi="宋体"/>
          <w:sz w:val="24"/>
          <w:szCs w:val="24"/>
        </w:rPr>
        <w:t>2、物资管理</w:t>
      </w:r>
    </w:p>
    <w:p w14:paraId="15C206B8">
      <w:pPr>
        <w:spacing w:line="360" w:lineRule="auto"/>
        <w:ind w:firstLine="480" w:firstLineChars="200"/>
        <w:rPr>
          <w:rFonts w:hint="eastAsia" w:ascii="宋体" w:hAnsi="宋体"/>
          <w:sz w:val="24"/>
          <w:szCs w:val="24"/>
        </w:rPr>
      </w:pPr>
      <w:r>
        <w:rPr>
          <w:rFonts w:hint="eastAsia" w:ascii="宋体" w:hAnsi="宋体"/>
          <w:sz w:val="24"/>
          <w:szCs w:val="24"/>
        </w:rPr>
        <w:t>2.1记录台账管理：外包方建立物资管理的台账，指定专人负责管理，保管好相关单据。保证现场实物、台账、单据与系统信息一致。</w:t>
      </w:r>
    </w:p>
    <w:p w14:paraId="4F88839B">
      <w:pPr>
        <w:spacing w:line="360" w:lineRule="auto"/>
        <w:ind w:firstLine="480" w:firstLineChars="200"/>
        <w:rPr>
          <w:rFonts w:hint="eastAsia" w:ascii="宋体" w:hAnsi="宋体"/>
          <w:sz w:val="24"/>
          <w:szCs w:val="24"/>
        </w:rPr>
      </w:pPr>
      <w:r>
        <w:rPr>
          <w:rFonts w:hint="eastAsia" w:ascii="宋体" w:hAnsi="宋体"/>
          <w:sz w:val="24"/>
          <w:szCs w:val="24"/>
        </w:rPr>
        <w:t>2.2物资盘点：商用车公司负责对盘点工作进行监管，同时划分好外包方的生产区域，做好外包方物料和商用车公司物料的区分管理工作。</w:t>
      </w:r>
    </w:p>
    <w:p w14:paraId="432DA514">
      <w:pPr>
        <w:spacing w:line="360" w:lineRule="auto"/>
        <w:ind w:firstLine="480" w:firstLineChars="200"/>
        <w:rPr>
          <w:rFonts w:hint="eastAsia" w:ascii="宋体" w:hAnsi="宋体"/>
          <w:sz w:val="24"/>
          <w:szCs w:val="24"/>
        </w:rPr>
      </w:pPr>
      <w:r>
        <w:rPr>
          <w:rFonts w:hint="eastAsia" w:ascii="宋体" w:hAnsi="宋体"/>
          <w:sz w:val="24"/>
          <w:szCs w:val="24"/>
        </w:rPr>
        <w:t>外包方应按照商用车公司要求，对属于外包方管理区域内的物资进行盘点，并形成盘点报告，盘点范围包含外包方现场管理区域内所有未喷涂和已喷涂未交接的车架底盘。外包方对盘点结果数据准确性负责。</w:t>
      </w:r>
    </w:p>
    <w:p w14:paraId="4922CCF4">
      <w:pPr>
        <w:spacing w:line="360" w:lineRule="auto"/>
        <w:ind w:firstLine="480" w:firstLineChars="200"/>
        <w:rPr>
          <w:rFonts w:hint="eastAsia" w:ascii="宋体" w:hAnsi="宋体"/>
          <w:sz w:val="24"/>
          <w:szCs w:val="24"/>
        </w:rPr>
      </w:pPr>
      <w:r>
        <w:rPr>
          <w:rFonts w:hint="eastAsia" w:ascii="宋体" w:hAnsi="宋体"/>
          <w:sz w:val="24"/>
          <w:szCs w:val="24"/>
        </w:rPr>
        <w:t>2.3盘点监督：商用车公司负责对外包方的记录、盘点工作进行监督、核对，并有权对外包方的工作失误予以考核。</w:t>
      </w:r>
    </w:p>
    <w:p w14:paraId="571D7A91">
      <w:pPr>
        <w:spacing w:line="360" w:lineRule="auto"/>
        <w:ind w:firstLine="480" w:firstLineChars="200"/>
        <w:rPr>
          <w:rFonts w:hint="eastAsia" w:ascii="宋体" w:hAnsi="宋体"/>
          <w:sz w:val="24"/>
          <w:szCs w:val="24"/>
        </w:rPr>
      </w:pPr>
      <w:r>
        <w:rPr>
          <w:rFonts w:hint="eastAsia" w:ascii="宋体" w:hAnsi="宋体"/>
          <w:sz w:val="24"/>
          <w:szCs w:val="24"/>
        </w:rPr>
        <w:t>2.4原辅材料以及低值易耗品领用：外包方应按照商用车公司制定的产品工艺定额领用物料，生产中所用的各类辅料由商用车公司提供，按需领取，外包方不得使用商用车公司规定范围外的物料。外包方需指定专人负责对领取的物料进行妥善管理，包括物料的接收、消耗、领用等全过程。</w:t>
      </w:r>
    </w:p>
    <w:p w14:paraId="20F3E2EC">
      <w:pPr>
        <w:spacing w:line="360" w:lineRule="auto"/>
        <w:ind w:firstLine="480" w:firstLineChars="200"/>
        <w:rPr>
          <w:rFonts w:hint="eastAsia" w:ascii="宋体" w:hAnsi="宋体"/>
          <w:sz w:val="24"/>
          <w:szCs w:val="24"/>
        </w:rPr>
      </w:pPr>
      <w:r>
        <w:rPr>
          <w:rFonts w:hint="eastAsia" w:ascii="宋体" w:hAnsi="宋体"/>
          <w:sz w:val="24"/>
          <w:szCs w:val="24"/>
        </w:rPr>
        <w:t>商用车公司负责对外包方生产过程中发生的低值易耗、辅料等的数量进行监控，低值易耗品、辅料消耗量超过辅料定额的20%以上的，应由外包方立即分析原因并组织整改，商用车公司依据相关管理办法进行考核。</w:t>
      </w:r>
    </w:p>
    <w:p w14:paraId="47552DD5">
      <w:pPr>
        <w:spacing w:line="360" w:lineRule="auto"/>
        <w:ind w:firstLine="480" w:firstLineChars="200"/>
        <w:rPr>
          <w:rFonts w:hint="eastAsia" w:ascii="宋体" w:hAnsi="宋体"/>
          <w:sz w:val="24"/>
          <w:szCs w:val="24"/>
        </w:rPr>
      </w:pPr>
      <w:r>
        <w:rPr>
          <w:rFonts w:hint="eastAsia" w:ascii="宋体" w:hAnsi="宋体"/>
          <w:sz w:val="24"/>
          <w:szCs w:val="24"/>
        </w:rPr>
        <w:t>2.5工装器具：车架底盘面漆喷涂过程中所需工装、工具和工位器具等，由商用车公司提供。</w:t>
      </w:r>
    </w:p>
    <w:p w14:paraId="29CC23C4">
      <w:pPr>
        <w:spacing w:line="360" w:lineRule="auto"/>
        <w:ind w:firstLine="480" w:firstLineChars="200"/>
        <w:rPr>
          <w:rFonts w:hint="eastAsia" w:ascii="宋体" w:hAnsi="宋体"/>
          <w:sz w:val="24"/>
          <w:szCs w:val="24"/>
        </w:rPr>
      </w:pPr>
      <w:r>
        <w:rPr>
          <w:rFonts w:hint="eastAsia" w:ascii="宋体" w:hAnsi="宋体"/>
          <w:sz w:val="24"/>
          <w:szCs w:val="24"/>
        </w:rPr>
        <w:t>2.6能源消耗：外包业务所需的压缩空气、水、电、天然气等能源费用由商用车公司承担。年度能源消耗控制在114.26元/台，年度统算超出部分由甲方从支付给乙方的外包费中扣除。</w:t>
      </w:r>
    </w:p>
    <w:p w14:paraId="1784D273">
      <w:pPr>
        <w:spacing w:line="360" w:lineRule="auto"/>
        <w:ind w:firstLine="480" w:firstLineChars="200"/>
        <w:rPr>
          <w:rFonts w:hint="eastAsia" w:ascii="宋体" w:hAnsi="宋体"/>
          <w:sz w:val="24"/>
          <w:szCs w:val="24"/>
        </w:rPr>
      </w:pPr>
      <w:r>
        <w:rPr>
          <w:rFonts w:hint="eastAsia" w:ascii="宋体" w:hAnsi="宋体"/>
          <w:sz w:val="24"/>
          <w:szCs w:val="24"/>
        </w:rPr>
        <w:t>2.7劳保用品：外包方员工使用的工作服、手套、劳保鞋、防毒口罩、防噪耳塞、面罩等劳保用品、特种设备使用及审验费用、特种作业人员的培训复审费用、尘毒作业人员职业健康查体费用等均由外包方自行承担，且作业人员所使用的劳保防护用品必须符合商用车公司及相关安环部门要求。</w:t>
      </w:r>
    </w:p>
    <w:p w14:paraId="5D8A3AC0">
      <w:pPr>
        <w:spacing w:line="360" w:lineRule="auto"/>
        <w:ind w:firstLine="480" w:firstLineChars="200"/>
        <w:rPr>
          <w:rFonts w:hint="eastAsia" w:ascii="宋体" w:hAnsi="宋体"/>
          <w:sz w:val="24"/>
          <w:szCs w:val="24"/>
        </w:rPr>
      </w:pPr>
      <w:r>
        <w:rPr>
          <w:rFonts w:hint="eastAsia" w:ascii="宋体" w:hAnsi="宋体"/>
          <w:sz w:val="24"/>
          <w:szCs w:val="24"/>
        </w:rPr>
        <w:t>2.8办公用品：外包业务所需的电话、电脑、打印机等办公设备由商用车公司提供。</w:t>
      </w:r>
    </w:p>
    <w:p w14:paraId="1AFCC1B4">
      <w:pPr>
        <w:spacing w:line="360" w:lineRule="auto"/>
        <w:ind w:firstLine="480" w:firstLineChars="200"/>
        <w:rPr>
          <w:rFonts w:hint="eastAsia" w:ascii="宋体" w:hAnsi="宋体"/>
          <w:sz w:val="24"/>
          <w:szCs w:val="24"/>
        </w:rPr>
      </w:pPr>
      <w:r>
        <w:rPr>
          <w:rFonts w:hint="eastAsia" w:ascii="宋体" w:hAnsi="宋体"/>
          <w:sz w:val="24"/>
          <w:szCs w:val="24"/>
        </w:rPr>
        <w:t>2.9废料：日常生产所产生的废料，按照商用车公司要求规范储存、转运到指定位置。</w:t>
      </w:r>
    </w:p>
    <w:p w14:paraId="6D9FC3B8">
      <w:pPr>
        <w:spacing w:line="360" w:lineRule="auto"/>
        <w:ind w:firstLine="480" w:firstLineChars="200"/>
        <w:rPr>
          <w:rFonts w:hint="eastAsia" w:ascii="宋体" w:hAnsi="宋体"/>
          <w:sz w:val="24"/>
          <w:szCs w:val="24"/>
        </w:rPr>
      </w:pPr>
      <w:r>
        <w:rPr>
          <w:rFonts w:hint="eastAsia" w:ascii="宋体" w:hAnsi="宋体"/>
          <w:sz w:val="24"/>
          <w:szCs w:val="24"/>
        </w:rPr>
        <w:t>2.10物资以及器具摆放：外包方应执行商用车公司现场管理要求，规范使用工装、工具和工位器具，并按定置定位摆放整齐，不准出现超高、杂乱、混放、磕碰等现象，执行商用车公司现场物资管理标准。</w:t>
      </w:r>
    </w:p>
    <w:p w14:paraId="252465ED">
      <w:pPr>
        <w:spacing w:line="360" w:lineRule="auto"/>
        <w:ind w:firstLine="480" w:firstLineChars="200"/>
        <w:rPr>
          <w:rFonts w:ascii="宋体" w:hAnsi="宋体"/>
          <w:sz w:val="24"/>
          <w:szCs w:val="24"/>
        </w:rPr>
      </w:pPr>
      <w:r>
        <w:rPr>
          <w:rFonts w:hint="eastAsia" w:ascii="宋体" w:hAnsi="宋体"/>
          <w:sz w:val="24"/>
          <w:szCs w:val="24"/>
        </w:rPr>
        <w:t>2.11现场管理：外包方负责相关工作区域内的卫生清理、保洁，执行公司“5S”管理要求，按照商用车公司要求存储、转运危废物品和各类垃圾等。</w:t>
      </w:r>
    </w:p>
    <w:p w14:paraId="415C713F">
      <w:pPr>
        <w:spacing w:line="360" w:lineRule="auto"/>
        <w:ind w:firstLine="522" w:firstLineChars="200"/>
        <w:rPr>
          <w:rFonts w:hint="eastAsia" w:ascii="宋体" w:hAnsi="宋体" w:cs="宋体"/>
          <w:b/>
          <w:bCs/>
          <w:sz w:val="26"/>
          <w:szCs w:val="26"/>
        </w:rPr>
      </w:pPr>
      <w:r>
        <w:rPr>
          <w:rFonts w:hint="eastAsia" w:ascii="宋体" w:hAnsi="宋体" w:cs="宋体"/>
          <w:b/>
          <w:bCs/>
          <w:sz w:val="26"/>
          <w:szCs w:val="26"/>
        </w:rPr>
        <w:t>六、设备管理</w:t>
      </w:r>
    </w:p>
    <w:p w14:paraId="208DA7E1">
      <w:pPr>
        <w:spacing w:line="360" w:lineRule="auto"/>
        <w:ind w:firstLine="480" w:firstLineChars="200"/>
        <w:rPr>
          <w:rFonts w:hint="eastAsia" w:ascii="宋体" w:hAnsi="宋体"/>
          <w:sz w:val="24"/>
          <w:szCs w:val="24"/>
        </w:rPr>
      </w:pPr>
      <w:r>
        <w:rPr>
          <w:rFonts w:hint="eastAsia" w:ascii="宋体" w:hAnsi="宋体"/>
          <w:sz w:val="24"/>
          <w:szCs w:val="24"/>
        </w:rPr>
        <w:t>1.车架底盘面漆项目所需厂区设备所有权归商用车公司所有，主要包括输送链、滚床、滑橇等输送系统、供漆系统、喷漆室等设备及配套设施等。</w:t>
      </w:r>
    </w:p>
    <w:p w14:paraId="756E14DD">
      <w:pPr>
        <w:spacing w:line="360" w:lineRule="auto"/>
        <w:ind w:firstLine="480" w:firstLineChars="200"/>
        <w:rPr>
          <w:rFonts w:hint="eastAsia" w:ascii="宋体" w:hAnsi="宋体"/>
          <w:sz w:val="24"/>
          <w:szCs w:val="24"/>
        </w:rPr>
      </w:pPr>
      <w:r>
        <w:rPr>
          <w:rFonts w:hint="eastAsia" w:ascii="宋体" w:hAnsi="宋体"/>
          <w:sz w:val="24"/>
          <w:szCs w:val="24"/>
        </w:rPr>
        <w:t>2.商用车公司在设备EAM系统中开展设备自主保全及定期维护，制定并更新设备日常维护基准及定期维护基准。外包方根据设备说明书及商用车公司要求，严格按照设备管理系统中任务开展其负责的设备自主保全及定期维护作业内容，商用车公司按计划对设备维保情况及点检记录进行检查。维护保养所使用易耗品（如清洁剂、润滑油等）、易损件、非使用不当或者操作不当原因造成需更换设备备件的，均由商用车公司提供相应设备备件。</w:t>
      </w:r>
    </w:p>
    <w:p w14:paraId="1B234FFC">
      <w:pPr>
        <w:spacing w:line="360" w:lineRule="auto"/>
        <w:ind w:firstLine="480" w:firstLineChars="200"/>
        <w:rPr>
          <w:rFonts w:hint="eastAsia" w:ascii="宋体" w:hAnsi="宋体"/>
          <w:sz w:val="24"/>
          <w:szCs w:val="24"/>
        </w:rPr>
      </w:pPr>
      <w:r>
        <w:rPr>
          <w:rFonts w:hint="eastAsia" w:ascii="宋体" w:hAnsi="宋体"/>
          <w:sz w:val="24"/>
          <w:szCs w:val="24"/>
        </w:rPr>
        <w:t>3.外包方需确保设备保持完好状态，若设备发生故障或者出现异常，需立即向商用车公司汇报，由商用车公司负责现场确认后判定故障责任；非使用不当或者操作不当原因造成设备的项修及大修均由商用车公司负责；商用车公司对设备保养情况、设备状态、设备使用进行检查，对未按要求进行维保，设备状态异常，违规使用设备情况进行通报，情况严重时按照规定对外包方进行考核。</w:t>
      </w:r>
    </w:p>
    <w:p w14:paraId="34C02707">
      <w:pPr>
        <w:spacing w:line="360" w:lineRule="auto"/>
        <w:ind w:firstLine="480" w:firstLineChars="200"/>
        <w:rPr>
          <w:rFonts w:hint="eastAsia" w:ascii="宋体" w:hAnsi="宋体"/>
          <w:sz w:val="24"/>
          <w:szCs w:val="24"/>
        </w:rPr>
      </w:pPr>
      <w:r>
        <w:rPr>
          <w:rFonts w:hint="eastAsia" w:ascii="宋体" w:hAnsi="宋体"/>
          <w:sz w:val="24"/>
          <w:szCs w:val="24"/>
        </w:rPr>
        <w:t>4.外包方必须遵守商用车公司设备安全操作规程以及标准作业要求，因外包方操作失误或维护不当，引起的设备故障，产生的设备维修费用及停产损失全部由外包方负责。如果外包方拒不执行修复工作，或设备维修后达不到商用车公司要求，商用车公司可自行组织对设备维修、保全，所发生费用以及商用车公司停产所造成损失，由外包方承担。</w:t>
      </w:r>
    </w:p>
    <w:p w14:paraId="4AA5FF06">
      <w:pPr>
        <w:spacing w:line="360" w:lineRule="auto"/>
        <w:ind w:firstLine="480" w:firstLineChars="200"/>
        <w:rPr>
          <w:rFonts w:hint="eastAsia" w:ascii="宋体" w:hAnsi="宋体"/>
          <w:sz w:val="24"/>
          <w:szCs w:val="24"/>
        </w:rPr>
      </w:pPr>
      <w:r>
        <w:rPr>
          <w:rFonts w:hint="eastAsia" w:ascii="宋体" w:hAnsi="宋体"/>
          <w:sz w:val="24"/>
          <w:szCs w:val="24"/>
        </w:rPr>
        <w:t>5.外包方设备操作人员必须经过安全和技能培训，根据商用车公司要求取得设备操作资质，持证上岗；无证人员不得操作设备。因外包方人员的违规作业导致产生安全、质量、生产事故，由外包方承担所有损失，如因此给商用车公司或第三方造成任何损失，外包方承担全部赔偿责任。</w:t>
      </w:r>
    </w:p>
    <w:p w14:paraId="20358005">
      <w:pPr>
        <w:spacing w:line="360" w:lineRule="auto"/>
        <w:ind w:firstLine="480" w:firstLineChars="200"/>
        <w:rPr>
          <w:rFonts w:hint="eastAsia" w:ascii="宋体" w:hAnsi="宋体"/>
          <w:sz w:val="24"/>
          <w:szCs w:val="24"/>
        </w:rPr>
      </w:pPr>
    </w:p>
    <w:bookmarkEnd w:id="14"/>
    <w:p w14:paraId="3A1B4B0E">
      <w:pPr>
        <w:spacing w:line="360" w:lineRule="auto"/>
        <w:ind w:firstLine="200"/>
        <w:rPr>
          <w:rFonts w:hint="eastAsia" w:ascii="宋体" w:hAnsi="宋体" w:cs="宋体"/>
          <w:sz w:val="24"/>
          <w:szCs w:val="24"/>
        </w:rPr>
      </w:pPr>
    </w:p>
    <w:p w14:paraId="2470809E">
      <w:pPr>
        <w:pStyle w:val="76"/>
        <w:rPr>
          <w:b w:val="0"/>
          <w:bCs w:val="0"/>
        </w:rPr>
      </w:pPr>
    </w:p>
    <w:p w14:paraId="41362990">
      <w:pPr>
        <w:pStyle w:val="76"/>
        <w:rPr>
          <w:b/>
          <w:bCs/>
        </w:rPr>
      </w:pPr>
    </w:p>
    <w:p w14:paraId="56105630">
      <w:pPr>
        <w:rPr>
          <w:rFonts w:ascii="宋体" w:hAnsi="宋体"/>
          <w:b/>
          <w:sz w:val="28"/>
          <w:szCs w:val="28"/>
        </w:rPr>
      </w:pPr>
      <w:bookmarkStart w:id="16" w:name="_Toc47976609"/>
      <w:r>
        <w:rPr>
          <w:rFonts w:hint="eastAsia"/>
        </w:rPr>
        <w:br w:type="page"/>
      </w:r>
      <w:bookmarkEnd w:id="16"/>
    </w:p>
    <w:p w14:paraId="71B3C43D">
      <w:pPr>
        <w:rPr>
          <w:rFonts w:hint="eastAsia"/>
        </w:rPr>
      </w:pPr>
      <w:bookmarkStart w:id="17" w:name="_Toc47976615"/>
    </w:p>
    <w:p w14:paraId="1A67A1AE">
      <w:pPr>
        <w:rPr>
          <w:rFonts w:hint="eastAsia"/>
        </w:rPr>
      </w:pPr>
    </w:p>
    <w:p w14:paraId="50D9D845">
      <w:pPr>
        <w:pStyle w:val="71"/>
        <w:rPr>
          <w:rFonts w:ascii="黑体" w:hAnsi="Calibri" w:eastAsia="黑体" w:cs="Times New Roman"/>
          <w:color w:val="000000"/>
          <w:sz w:val="24"/>
          <w:szCs w:val="24"/>
        </w:rPr>
      </w:pPr>
      <w:bookmarkStart w:id="18" w:name="_Toc16500"/>
      <w:r>
        <w:rPr>
          <w:rFonts w:hint="eastAsia"/>
        </w:rPr>
        <w:t>第</w:t>
      </w:r>
      <w:r>
        <w:rPr>
          <w:rFonts w:hint="eastAsia"/>
          <w:lang w:val="en-US" w:eastAsia="zh-CN"/>
        </w:rPr>
        <w:t>三</w:t>
      </w:r>
      <w:r>
        <w:rPr>
          <w:rFonts w:hint="eastAsia"/>
        </w:rPr>
        <w:t>部分　</w:t>
      </w:r>
      <w:bookmarkEnd w:id="17"/>
      <w:r>
        <w:rPr>
          <w:rFonts w:hint="eastAsia"/>
          <w:lang w:val="en-US" w:eastAsia="zh-CN"/>
        </w:rPr>
        <w:t>投标文件附件</w:t>
      </w:r>
      <w:bookmarkEnd w:id="18"/>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9" w:name="_Toc47976618"/>
      <w:bookmarkStart w:id="20" w:name="_Toc29366865"/>
      <w:bookmarkStart w:id="21" w:name="_Toc29366869"/>
      <w:r>
        <w:rPr>
          <w:rFonts w:hint="eastAsia" w:ascii="宋体" w:hAnsi="宋体" w:eastAsia="宋体" w:cs="宋体"/>
          <w:sz w:val="32"/>
          <w:szCs w:val="32"/>
          <w:highlight w:val="none"/>
          <w:lang w:val="en-US" w:eastAsia="zh-CN"/>
        </w:rPr>
        <w:t>附件1 法定代表人授权委托书</w:t>
      </w:r>
    </w:p>
    <w:bookmarkEnd w:id="19"/>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w:t>
      </w:r>
      <w:r>
        <w:rPr>
          <w:rFonts w:hint="eastAsia" w:ascii="宋体" w:hAnsi="宋体" w:eastAsia="宋体" w:cs="Times New Roman"/>
          <w:color w:val="000000"/>
          <w:sz w:val="24"/>
          <w:szCs w:val="24"/>
          <w:highlight w:val="none"/>
        </w:rPr>
        <w:t>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车架底盘面漆喷涂项目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6B24FACE">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54D31F8">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车架底盘面漆喷涂项目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0"/>
    <w:bookmarkEnd w:id="21"/>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车架底盘面漆喷涂项目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车架底盘面漆喷涂</w:t>
            </w:r>
            <w:r>
              <w:rPr>
                <w:rFonts w:hint="eastAsia" w:ascii="Times New Roman" w:hAnsi="Times New Roman" w:eastAsia="宋体" w:cs="Times New Roman"/>
                <w:b/>
                <w:szCs w:val="20"/>
                <w:lang w:val="en-US" w:eastAsia="zh-CN"/>
              </w:rPr>
              <w:t>报价（元/台，不含税）</w:t>
            </w:r>
          </w:p>
        </w:tc>
        <w:tc>
          <w:tcPr>
            <w:tcW w:w="1243" w:type="dxa"/>
            <w:vAlign w:val="center"/>
          </w:tcPr>
          <w:p w14:paraId="5BE19F44">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车架总成面漆喷涂</w:t>
            </w:r>
            <w:r>
              <w:rPr>
                <w:rFonts w:hint="eastAsia" w:ascii="Times New Roman" w:hAnsi="Times New Roman" w:eastAsia="宋体" w:cs="Times New Roman"/>
                <w:b/>
                <w:szCs w:val="20"/>
                <w:lang w:val="en-US" w:eastAsia="zh-CN"/>
              </w:rPr>
              <w:t>报价（元/台，不含税）</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2" w:name="_Toc47976616"/>
      <w:bookmarkStart w:id="23"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2"/>
      <w:bookmarkEnd w:id="23"/>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w:t>
      </w:r>
      <w:r>
        <w:rPr>
          <w:rFonts w:hint="eastAsia" w:ascii="宋体" w:hAnsi="宋体" w:eastAsia="宋体" w:cs="Times New Roman"/>
          <w:color w:val="000000"/>
          <w:sz w:val="24"/>
          <w:szCs w:val="24"/>
          <w:highlight w:val="none"/>
        </w:rPr>
        <w:t>方</w:t>
      </w:r>
      <w:r>
        <w:rPr>
          <w:rFonts w:hint="eastAsia" w:ascii="宋体" w:hAnsi="宋体" w:cs="Times New Roman"/>
          <w:color w:val="000000"/>
          <w:sz w:val="24"/>
          <w:szCs w:val="24"/>
          <w:highlight w:val="none"/>
          <w:u w:val="single"/>
          <w:lang w:val="en-US" w:eastAsia="zh-CN"/>
        </w:rPr>
        <w:t>车架底盘面漆喷涂项目</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rPr>
              <w:t>车架底盘面漆喷涂项目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1"/>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41"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4"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5"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6"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服务</w:t>
      </w:r>
      <w:r>
        <w:rPr>
          <w:rFonts w:hint="eastAsia"/>
          <w:b/>
          <w:bCs/>
          <w:highlight w:val="cyan"/>
        </w:rPr>
        <w:t xml:space="preserve"> /</w:t>
      </w:r>
      <w:r>
        <w:rPr>
          <w:rFonts w:hint="eastAsia"/>
          <w:b/>
          <w:bCs/>
          <w:highlight w:val="cyan"/>
          <w:lang w:val="en-US" w:eastAsia="zh-CN"/>
        </w:rPr>
        <w:t>业务外包</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9"/>
  </w:num>
  <w:num w:numId="24">
    <w:abstractNumId w:val="1"/>
  </w:num>
  <w:num w:numId="25">
    <w:abstractNumId w:val="18"/>
  </w:num>
  <w:num w:numId="26">
    <w:abstractNumId w:val="23"/>
  </w:num>
  <w:num w:numId="27">
    <w:abstractNumId w:val="1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588"/>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A3287B"/>
    <w:rsid w:val="02CC3DCA"/>
    <w:rsid w:val="02FE76EF"/>
    <w:rsid w:val="03F033B0"/>
    <w:rsid w:val="057C1D39"/>
    <w:rsid w:val="05891259"/>
    <w:rsid w:val="0653068C"/>
    <w:rsid w:val="0654565B"/>
    <w:rsid w:val="08633479"/>
    <w:rsid w:val="0A486315"/>
    <w:rsid w:val="0A63147A"/>
    <w:rsid w:val="0ADB2EF0"/>
    <w:rsid w:val="0ADD4CBE"/>
    <w:rsid w:val="0C5829C7"/>
    <w:rsid w:val="0C83309C"/>
    <w:rsid w:val="0CB51572"/>
    <w:rsid w:val="0DE73E36"/>
    <w:rsid w:val="0E244DEA"/>
    <w:rsid w:val="0E4D31E3"/>
    <w:rsid w:val="0E530E38"/>
    <w:rsid w:val="0EFA436F"/>
    <w:rsid w:val="10DC2AA3"/>
    <w:rsid w:val="10FA7C8C"/>
    <w:rsid w:val="12F64B6E"/>
    <w:rsid w:val="130B198F"/>
    <w:rsid w:val="130B6CA5"/>
    <w:rsid w:val="13B54178"/>
    <w:rsid w:val="13FA68E0"/>
    <w:rsid w:val="157A7D5C"/>
    <w:rsid w:val="15BB1367"/>
    <w:rsid w:val="16A918E4"/>
    <w:rsid w:val="17D966D6"/>
    <w:rsid w:val="18A731C4"/>
    <w:rsid w:val="19517BDA"/>
    <w:rsid w:val="19E33213"/>
    <w:rsid w:val="1A463A67"/>
    <w:rsid w:val="1AEB32C4"/>
    <w:rsid w:val="1B481CDF"/>
    <w:rsid w:val="1BA3160C"/>
    <w:rsid w:val="1BC71D3B"/>
    <w:rsid w:val="1C187A8D"/>
    <w:rsid w:val="1C59115B"/>
    <w:rsid w:val="1D596BD7"/>
    <w:rsid w:val="1E296445"/>
    <w:rsid w:val="1EFD1680"/>
    <w:rsid w:val="1F8A799D"/>
    <w:rsid w:val="1FB23E60"/>
    <w:rsid w:val="1FBA79B4"/>
    <w:rsid w:val="212F23EA"/>
    <w:rsid w:val="21F50ADF"/>
    <w:rsid w:val="226A2E83"/>
    <w:rsid w:val="227640E7"/>
    <w:rsid w:val="227F2CA6"/>
    <w:rsid w:val="22C5630B"/>
    <w:rsid w:val="23567554"/>
    <w:rsid w:val="23EC0BA6"/>
    <w:rsid w:val="24701A48"/>
    <w:rsid w:val="25EC6AF8"/>
    <w:rsid w:val="268B0052"/>
    <w:rsid w:val="26CF6817"/>
    <w:rsid w:val="275A72A3"/>
    <w:rsid w:val="27743C90"/>
    <w:rsid w:val="27B358EA"/>
    <w:rsid w:val="28B55739"/>
    <w:rsid w:val="29CA2459"/>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CC3135"/>
    <w:rsid w:val="35D271A0"/>
    <w:rsid w:val="36254FE4"/>
    <w:rsid w:val="36770440"/>
    <w:rsid w:val="36AA39B8"/>
    <w:rsid w:val="372F61E0"/>
    <w:rsid w:val="39085665"/>
    <w:rsid w:val="39322FCA"/>
    <w:rsid w:val="395C1BFB"/>
    <w:rsid w:val="3A503E1E"/>
    <w:rsid w:val="3AB90991"/>
    <w:rsid w:val="3B706131"/>
    <w:rsid w:val="3BCB70C7"/>
    <w:rsid w:val="3BF833EC"/>
    <w:rsid w:val="3C8E02FC"/>
    <w:rsid w:val="3E175815"/>
    <w:rsid w:val="3E6F041E"/>
    <w:rsid w:val="3E846635"/>
    <w:rsid w:val="3F9D2397"/>
    <w:rsid w:val="418D0CE6"/>
    <w:rsid w:val="41A5482C"/>
    <w:rsid w:val="4275481E"/>
    <w:rsid w:val="428B617A"/>
    <w:rsid w:val="42CE288A"/>
    <w:rsid w:val="433D7BDC"/>
    <w:rsid w:val="437E1813"/>
    <w:rsid w:val="43A427AA"/>
    <w:rsid w:val="4402768E"/>
    <w:rsid w:val="444E2202"/>
    <w:rsid w:val="45354CBC"/>
    <w:rsid w:val="45B57298"/>
    <w:rsid w:val="45BD47FC"/>
    <w:rsid w:val="45CC5FB2"/>
    <w:rsid w:val="46B75BA8"/>
    <w:rsid w:val="46E91D19"/>
    <w:rsid w:val="476B5A7D"/>
    <w:rsid w:val="48C97955"/>
    <w:rsid w:val="49880C8F"/>
    <w:rsid w:val="4A257748"/>
    <w:rsid w:val="4A8835F7"/>
    <w:rsid w:val="4B592E71"/>
    <w:rsid w:val="4BB4443B"/>
    <w:rsid w:val="4DF75369"/>
    <w:rsid w:val="4EA23B01"/>
    <w:rsid w:val="4EB0217D"/>
    <w:rsid w:val="4F8B220C"/>
    <w:rsid w:val="504F4EAF"/>
    <w:rsid w:val="516C4BAA"/>
    <w:rsid w:val="51D51447"/>
    <w:rsid w:val="52B9239A"/>
    <w:rsid w:val="52D52A7F"/>
    <w:rsid w:val="53504CC6"/>
    <w:rsid w:val="54BD78FD"/>
    <w:rsid w:val="552A3C28"/>
    <w:rsid w:val="555A2DA3"/>
    <w:rsid w:val="56901A99"/>
    <w:rsid w:val="57713D91"/>
    <w:rsid w:val="58A86DDE"/>
    <w:rsid w:val="58EA204C"/>
    <w:rsid w:val="59154AD7"/>
    <w:rsid w:val="5A542AB4"/>
    <w:rsid w:val="5ADF548D"/>
    <w:rsid w:val="5BF95104"/>
    <w:rsid w:val="5C4627AE"/>
    <w:rsid w:val="5C9249CA"/>
    <w:rsid w:val="5D5C60B4"/>
    <w:rsid w:val="5D8073BF"/>
    <w:rsid w:val="5F7508C2"/>
    <w:rsid w:val="60651FB9"/>
    <w:rsid w:val="614E12EC"/>
    <w:rsid w:val="616D6769"/>
    <w:rsid w:val="63F04A69"/>
    <w:rsid w:val="646A3D0C"/>
    <w:rsid w:val="64A82747"/>
    <w:rsid w:val="65336B29"/>
    <w:rsid w:val="65AA5B01"/>
    <w:rsid w:val="66A50B1E"/>
    <w:rsid w:val="66E418B0"/>
    <w:rsid w:val="67095CF1"/>
    <w:rsid w:val="674E3DF4"/>
    <w:rsid w:val="67B00EF8"/>
    <w:rsid w:val="67B2063C"/>
    <w:rsid w:val="67C97AC3"/>
    <w:rsid w:val="67E30EC1"/>
    <w:rsid w:val="6A4E3B2B"/>
    <w:rsid w:val="6AC838A9"/>
    <w:rsid w:val="6B481C3B"/>
    <w:rsid w:val="6B875383"/>
    <w:rsid w:val="6B914DF2"/>
    <w:rsid w:val="6BBD7F47"/>
    <w:rsid w:val="6C1331A3"/>
    <w:rsid w:val="6C765676"/>
    <w:rsid w:val="6CA84BC1"/>
    <w:rsid w:val="6D170ADE"/>
    <w:rsid w:val="6D3E4756"/>
    <w:rsid w:val="6FC523EB"/>
    <w:rsid w:val="6FE22646"/>
    <w:rsid w:val="70825D63"/>
    <w:rsid w:val="719E3618"/>
    <w:rsid w:val="71F00129"/>
    <w:rsid w:val="71FE41EB"/>
    <w:rsid w:val="72895F2E"/>
    <w:rsid w:val="72C02EBE"/>
    <w:rsid w:val="72C507AD"/>
    <w:rsid w:val="72C9287B"/>
    <w:rsid w:val="72D028D8"/>
    <w:rsid w:val="73797DFD"/>
    <w:rsid w:val="74177BE1"/>
    <w:rsid w:val="745D47C3"/>
    <w:rsid w:val="74C701BB"/>
    <w:rsid w:val="751B1584"/>
    <w:rsid w:val="75341FA7"/>
    <w:rsid w:val="754D7793"/>
    <w:rsid w:val="764F7753"/>
    <w:rsid w:val="76AC3757"/>
    <w:rsid w:val="77D4005C"/>
    <w:rsid w:val="77D632DB"/>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7281</Words>
  <Characters>7679</Characters>
  <Lines>127</Lines>
  <Paragraphs>35</Paragraphs>
  <TotalTime>7</TotalTime>
  <ScaleCrop>false</ScaleCrop>
  <LinksUpToDate>false</LinksUpToDate>
  <CharactersWithSpaces>7753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2025-12-02T03:31:37Z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