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2026年车身一部涂装线项目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FSCZB2025110419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2026年车身一部涂装线项目</w:t>
      </w:r>
    </w:p>
    <w:p w14:paraId="15020D03">
      <w:pPr>
        <w:pStyle w:val="73"/>
      </w:pPr>
      <w:r>
        <w:rPr>
          <w:rFonts w:hint="eastAsia"/>
        </w:rPr>
        <w:t>项目编号：</w:t>
      </w:r>
      <w:r>
        <w:rPr>
          <w:rFonts w:hint="eastAsia"/>
          <w:highlight w:val="yellow"/>
        </w:rPr>
        <w:t xml:space="preserve"> FSCZB2025110419</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2026年车身一部涂装线项目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22</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29</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山东省阳光采购平台</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2B0A2B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DF1594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3B952B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3C79ECA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杨淑清</w:t>
      </w:r>
    </w:p>
    <w:p w14:paraId="4C783F6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76B9B746">
      <w:pPr>
        <w:pStyle w:val="72"/>
        <w:numPr>
          <w:numId w:val="0"/>
        </w:numPr>
        <w:ind w:leftChars="0" w:firstLine="422" w:firstLineChars="200"/>
        <w:rPr>
          <w:highlight w:val="yellow"/>
        </w:rPr>
      </w:pPr>
      <w:r>
        <w:rPr>
          <w:rFonts w:hint="eastAsia" w:ascii="宋体" w:hAnsi="宋体" w:eastAsia="宋体" w:cs="宋体"/>
          <w:b/>
          <w:bCs/>
          <w:sz w:val="21"/>
          <w:szCs w:val="21"/>
        </w:rPr>
        <w:t>邮箱：yangshuqing1@sinotruk.com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16</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结合集团公司鼓励非核心分装业务外包政策，车身一部申请对涂装现场分部非核心工序部分业务进行外包，其中包括车间生产操作及辅助岗位、治具更换、成品防护、涂胶、点修，面漆驾驶室发交等业务。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65520C6D">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（1）投标人须遵守《中华人民共和国招标投标法》《中华人民共和国民法典》及其他有关的法律和法规；为中华人民共和国境内注册的独立法人机构，具有独立承担民事责任能力；</w:t>
      </w:r>
    </w:p>
    <w:p w14:paraId="472C12CE">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（2）公司成立三年以上（以营业执照成立日期到开标当日满三年为准）；注册资金不少于3000万元；经营范围满足招标项目需求；</w:t>
      </w:r>
    </w:p>
    <w:p w14:paraId="3DB228F6">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（3）投标人须提供具有统一社会信用代码的新版营业执照副本原件及复印件（加盖公章）；</w:t>
      </w:r>
    </w:p>
    <w:p w14:paraId="5FE34C17">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67E99C6C">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（5）投标人在近三年内在经营活动中无违法记录，且营业收入和利润保持正常比值。</w:t>
      </w:r>
    </w:p>
    <w:p w14:paraId="30A5AFDD">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（6）具有健全的财务会计制度，财务状况和良好的市场行为。没有处于被有权机关吊销营业执照、吊销资质、停业整顿、取消投标资格以及财产被接管、冻结或进入破产程序等。</w:t>
      </w:r>
    </w:p>
    <w:p w14:paraId="413A4C23">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0F22CECC">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（8）投标人须提供法人授权委托书原件（在投标文件副本中可用复印件）及投标单位的法定代表人或授权代表的身份证原件及复印件（加盖公章）；</w:t>
      </w:r>
    </w:p>
    <w:p w14:paraId="7A63601A">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（9）投标人须具有履行合同所必需的设备、财务、技术、服务等方面的资质和能力；</w:t>
      </w:r>
    </w:p>
    <w:p w14:paraId="666C5820">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（10）投标人须具有完全履行招标文件的所有要求的能力；</w:t>
      </w:r>
    </w:p>
    <w:p w14:paraId="61589CDF">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（11）投标人须认可招标人的工作指令，包括节假日能正常开展工作的要求；</w:t>
      </w:r>
    </w:p>
    <w:p w14:paraId="7A9C580B">
      <w:pPr>
        <w:pStyle w:val="73"/>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（12）投标人并非联合投标或者代理投标。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16</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22</w:t>
      </w:r>
      <w:r>
        <w:rPr>
          <w:rFonts w:hint="eastAsia"/>
          <w:highlight w:val="yellow"/>
        </w:rPr>
        <w:t>日</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22</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22</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5F948536">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22</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12BE65FF">
      <w:pPr>
        <w:pStyle w:val="75"/>
        <w:numPr>
          <w:ilvl w:val="0"/>
          <w:numId w:val="19"/>
        </w:numPr>
        <w:ind w:left="425" w:leftChars="0" w:hanging="425" w:firstLineChars="0"/>
        <w:rPr>
          <w:rFonts w:hint="default" w:eastAsia="宋体"/>
          <w:b/>
          <w:bCs w:val="0"/>
          <w:color w:val="FF0000"/>
          <w:highlight w:val="none"/>
          <w:lang w:val="en-US" w:eastAsia="zh-CN"/>
        </w:rPr>
      </w:pPr>
      <w:r>
        <w:rPr>
          <w:rFonts w:hint="eastAsia"/>
          <w:b w:val="0"/>
          <w:bCs/>
          <w:highlight w:val="yellow"/>
        </w:rPr>
        <w:t>投标设备配置明细表；</w:t>
      </w:r>
    </w:p>
    <w:p w14:paraId="5FAE5E7E">
      <w:pPr>
        <w:pStyle w:val="75"/>
        <w:numPr>
          <w:ilvl w:val="0"/>
          <w:numId w:val="19"/>
        </w:numPr>
        <w:ind w:left="425" w:leftChars="0" w:hanging="425" w:firstLineChars="0"/>
        <w:rPr>
          <w:rFonts w:hint="default" w:eastAsia="宋体"/>
          <w:b/>
          <w:bCs w:val="0"/>
          <w:color w:val="FF0000"/>
          <w:highlight w:val="none"/>
          <w:lang w:val="en-US" w:eastAsia="zh-CN"/>
        </w:rPr>
      </w:pPr>
      <w:r>
        <w:rPr>
          <w:rFonts w:hint="eastAsia"/>
          <w:b w:val="0"/>
          <w:bCs/>
          <w:highlight w:val="yellow"/>
        </w:rPr>
        <w:t>技术规格偏离表；</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1127.49 </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44000553">
      <w:pPr>
        <w:pStyle w:val="75"/>
        <w:numPr>
          <w:ilvl w:val="0"/>
          <w:numId w:val="21"/>
        </w:numPr>
        <w:rPr>
          <w:bCs/>
        </w:rPr>
      </w:pPr>
      <w:r>
        <w:rPr>
          <w:rFonts w:hint="eastAsia"/>
          <w:bCs/>
        </w:rPr>
        <w:t>联系人及联系方式：郭朝琛/</w:t>
      </w:r>
      <w:r>
        <w:rPr>
          <w:rFonts w:hint="eastAsia"/>
          <w:bCs/>
          <w:lang w:val="en-US" w:eastAsia="zh-CN"/>
        </w:rPr>
        <w:t>17860606311</w:t>
      </w:r>
    </w:p>
    <w:p w14:paraId="6B6362D4">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29</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20万 </w:t>
      </w:r>
      <w:r>
        <w:rPr>
          <w:rFonts w:hint="eastAsia" w:ascii="宋体" w:hAnsi="宋体" w:eastAsia="宋体" w:cs="宋体"/>
          <w:b w:val="0"/>
          <w:bCs w:val="0"/>
          <w:sz w:val="21"/>
          <w:szCs w:val="21"/>
          <w:highlight w:val="none"/>
        </w:rPr>
        <w:t>元</w:t>
      </w:r>
    </w:p>
    <w:p w14:paraId="14497044">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29</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29</w:t>
      </w:r>
      <w:bookmarkStart w:id="38" w:name="_GoBack"/>
      <w:bookmarkEnd w:id="38"/>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120AE5C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4689D34">
      <w:pPr>
        <w:pStyle w:val="12"/>
        <w:spacing w:line="410" w:lineRule="exact"/>
        <w:ind w:left="0" w:leftChars="0" w:firstLine="0" w:firstLineChars="0"/>
        <w:jc w:val="center"/>
        <w:rPr>
          <w:rFonts w:eastAsia="仿宋_GB2312"/>
          <w:b/>
          <w:color w:val="000000"/>
          <w:sz w:val="30"/>
          <w:szCs w:val="30"/>
          <w:lang w:eastAsia="zh-CN"/>
        </w:rPr>
      </w:pPr>
      <w:r>
        <w:rPr>
          <w:rFonts w:eastAsia="仿宋_GB2312"/>
          <w:b/>
          <w:color w:val="000000"/>
          <w:sz w:val="30"/>
          <w:szCs w:val="30"/>
          <w:lang w:eastAsia="zh-CN"/>
        </w:rPr>
        <w:t>《评标因素及权重分值表》</w:t>
      </w:r>
    </w:p>
    <w:tbl>
      <w:tblPr>
        <w:tblStyle w:val="30"/>
        <w:tblpPr w:leftFromText="180" w:rightFromText="180" w:vertAnchor="page" w:horzAnchor="page" w:tblpX="790" w:tblpY="2001"/>
        <w:tblOverlap w:val="never"/>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3F23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trPr>
        <w:tc>
          <w:tcPr>
            <w:tcW w:w="846" w:type="dxa"/>
            <w:vAlign w:val="center"/>
          </w:tcPr>
          <w:p w14:paraId="2446569B">
            <w:pPr>
              <w:jc w:val="center"/>
              <w:rPr>
                <w:rFonts w:hint="eastAsia" w:ascii="宋体" w:hAnsi="宋体"/>
                <w:b/>
                <w:bCs/>
                <w:szCs w:val="21"/>
              </w:rPr>
            </w:pPr>
            <w:r>
              <w:rPr>
                <w:rFonts w:hint="eastAsia" w:ascii="宋体" w:hAnsi="宋体"/>
                <w:b/>
                <w:bCs/>
                <w:szCs w:val="21"/>
              </w:rPr>
              <w:t>评标因素</w:t>
            </w:r>
          </w:p>
        </w:tc>
        <w:tc>
          <w:tcPr>
            <w:tcW w:w="831" w:type="dxa"/>
            <w:vAlign w:val="center"/>
          </w:tcPr>
          <w:p w14:paraId="18494F3B">
            <w:pPr>
              <w:jc w:val="center"/>
              <w:rPr>
                <w:rFonts w:hint="eastAsia" w:ascii="宋体" w:hAnsi="宋体"/>
                <w:b/>
                <w:bCs/>
                <w:szCs w:val="21"/>
              </w:rPr>
            </w:pPr>
            <w:r>
              <w:rPr>
                <w:rFonts w:hint="eastAsia" w:ascii="宋体" w:hAnsi="宋体"/>
                <w:b/>
                <w:bCs/>
                <w:szCs w:val="21"/>
              </w:rPr>
              <w:t>总分</w:t>
            </w:r>
          </w:p>
        </w:tc>
        <w:tc>
          <w:tcPr>
            <w:tcW w:w="2268" w:type="dxa"/>
            <w:gridSpan w:val="2"/>
            <w:vAlign w:val="center"/>
          </w:tcPr>
          <w:p w14:paraId="1CB9AC3B">
            <w:pPr>
              <w:jc w:val="center"/>
              <w:rPr>
                <w:rFonts w:hint="eastAsia" w:ascii="宋体" w:hAnsi="宋体"/>
                <w:b/>
                <w:bCs/>
                <w:szCs w:val="21"/>
              </w:rPr>
            </w:pPr>
            <w:r>
              <w:rPr>
                <w:rFonts w:hint="eastAsia" w:ascii="宋体" w:hAnsi="宋体"/>
                <w:b/>
                <w:bCs/>
                <w:szCs w:val="21"/>
              </w:rPr>
              <w:t>评审内容</w:t>
            </w:r>
          </w:p>
        </w:tc>
        <w:tc>
          <w:tcPr>
            <w:tcW w:w="5406" w:type="dxa"/>
            <w:vAlign w:val="center"/>
          </w:tcPr>
          <w:p w14:paraId="34F4CC59">
            <w:pPr>
              <w:jc w:val="center"/>
              <w:rPr>
                <w:rFonts w:hint="eastAsia" w:ascii="宋体" w:hAnsi="宋体"/>
                <w:b/>
                <w:bCs/>
                <w:szCs w:val="21"/>
              </w:rPr>
            </w:pPr>
            <w:r>
              <w:rPr>
                <w:rFonts w:hint="eastAsia" w:ascii="宋体" w:hAnsi="宋体"/>
                <w:b/>
                <w:bCs/>
                <w:szCs w:val="21"/>
              </w:rPr>
              <w:t>评分标准</w:t>
            </w:r>
          </w:p>
        </w:tc>
        <w:tc>
          <w:tcPr>
            <w:tcW w:w="1276" w:type="dxa"/>
            <w:vAlign w:val="center"/>
          </w:tcPr>
          <w:p w14:paraId="16A3917D">
            <w:pPr>
              <w:jc w:val="center"/>
              <w:rPr>
                <w:rFonts w:hint="eastAsia" w:ascii="宋体" w:hAnsi="宋体"/>
                <w:b/>
                <w:bCs/>
                <w:szCs w:val="21"/>
              </w:rPr>
            </w:pPr>
            <w:r>
              <w:rPr>
                <w:rFonts w:hint="eastAsia" w:ascii="宋体" w:hAnsi="宋体"/>
                <w:b/>
                <w:bCs/>
                <w:szCs w:val="21"/>
              </w:rPr>
              <w:t>最高得分</w:t>
            </w:r>
          </w:p>
        </w:tc>
      </w:tr>
      <w:tr w14:paraId="0E4F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627" w:type="dxa"/>
            <w:gridSpan w:val="6"/>
          </w:tcPr>
          <w:p w14:paraId="069A18D0">
            <w:pPr>
              <w:rPr>
                <w:rFonts w:hint="eastAsia" w:ascii="宋体" w:hAnsi="宋体"/>
                <w:b/>
                <w:bCs/>
                <w:szCs w:val="21"/>
              </w:rPr>
            </w:pPr>
            <w:r>
              <w:rPr>
                <w:rFonts w:hint="eastAsia" w:ascii="宋体" w:hAnsi="宋体"/>
                <w:b/>
                <w:bCs/>
                <w:szCs w:val="21"/>
              </w:rPr>
              <w:t>一、技术因素</w:t>
            </w:r>
          </w:p>
        </w:tc>
      </w:tr>
      <w:tr w14:paraId="0FF0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627" w:type="dxa"/>
            <w:gridSpan w:val="6"/>
          </w:tcPr>
          <w:p w14:paraId="0AB08591">
            <w:pPr>
              <w:rPr>
                <w:rFonts w:hint="eastAsia" w:ascii="宋体" w:hAnsi="宋体"/>
                <w:szCs w:val="21"/>
              </w:rPr>
            </w:pPr>
            <w:r>
              <w:rPr>
                <w:rFonts w:hint="eastAsia" w:ascii="宋体" w:hAnsi="宋体"/>
                <w:szCs w:val="21"/>
              </w:rPr>
              <w:t>1、技术评分标准要量化，各项目权重合理。</w:t>
            </w:r>
          </w:p>
        </w:tc>
      </w:tr>
      <w:tr w14:paraId="5520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7F806A7B">
            <w:pPr>
              <w:rPr>
                <w:rFonts w:hint="eastAsia" w:ascii="宋体" w:hAnsi="宋体"/>
                <w:szCs w:val="21"/>
              </w:rPr>
            </w:pPr>
            <w:r>
              <w:rPr>
                <w:rFonts w:hint="eastAsia" w:ascii="宋体" w:hAnsi="宋体"/>
                <w:szCs w:val="21"/>
              </w:rPr>
              <w:t>依照技术方案、质量保障、服务及其他评价内容的优先次序，根据分项评价值进行排名。若上述排名皆相同的，则由全体评委成员无记名投票，得票高者排序在前。</w:t>
            </w:r>
          </w:p>
        </w:tc>
      </w:tr>
      <w:tr w14:paraId="03D9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627" w:type="dxa"/>
            <w:gridSpan w:val="6"/>
          </w:tcPr>
          <w:p w14:paraId="0F5F97FD">
            <w:pPr>
              <w:rPr>
                <w:rFonts w:hint="eastAsia" w:ascii="宋体" w:hAnsi="宋体"/>
                <w:szCs w:val="21"/>
              </w:rPr>
            </w:pPr>
            <w:r>
              <w:rPr>
                <w:rFonts w:hint="eastAsia" w:ascii="宋体" w:hAnsi="宋体"/>
                <w:szCs w:val="21"/>
              </w:rPr>
              <w:t>2、评委打分不得超过得分界限。</w:t>
            </w:r>
          </w:p>
        </w:tc>
      </w:tr>
      <w:tr w14:paraId="2E5D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restart"/>
            <w:vAlign w:val="center"/>
          </w:tcPr>
          <w:p w14:paraId="069D487F">
            <w:pPr>
              <w:jc w:val="center"/>
              <w:rPr>
                <w:rFonts w:hint="eastAsia" w:ascii="宋体" w:hAnsi="宋体" w:eastAsia="宋体"/>
                <w:szCs w:val="21"/>
              </w:rPr>
            </w:pPr>
            <w:r>
              <w:rPr>
                <w:rFonts w:hint="eastAsia" w:ascii="宋体" w:hAnsi="宋体"/>
                <w:szCs w:val="21"/>
              </w:rPr>
              <w:t>技术因素（30%）</w:t>
            </w:r>
          </w:p>
        </w:tc>
        <w:tc>
          <w:tcPr>
            <w:tcW w:w="831" w:type="dxa"/>
            <w:vMerge w:val="restart"/>
            <w:vAlign w:val="center"/>
          </w:tcPr>
          <w:p w14:paraId="7B4B8727">
            <w:pPr>
              <w:jc w:val="center"/>
              <w:rPr>
                <w:rFonts w:hint="eastAsia" w:ascii="宋体" w:hAnsi="宋体"/>
                <w:szCs w:val="21"/>
              </w:rPr>
            </w:pPr>
            <w:r>
              <w:rPr>
                <w:rFonts w:hint="eastAsia" w:ascii="宋体" w:hAnsi="宋体"/>
                <w:szCs w:val="21"/>
              </w:rPr>
              <w:t>100</w:t>
            </w:r>
          </w:p>
        </w:tc>
        <w:tc>
          <w:tcPr>
            <w:tcW w:w="1134" w:type="dxa"/>
            <w:vMerge w:val="restart"/>
            <w:vAlign w:val="center"/>
          </w:tcPr>
          <w:p w14:paraId="6A55308C">
            <w:pPr>
              <w:jc w:val="center"/>
              <w:rPr>
                <w:rFonts w:hint="eastAsia" w:ascii="宋体" w:hAnsi="宋体"/>
                <w:szCs w:val="21"/>
              </w:rPr>
            </w:pPr>
            <w:r>
              <w:rPr>
                <w:rFonts w:hint="eastAsia" w:ascii="宋体" w:hAnsi="宋体"/>
                <w:szCs w:val="21"/>
              </w:rPr>
              <w:t>技术方案</w:t>
            </w:r>
          </w:p>
        </w:tc>
        <w:tc>
          <w:tcPr>
            <w:tcW w:w="1134" w:type="dxa"/>
            <w:vMerge w:val="restart"/>
            <w:vAlign w:val="center"/>
          </w:tcPr>
          <w:p w14:paraId="7B703F31">
            <w:pPr>
              <w:jc w:val="center"/>
              <w:rPr>
                <w:rFonts w:hint="eastAsia" w:ascii="宋体" w:hAnsi="宋体"/>
                <w:szCs w:val="21"/>
              </w:rPr>
            </w:pPr>
            <w:r>
              <w:rPr>
                <w:rFonts w:hint="eastAsia" w:ascii="宋体" w:hAnsi="宋体"/>
                <w:szCs w:val="21"/>
              </w:rPr>
              <w:t>技术方案</w:t>
            </w:r>
          </w:p>
        </w:tc>
        <w:tc>
          <w:tcPr>
            <w:tcW w:w="5406" w:type="dxa"/>
          </w:tcPr>
          <w:p w14:paraId="415AA353">
            <w:pPr>
              <w:rPr>
                <w:rFonts w:hint="eastAsia" w:ascii="宋体" w:hAnsi="宋体"/>
                <w:szCs w:val="21"/>
              </w:rPr>
            </w:pPr>
            <w:r>
              <w:rPr>
                <w:rFonts w:hint="eastAsia" w:ascii="宋体" w:hAnsi="宋体"/>
                <w:szCs w:val="21"/>
              </w:rPr>
              <w:t>技术标偏离情况只允许出现优于（即正偏离）、符合标书约定技术要求。</w:t>
            </w:r>
          </w:p>
        </w:tc>
        <w:tc>
          <w:tcPr>
            <w:tcW w:w="1276" w:type="dxa"/>
            <w:vMerge w:val="restart"/>
            <w:vAlign w:val="center"/>
          </w:tcPr>
          <w:p w14:paraId="65E87DDE">
            <w:pPr>
              <w:jc w:val="center"/>
              <w:rPr>
                <w:rFonts w:hint="eastAsia" w:ascii="宋体" w:hAnsi="宋体"/>
                <w:szCs w:val="21"/>
              </w:rPr>
            </w:pPr>
            <w:r>
              <w:rPr>
                <w:rFonts w:hint="eastAsia" w:ascii="宋体" w:hAnsi="宋体"/>
                <w:szCs w:val="21"/>
              </w:rPr>
              <w:t>10</w:t>
            </w:r>
          </w:p>
        </w:tc>
      </w:tr>
      <w:tr w14:paraId="5D7A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36471DDF">
            <w:pPr>
              <w:jc w:val="center"/>
              <w:rPr>
                <w:rFonts w:hint="eastAsia" w:ascii="宋体" w:hAnsi="宋体"/>
                <w:szCs w:val="21"/>
              </w:rPr>
            </w:pPr>
          </w:p>
        </w:tc>
        <w:tc>
          <w:tcPr>
            <w:tcW w:w="831" w:type="dxa"/>
            <w:vMerge w:val="continue"/>
            <w:vAlign w:val="center"/>
          </w:tcPr>
          <w:p w14:paraId="0FE80270">
            <w:pPr>
              <w:jc w:val="center"/>
              <w:rPr>
                <w:rFonts w:hint="eastAsia" w:ascii="宋体" w:hAnsi="宋体"/>
                <w:szCs w:val="21"/>
              </w:rPr>
            </w:pPr>
          </w:p>
        </w:tc>
        <w:tc>
          <w:tcPr>
            <w:tcW w:w="1134" w:type="dxa"/>
            <w:vMerge w:val="continue"/>
            <w:vAlign w:val="center"/>
          </w:tcPr>
          <w:p w14:paraId="1A93C20C">
            <w:pPr>
              <w:jc w:val="center"/>
              <w:rPr>
                <w:rFonts w:hint="eastAsia" w:ascii="宋体" w:hAnsi="宋体"/>
                <w:szCs w:val="21"/>
              </w:rPr>
            </w:pPr>
          </w:p>
        </w:tc>
        <w:tc>
          <w:tcPr>
            <w:tcW w:w="1134" w:type="dxa"/>
            <w:vMerge w:val="continue"/>
            <w:vAlign w:val="center"/>
          </w:tcPr>
          <w:p w14:paraId="4D2C6F20">
            <w:pPr>
              <w:jc w:val="center"/>
              <w:rPr>
                <w:rFonts w:hint="eastAsia" w:ascii="宋体" w:hAnsi="宋体"/>
                <w:szCs w:val="21"/>
              </w:rPr>
            </w:pPr>
          </w:p>
        </w:tc>
        <w:tc>
          <w:tcPr>
            <w:tcW w:w="5406" w:type="dxa"/>
          </w:tcPr>
          <w:p w14:paraId="240E68BD">
            <w:pPr>
              <w:rPr>
                <w:rFonts w:hint="eastAsia" w:ascii="宋体" w:hAnsi="宋体"/>
                <w:szCs w:val="21"/>
              </w:rPr>
            </w:pPr>
            <w:r>
              <w:rPr>
                <w:rFonts w:hint="eastAsia" w:ascii="宋体" w:hAnsi="宋体"/>
                <w:szCs w:val="21"/>
              </w:rPr>
              <w:t>当所供技术服务优于招标文件要求，有具体可行性说明建议，得10分。完全满足标书要求，得8分。</w:t>
            </w:r>
          </w:p>
        </w:tc>
        <w:tc>
          <w:tcPr>
            <w:tcW w:w="1276" w:type="dxa"/>
            <w:vMerge w:val="continue"/>
            <w:vAlign w:val="center"/>
          </w:tcPr>
          <w:p w14:paraId="0BF2E120">
            <w:pPr>
              <w:jc w:val="center"/>
              <w:rPr>
                <w:rFonts w:hint="eastAsia" w:ascii="宋体" w:hAnsi="宋体"/>
                <w:szCs w:val="21"/>
              </w:rPr>
            </w:pPr>
          </w:p>
        </w:tc>
      </w:tr>
      <w:tr w14:paraId="3025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6" w:type="dxa"/>
            <w:vMerge w:val="continue"/>
            <w:vAlign w:val="center"/>
          </w:tcPr>
          <w:p w14:paraId="77F73F7F">
            <w:pPr>
              <w:jc w:val="center"/>
              <w:rPr>
                <w:rFonts w:hint="eastAsia" w:ascii="宋体" w:hAnsi="宋体"/>
                <w:szCs w:val="21"/>
              </w:rPr>
            </w:pPr>
          </w:p>
        </w:tc>
        <w:tc>
          <w:tcPr>
            <w:tcW w:w="831" w:type="dxa"/>
            <w:vMerge w:val="continue"/>
            <w:vAlign w:val="center"/>
          </w:tcPr>
          <w:p w14:paraId="2B4A45C5">
            <w:pPr>
              <w:jc w:val="center"/>
              <w:rPr>
                <w:rFonts w:hint="eastAsia" w:ascii="宋体" w:hAnsi="宋体"/>
                <w:szCs w:val="21"/>
              </w:rPr>
            </w:pPr>
          </w:p>
        </w:tc>
        <w:tc>
          <w:tcPr>
            <w:tcW w:w="1134" w:type="dxa"/>
            <w:vMerge w:val="continue"/>
            <w:vAlign w:val="center"/>
          </w:tcPr>
          <w:p w14:paraId="34F8D785">
            <w:pPr>
              <w:jc w:val="center"/>
              <w:rPr>
                <w:rFonts w:hint="eastAsia" w:ascii="宋体" w:hAnsi="宋体"/>
                <w:szCs w:val="21"/>
              </w:rPr>
            </w:pPr>
          </w:p>
        </w:tc>
        <w:tc>
          <w:tcPr>
            <w:tcW w:w="1134" w:type="dxa"/>
            <w:vMerge w:val="restart"/>
            <w:vAlign w:val="center"/>
          </w:tcPr>
          <w:p w14:paraId="29E4D008">
            <w:pPr>
              <w:jc w:val="center"/>
              <w:rPr>
                <w:rFonts w:hint="eastAsia" w:ascii="宋体" w:hAnsi="宋体"/>
                <w:szCs w:val="21"/>
              </w:rPr>
            </w:pPr>
            <w:r>
              <w:rPr>
                <w:rFonts w:hint="eastAsia" w:ascii="宋体" w:hAnsi="宋体"/>
                <w:szCs w:val="21"/>
              </w:rPr>
              <w:t>项目规划</w:t>
            </w:r>
          </w:p>
        </w:tc>
        <w:tc>
          <w:tcPr>
            <w:tcW w:w="5406" w:type="dxa"/>
          </w:tcPr>
          <w:p w14:paraId="35BEC354">
            <w:pPr>
              <w:rPr>
                <w:rFonts w:hint="eastAsia" w:ascii="宋体" w:hAnsi="宋体" w:eastAsia="宋体"/>
                <w:szCs w:val="21"/>
              </w:rPr>
            </w:pPr>
            <w:r>
              <w:rPr>
                <w:rFonts w:hint="eastAsia" w:ascii="宋体" w:hAnsi="宋体"/>
                <w:szCs w:val="21"/>
              </w:rPr>
              <w:t>项目总体规划实施方案（人员规划、作业流程设计、管理制度支持等）流程合理、完善、切实可行，视情况得0-20。</w:t>
            </w:r>
          </w:p>
        </w:tc>
        <w:tc>
          <w:tcPr>
            <w:tcW w:w="1276" w:type="dxa"/>
            <w:vAlign w:val="center"/>
          </w:tcPr>
          <w:p w14:paraId="2FF92198">
            <w:pPr>
              <w:jc w:val="center"/>
              <w:rPr>
                <w:rFonts w:hint="eastAsia" w:ascii="宋体" w:hAnsi="宋体"/>
                <w:szCs w:val="21"/>
              </w:rPr>
            </w:pPr>
            <w:r>
              <w:rPr>
                <w:rFonts w:hint="eastAsia" w:ascii="宋体" w:hAnsi="宋体"/>
                <w:szCs w:val="21"/>
              </w:rPr>
              <w:t>20</w:t>
            </w:r>
          </w:p>
        </w:tc>
      </w:tr>
      <w:tr w14:paraId="0D21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6" w:type="dxa"/>
            <w:vMerge w:val="continue"/>
            <w:vAlign w:val="center"/>
          </w:tcPr>
          <w:p w14:paraId="2076A63F">
            <w:pPr>
              <w:jc w:val="center"/>
              <w:rPr>
                <w:rFonts w:hint="eastAsia" w:ascii="宋体" w:hAnsi="宋体"/>
                <w:szCs w:val="21"/>
              </w:rPr>
            </w:pPr>
          </w:p>
        </w:tc>
        <w:tc>
          <w:tcPr>
            <w:tcW w:w="831" w:type="dxa"/>
            <w:vMerge w:val="continue"/>
            <w:vAlign w:val="center"/>
          </w:tcPr>
          <w:p w14:paraId="6E63A0D8">
            <w:pPr>
              <w:jc w:val="center"/>
              <w:rPr>
                <w:rFonts w:hint="eastAsia" w:ascii="宋体" w:hAnsi="宋体"/>
                <w:szCs w:val="21"/>
              </w:rPr>
            </w:pPr>
          </w:p>
        </w:tc>
        <w:tc>
          <w:tcPr>
            <w:tcW w:w="1134" w:type="dxa"/>
            <w:vMerge w:val="continue"/>
            <w:vAlign w:val="center"/>
          </w:tcPr>
          <w:p w14:paraId="45B67DAE">
            <w:pPr>
              <w:jc w:val="center"/>
              <w:rPr>
                <w:rFonts w:hint="eastAsia" w:ascii="宋体" w:hAnsi="宋体"/>
                <w:szCs w:val="21"/>
              </w:rPr>
            </w:pPr>
          </w:p>
        </w:tc>
        <w:tc>
          <w:tcPr>
            <w:tcW w:w="1134" w:type="dxa"/>
            <w:vMerge w:val="continue"/>
            <w:vAlign w:val="center"/>
          </w:tcPr>
          <w:p w14:paraId="36BA812D">
            <w:pPr>
              <w:jc w:val="center"/>
              <w:rPr>
                <w:rFonts w:hint="eastAsia" w:ascii="宋体" w:hAnsi="宋体"/>
                <w:szCs w:val="21"/>
              </w:rPr>
            </w:pPr>
          </w:p>
        </w:tc>
        <w:tc>
          <w:tcPr>
            <w:tcW w:w="5406" w:type="dxa"/>
          </w:tcPr>
          <w:p w14:paraId="54777B45">
            <w:pPr>
              <w:rPr>
                <w:rFonts w:hint="eastAsia" w:ascii="宋体" w:hAnsi="宋体" w:eastAsia="宋体"/>
                <w:szCs w:val="21"/>
              </w:rPr>
            </w:pPr>
            <w:r>
              <w:rPr>
                <w:rFonts w:hint="eastAsia" w:ascii="宋体" w:hAnsi="宋体"/>
                <w:szCs w:val="21"/>
              </w:rPr>
              <w:t>目标及预计取得效果，视情况得</w:t>
            </w:r>
            <w:r>
              <w:rPr>
                <w:rFonts w:ascii="宋体" w:hAnsi="宋体"/>
                <w:szCs w:val="21"/>
              </w:rPr>
              <w:t>1-10</w:t>
            </w:r>
            <w:r>
              <w:rPr>
                <w:rFonts w:hint="eastAsia" w:ascii="宋体" w:hAnsi="宋体"/>
                <w:szCs w:val="21"/>
              </w:rPr>
              <w:t>。</w:t>
            </w:r>
          </w:p>
        </w:tc>
        <w:tc>
          <w:tcPr>
            <w:tcW w:w="1276" w:type="dxa"/>
            <w:vAlign w:val="center"/>
          </w:tcPr>
          <w:p w14:paraId="4F1748E3">
            <w:pPr>
              <w:jc w:val="center"/>
              <w:rPr>
                <w:rFonts w:hint="eastAsia" w:ascii="宋体" w:hAnsi="宋体"/>
                <w:szCs w:val="21"/>
              </w:rPr>
            </w:pPr>
            <w:r>
              <w:rPr>
                <w:rFonts w:ascii="宋体" w:hAnsi="宋体"/>
                <w:szCs w:val="21"/>
              </w:rPr>
              <w:t>10</w:t>
            </w:r>
          </w:p>
        </w:tc>
      </w:tr>
      <w:tr w14:paraId="740E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6" w:type="dxa"/>
            <w:vMerge w:val="continue"/>
            <w:vAlign w:val="center"/>
          </w:tcPr>
          <w:p w14:paraId="6745056B">
            <w:pPr>
              <w:jc w:val="center"/>
              <w:rPr>
                <w:rFonts w:hint="eastAsia" w:ascii="宋体" w:hAnsi="宋体"/>
                <w:szCs w:val="21"/>
              </w:rPr>
            </w:pPr>
          </w:p>
        </w:tc>
        <w:tc>
          <w:tcPr>
            <w:tcW w:w="831" w:type="dxa"/>
            <w:vMerge w:val="continue"/>
            <w:vAlign w:val="center"/>
          </w:tcPr>
          <w:p w14:paraId="43E2CAA1">
            <w:pPr>
              <w:jc w:val="center"/>
              <w:rPr>
                <w:rFonts w:hint="eastAsia" w:ascii="宋体" w:hAnsi="宋体"/>
                <w:szCs w:val="21"/>
              </w:rPr>
            </w:pPr>
          </w:p>
        </w:tc>
        <w:tc>
          <w:tcPr>
            <w:tcW w:w="1134" w:type="dxa"/>
            <w:vMerge w:val="continue"/>
            <w:vAlign w:val="center"/>
          </w:tcPr>
          <w:p w14:paraId="5C25621A">
            <w:pPr>
              <w:jc w:val="center"/>
              <w:rPr>
                <w:rFonts w:hint="eastAsia" w:ascii="宋体" w:hAnsi="宋体"/>
                <w:szCs w:val="21"/>
              </w:rPr>
            </w:pPr>
          </w:p>
        </w:tc>
        <w:tc>
          <w:tcPr>
            <w:tcW w:w="1134" w:type="dxa"/>
            <w:vMerge w:val="continue"/>
            <w:vAlign w:val="center"/>
          </w:tcPr>
          <w:p w14:paraId="508335D7">
            <w:pPr>
              <w:jc w:val="center"/>
              <w:rPr>
                <w:rFonts w:hint="eastAsia" w:ascii="宋体" w:hAnsi="宋体"/>
                <w:szCs w:val="21"/>
              </w:rPr>
            </w:pPr>
          </w:p>
        </w:tc>
        <w:tc>
          <w:tcPr>
            <w:tcW w:w="5406" w:type="dxa"/>
          </w:tcPr>
          <w:p w14:paraId="1BB3583F">
            <w:pPr>
              <w:rPr>
                <w:rFonts w:hint="eastAsia" w:ascii="宋体" w:hAnsi="宋体" w:eastAsia="宋体"/>
                <w:szCs w:val="21"/>
              </w:rPr>
            </w:pPr>
            <w:r>
              <w:rPr>
                <w:rFonts w:hint="eastAsia" w:ascii="宋体" w:hAnsi="宋体"/>
                <w:szCs w:val="21"/>
              </w:rPr>
              <w:t>深度合作方案、持续降本措施，视情况得</w:t>
            </w:r>
            <w:r>
              <w:rPr>
                <w:rFonts w:ascii="宋体" w:hAnsi="宋体"/>
                <w:szCs w:val="21"/>
              </w:rPr>
              <w:t>1-10</w:t>
            </w:r>
            <w:r>
              <w:rPr>
                <w:rFonts w:hint="eastAsia" w:ascii="宋体" w:hAnsi="宋体"/>
                <w:szCs w:val="21"/>
              </w:rPr>
              <w:t>。</w:t>
            </w:r>
          </w:p>
        </w:tc>
        <w:tc>
          <w:tcPr>
            <w:tcW w:w="1276" w:type="dxa"/>
            <w:vAlign w:val="center"/>
          </w:tcPr>
          <w:p w14:paraId="00B7ABB4">
            <w:pPr>
              <w:jc w:val="center"/>
              <w:rPr>
                <w:rFonts w:hint="eastAsia" w:ascii="宋体" w:hAnsi="宋体"/>
                <w:szCs w:val="21"/>
              </w:rPr>
            </w:pPr>
            <w:r>
              <w:rPr>
                <w:rFonts w:hint="eastAsia" w:ascii="宋体" w:hAnsi="宋体"/>
                <w:szCs w:val="21"/>
              </w:rPr>
              <w:t>10</w:t>
            </w:r>
          </w:p>
        </w:tc>
      </w:tr>
      <w:tr w14:paraId="6283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6D53C2FC">
            <w:pPr>
              <w:jc w:val="center"/>
              <w:rPr>
                <w:rFonts w:hint="eastAsia" w:ascii="宋体" w:hAnsi="宋体"/>
                <w:szCs w:val="21"/>
              </w:rPr>
            </w:pPr>
          </w:p>
        </w:tc>
        <w:tc>
          <w:tcPr>
            <w:tcW w:w="831" w:type="dxa"/>
            <w:vMerge w:val="continue"/>
            <w:vAlign w:val="center"/>
          </w:tcPr>
          <w:p w14:paraId="10DA3E9B">
            <w:pPr>
              <w:jc w:val="center"/>
              <w:rPr>
                <w:rFonts w:hint="eastAsia" w:ascii="宋体" w:hAnsi="宋体"/>
                <w:szCs w:val="21"/>
              </w:rPr>
            </w:pPr>
          </w:p>
        </w:tc>
        <w:tc>
          <w:tcPr>
            <w:tcW w:w="2268" w:type="dxa"/>
            <w:gridSpan w:val="2"/>
            <w:vMerge w:val="restart"/>
            <w:vAlign w:val="center"/>
          </w:tcPr>
          <w:p w14:paraId="43E62858">
            <w:pPr>
              <w:jc w:val="center"/>
              <w:rPr>
                <w:rFonts w:hint="eastAsia" w:ascii="宋体" w:hAnsi="宋体"/>
                <w:szCs w:val="21"/>
              </w:rPr>
            </w:pPr>
            <w:r>
              <w:rPr>
                <w:rFonts w:hint="eastAsia" w:ascii="宋体" w:hAnsi="宋体"/>
                <w:szCs w:val="21"/>
              </w:rPr>
              <w:t>质量保障</w:t>
            </w:r>
          </w:p>
        </w:tc>
        <w:tc>
          <w:tcPr>
            <w:tcW w:w="5406" w:type="dxa"/>
          </w:tcPr>
          <w:p w14:paraId="6F94BAC3">
            <w:pPr>
              <w:rPr>
                <w:rFonts w:hint="eastAsia" w:ascii="宋体" w:hAnsi="宋体"/>
                <w:szCs w:val="21"/>
              </w:rPr>
            </w:pPr>
            <w:r>
              <w:rPr>
                <w:rFonts w:hint="eastAsia" w:ascii="宋体" w:hAnsi="宋体"/>
                <w:szCs w:val="21"/>
              </w:rPr>
              <w:t>质量保证体系完整，措施有力，能有项目控制计划和质量保证相关承诺。根据提供的资料从优到劣进行综合评审排序，自主赋分0</w:t>
            </w:r>
            <w:r>
              <w:rPr>
                <w:rFonts w:ascii="宋体" w:hAnsi="宋体"/>
                <w:szCs w:val="21"/>
              </w:rPr>
              <w:t>-20</w:t>
            </w:r>
            <w:r>
              <w:rPr>
                <w:rFonts w:hint="eastAsia" w:ascii="宋体" w:hAnsi="宋体"/>
                <w:szCs w:val="21"/>
              </w:rPr>
              <w:t>。</w:t>
            </w:r>
          </w:p>
        </w:tc>
        <w:tc>
          <w:tcPr>
            <w:tcW w:w="1276" w:type="dxa"/>
            <w:vAlign w:val="center"/>
          </w:tcPr>
          <w:p w14:paraId="7F3E1AF8">
            <w:pPr>
              <w:jc w:val="center"/>
              <w:rPr>
                <w:rFonts w:hint="eastAsia" w:ascii="宋体" w:hAnsi="宋体"/>
                <w:szCs w:val="21"/>
              </w:rPr>
            </w:pPr>
            <w:r>
              <w:rPr>
                <w:rFonts w:hint="eastAsia" w:ascii="宋体" w:hAnsi="宋体"/>
                <w:szCs w:val="21"/>
              </w:rPr>
              <w:t>20</w:t>
            </w:r>
          </w:p>
        </w:tc>
      </w:tr>
      <w:tr w14:paraId="4A26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349C9F05">
            <w:pPr>
              <w:jc w:val="center"/>
              <w:rPr>
                <w:rFonts w:hint="eastAsia" w:ascii="宋体" w:hAnsi="宋体"/>
                <w:szCs w:val="21"/>
              </w:rPr>
            </w:pPr>
          </w:p>
        </w:tc>
        <w:tc>
          <w:tcPr>
            <w:tcW w:w="831" w:type="dxa"/>
            <w:vMerge w:val="continue"/>
            <w:vAlign w:val="center"/>
          </w:tcPr>
          <w:p w14:paraId="2BC1F63E">
            <w:pPr>
              <w:jc w:val="center"/>
              <w:rPr>
                <w:rFonts w:hint="eastAsia" w:ascii="宋体" w:hAnsi="宋体"/>
                <w:szCs w:val="21"/>
              </w:rPr>
            </w:pPr>
          </w:p>
        </w:tc>
        <w:tc>
          <w:tcPr>
            <w:tcW w:w="2268" w:type="dxa"/>
            <w:gridSpan w:val="2"/>
            <w:vMerge w:val="continue"/>
            <w:vAlign w:val="center"/>
          </w:tcPr>
          <w:p w14:paraId="37BFB419">
            <w:pPr>
              <w:jc w:val="center"/>
              <w:rPr>
                <w:rFonts w:hint="eastAsia" w:ascii="宋体" w:hAnsi="宋体"/>
                <w:szCs w:val="21"/>
              </w:rPr>
            </w:pPr>
          </w:p>
        </w:tc>
        <w:tc>
          <w:tcPr>
            <w:tcW w:w="5406" w:type="dxa"/>
          </w:tcPr>
          <w:p w14:paraId="4111BAF9">
            <w:pPr>
              <w:rPr>
                <w:rFonts w:hint="eastAsia" w:ascii="宋体" w:hAnsi="宋体"/>
                <w:szCs w:val="21"/>
              </w:rPr>
            </w:pPr>
            <w:r>
              <w:rPr>
                <w:rFonts w:hint="eastAsia" w:ascii="宋体" w:hAnsi="宋体"/>
                <w:szCs w:val="21"/>
              </w:rPr>
              <w:t>喷涂作业能力、应急服务满足招标文件要求，合理有效、切实可行，自主赋分0</w:t>
            </w:r>
            <w:r>
              <w:rPr>
                <w:rFonts w:ascii="宋体" w:hAnsi="宋体"/>
                <w:szCs w:val="21"/>
              </w:rPr>
              <w:t>-10</w:t>
            </w:r>
            <w:r>
              <w:rPr>
                <w:rFonts w:hint="eastAsia" w:ascii="宋体" w:hAnsi="宋体"/>
                <w:szCs w:val="21"/>
              </w:rPr>
              <w:t>。</w:t>
            </w:r>
          </w:p>
        </w:tc>
        <w:tc>
          <w:tcPr>
            <w:tcW w:w="1276" w:type="dxa"/>
            <w:vAlign w:val="center"/>
          </w:tcPr>
          <w:p w14:paraId="36A5358C">
            <w:pPr>
              <w:jc w:val="center"/>
              <w:rPr>
                <w:rFonts w:hint="eastAsia" w:ascii="宋体" w:hAnsi="宋体"/>
                <w:szCs w:val="21"/>
              </w:rPr>
            </w:pPr>
            <w:r>
              <w:rPr>
                <w:rFonts w:hint="eastAsia" w:ascii="宋体" w:hAnsi="宋体"/>
                <w:szCs w:val="21"/>
              </w:rPr>
              <w:t>10</w:t>
            </w:r>
          </w:p>
        </w:tc>
      </w:tr>
      <w:tr w14:paraId="2CCD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Merge w:val="continue"/>
            <w:vAlign w:val="center"/>
          </w:tcPr>
          <w:p w14:paraId="3A39B35B">
            <w:pPr>
              <w:jc w:val="center"/>
              <w:rPr>
                <w:rFonts w:hint="eastAsia" w:ascii="宋体" w:hAnsi="宋体"/>
                <w:szCs w:val="21"/>
              </w:rPr>
            </w:pPr>
          </w:p>
        </w:tc>
        <w:tc>
          <w:tcPr>
            <w:tcW w:w="831" w:type="dxa"/>
            <w:vMerge w:val="continue"/>
            <w:vAlign w:val="center"/>
          </w:tcPr>
          <w:p w14:paraId="4C0C42AC">
            <w:pPr>
              <w:jc w:val="center"/>
              <w:rPr>
                <w:rFonts w:hint="eastAsia" w:ascii="宋体" w:hAnsi="宋体"/>
                <w:szCs w:val="21"/>
              </w:rPr>
            </w:pPr>
          </w:p>
        </w:tc>
        <w:tc>
          <w:tcPr>
            <w:tcW w:w="2268" w:type="dxa"/>
            <w:gridSpan w:val="2"/>
            <w:vAlign w:val="center"/>
          </w:tcPr>
          <w:p w14:paraId="12CE9F40">
            <w:pPr>
              <w:jc w:val="center"/>
              <w:rPr>
                <w:rFonts w:hint="eastAsia" w:ascii="宋体" w:hAnsi="宋体"/>
                <w:szCs w:val="21"/>
              </w:rPr>
            </w:pPr>
            <w:r>
              <w:rPr>
                <w:rFonts w:hint="eastAsia" w:ascii="宋体" w:hAnsi="宋体"/>
                <w:szCs w:val="21"/>
              </w:rPr>
              <w:t>项目管理</w:t>
            </w:r>
          </w:p>
        </w:tc>
        <w:tc>
          <w:tcPr>
            <w:tcW w:w="5406" w:type="dxa"/>
          </w:tcPr>
          <w:p w14:paraId="653E4284">
            <w:pPr>
              <w:rPr>
                <w:rFonts w:hint="eastAsia" w:ascii="宋体" w:hAnsi="宋体" w:eastAsia="宋体"/>
                <w:szCs w:val="21"/>
              </w:rPr>
            </w:pPr>
            <w:r>
              <w:rPr>
                <w:rFonts w:hint="eastAsia" w:ascii="宋体" w:hAnsi="宋体"/>
                <w:szCs w:val="21"/>
              </w:rPr>
              <w:t>保证现场按5S标准管理，有管理流程或文件要求，根据流程或文件覆盖度、详细度，自主赋分1-10。</w:t>
            </w:r>
          </w:p>
        </w:tc>
        <w:tc>
          <w:tcPr>
            <w:tcW w:w="1276" w:type="dxa"/>
            <w:vAlign w:val="center"/>
          </w:tcPr>
          <w:p w14:paraId="454A7EC2">
            <w:pPr>
              <w:jc w:val="center"/>
              <w:rPr>
                <w:rFonts w:hint="eastAsia" w:ascii="宋体" w:hAnsi="宋体" w:eastAsia="宋体"/>
                <w:szCs w:val="21"/>
              </w:rPr>
            </w:pPr>
            <w:r>
              <w:rPr>
                <w:rFonts w:hint="eastAsia" w:ascii="宋体" w:hAnsi="宋体"/>
                <w:szCs w:val="21"/>
              </w:rPr>
              <w:t>10</w:t>
            </w:r>
          </w:p>
        </w:tc>
      </w:tr>
      <w:tr w14:paraId="0DAA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6" w:type="dxa"/>
            <w:vMerge w:val="continue"/>
            <w:vAlign w:val="center"/>
          </w:tcPr>
          <w:p w14:paraId="4315EBB3">
            <w:pPr>
              <w:jc w:val="center"/>
              <w:rPr>
                <w:rFonts w:hint="eastAsia" w:ascii="宋体" w:hAnsi="宋体"/>
                <w:szCs w:val="21"/>
              </w:rPr>
            </w:pPr>
          </w:p>
        </w:tc>
        <w:tc>
          <w:tcPr>
            <w:tcW w:w="831" w:type="dxa"/>
            <w:vMerge w:val="continue"/>
            <w:vAlign w:val="center"/>
          </w:tcPr>
          <w:p w14:paraId="432DEE47">
            <w:pPr>
              <w:jc w:val="center"/>
              <w:rPr>
                <w:rFonts w:hint="eastAsia" w:ascii="宋体" w:hAnsi="宋体"/>
                <w:szCs w:val="21"/>
              </w:rPr>
            </w:pPr>
          </w:p>
        </w:tc>
        <w:tc>
          <w:tcPr>
            <w:tcW w:w="2268" w:type="dxa"/>
            <w:gridSpan w:val="2"/>
            <w:vAlign w:val="center"/>
          </w:tcPr>
          <w:p w14:paraId="35CCD4DD">
            <w:pPr>
              <w:jc w:val="center"/>
              <w:rPr>
                <w:rFonts w:hint="eastAsia" w:ascii="宋体" w:hAnsi="宋体"/>
                <w:szCs w:val="21"/>
              </w:rPr>
            </w:pPr>
            <w:r>
              <w:rPr>
                <w:rFonts w:hint="eastAsia" w:ascii="宋体" w:hAnsi="宋体"/>
                <w:szCs w:val="21"/>
              </w:rPr>
              <w:t>业绩</w:t>
            </w:r>
          </w:p>
        </w:tc>
        <w:tc>
          <w:tcPr>
            <w:tcW w:w="5406" w:type="dxa"/>
          </w:tcPr>
          <w:p w14:paraId="4DB4F6B2">
            <w:pPr>
              <w:rPr>
                <w:rFonts w:hint="eastAsia" w:ascii="宋体" w:hAnsi="宋体"/>
                <w:szCs w:val="21"/>
              </w:rPr>
            </w:pPr>
            <w:r>
              <w:rPr>
                <w:rFonts w:hint="eastAsia" w:ascii="宋体" w:hAnsi="宋体"/>
                <w:szCs w:val="21"/>
              </w:rPr>
              <w:t>提供3份以上投标同类业绩，得10分；提供3份得6分；提供2份得4分；提供1份证明材料的，得2分；无证明材料的，不得分。</w:t>
            </w:r>
          </w:p>
        </w:tc>
        <w:tc>
          <w:tcPr>
            <w:tcW w:w="1276" w:type="dxa"/>
            <w:vAlign w:val="center"/>
          </w:tcPr>
          <w:p w14:paraId="2B377CA0">
            <w:pPr>
              <w:jc w:val="center"/>
              <w:rPr>
                <w:rFonts w:hint="eastAsia" w:ascii="宋体" w:hAnsi="宋体"/>
                <w:szCs w:val="21"/>
              </w:rPr>
            </w:pPr>
            <w:r>
              <w:rPr>
                <w:rFonts w:hint="eastAsia" w:ascii="宋体" w:hAnsi="宋体"/>
                <w:szCs w:val="21"/>
              </w:rPr>
              <w:t>10</w:t>
            </w:r>
          </w:p>
        </w:tc>
      </w:tr>
      <w:tr w14:paraId="0553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627" w:type="dxa"/>
            <w:gridSpan w:val="6"/>
          </w:tcPr>
          <w:p w14:paraId="33B152C0">
            <w:pPr>
              <w:numPr>
                <w:ilvl w:val="0"/>
                <w:numId w:val="28"/>
              </w:numPr>
              <w:rPr>
                <w:rFonts w:hint="eastAsia" w:ascii="宋体" w:hAnsi="宋体" w:eastAsia="宋体" w:cs="宋体"/>
                <w:sz w:val="20"/>
                <w:szCs w:val="20"/>
              </w:rPr>
            </w:pPr>
            <w:r>
              <w:rPr>
                <w:rFonts w:hint="eastAsia" w:ascii="宋体" w:hAnsi="宋体" w:eastAsia="宋体" w:cs="宋体"/>
                <w:sz w:val="20"/>
                <w:szCs w:val="20"/>
              </w:rPr>
              <w:t>技术标评分标准如上，商务标评分标准：当前轮次投标报价最低的投标报价为评标基准价，其价格分为100分（标准分）。其他投标人的价格分统一按照下列公式计算：投标报价得分=(评标基准价／投标报价)×100。</w:t>
            </w:r>
          </w:p>
          <w:p w14:paraId="0F38D497">
            <w:pPr>
              <w:rPr>
                <w:rFonts w:hint="eastAsia" w:ascii="宋体" w:hAnsi="宋体" w:eastAsia="宋体"/>
                <w:b/>
                <w:bCs/>
                <w:szCs w:val="21"/>
              </w:rPr>
            </w:pPr>
            <w:r>
              <w:rPr>
                <w:rFonts w:hint="eastAsia" w:ascii="宋体" w:hAnsi="宋体" w:eastAsia="宋体" w:cs="宋体"/>
                <w:sz w:val="20"/>
                <w:szCs w:val="20"/>
              </w:rPr>
              <w:t>2、采用综合评标法：技术标分数占比30%；商务标分数占比：70%。小数点后保留二位，第三位四舍五入。</w:t>
            </w:r>
          </w:p>
        </w:tc>
      </w:tr>
      <w:tr w14:paraId="6BF6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27" w:type="dxa"/>
            <w:gridSpan w:val="6"/>
          </w:tcPr>
          <w:p w14:paraId="3B364FC1">
            <w:pPr>
              <w:rPr>
                <w:rFonts w:hint="eastAsia" w:ascii="宋体" w:hAnsi="宋体"/>
                <w:b/>
                <w:bCs/>
                <w:szCs w:val="21"/>
              </w:rPr>
            </w:pPr>
            <w:r>
              <w:rPr>
                <w:rFonts w:hint="eastAsia" w:ascii="宋体" w:hAnsi="宋体"/>
                <w:b/>
                <w:bCs/>
                <w:szCs w:val="21"/>
              </w:rPr>
              <w:t>二、整体要求</w:t>
            </w:r>
          </w:p>
        </w:tc>
      </w:tr>
      <w:tr w14:paraId="2DA4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627" w:type="dxa"/>
            <w:gridSpan w:val="6"/>
          </w:tcPr>
          <w:p w14:paraId="1C47A306">
            <w:pPr>
              <w:rPr>
                <w:rFonts w:hint="eastAsia" w:ascii="宋体" w:hAnsi="宋体"/>
                <w:szCs w:val="21"/>
              </w:rPr>
            </w:pPr>
            <w:r>
              <w:rPr>
                <w:rFonts w:hint="eastAsia" w:ascii="宋体" w:hAnsi="宋体"/>
                <w:szCs w:val="21"/>
              </w:rPr>
              <w:t>1、各投标单位应符合投标资格，通过资格审核且缴纳投标保证金方为有效投标。</w:t>
            </w:r>
          </w:p>
        </w:tc>
      </w:tr>
      <w:tr w14:paraId="4872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627" w:type="dxa"/>
            <w:gridSpan w:val="6"/>
          </w:tcPr>
          <w:p w14:paraId="1E62DACB">
            <w:pPr>
              <w:rPr>
                <w:rFonts w:hint="eastAsia" w:ascii="宋体" w:hAnsi="宋体"/>
                <w:szCs w:val="21"/>
              </w:rPr>
            </w:pPr>
            <w:r>
              <w:rPr>
                <w:rFonts w:hint="eastAsia" w:ascii="宋体" w:hAnsi="宋体"/>
                <w:szCs w:val="21"/>
              </w:rPr>
              <w:t>2、投标单位提交的投标文件和资料必须真实有效。</w:t>
            </w:r>
          </w:p>
        </w:tc>
      </w:tr>
      <w:tr w14:paraId="6170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407E13E0">
            <w:pPr>
              <w:rPr>
                <w:rFonts w:hint="eastAsia" w:ascii="宋体" w:hAnsi="宋体" w:eastAsia="宋体"/>
                <w:szCs w:val="21"/>
              </w:rPr>
            </w:pPr>
            <w:r>
              <w:rPr>
                <w:rFonts w:hint="eastAsia" w:ascii="宋体" w:hAnsi="宋体"/>
                <w:szCs w:val="21"/>
              </w:rPr>
              <w:t>3、合同签订前，招标方有权组织联合小组（财务、技术、设备、质量等）到中标候选人实地审核，如发现投标文件和资料有弄虚作假，招标方有权取消其中标候选人资格，同时招标方有权扣留其投标保证金。</w:t>
            </w:r>
          </w:p>
        </w:tc>
      </w:tr>
    </w:tbl>
    <w:p w14:paraId="3C0D606F">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5"/>
      <w:bookmarkStart w:id="12" w:name="OLE_LINK28"/>
      <w:bookmarkStart w:id="13" w:name="OLE_LINK26"/>
      <w:bookmarkStart w:id="14" w:name="OLE_LINK29"/>
      <w:bookmarkStart w:id="15" w:name="OLE_LINK27"/>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highlight w:val="yellow"/>
          <w:lang w:val="en-US" w:eastAsia="zh-CN" w:bidi="ar-SA"/>
        </w:rPr>
        <w:t>2</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3DD75783">
      <w:pPr>
        <w:pStyle w:val="72"/>
        <w:rPr>
          <w:rFonts w:hint="eastAsia" w:ascii="宋体" w:hAnsi="宋体" w:eastAsia="宋体" w:cs="宋体"/>
          <w:b/>
          <w:color w:val="000000"/>
          <w:sz w:val="24"/>
          <w:szCs w:val="24"/>
          <w:highlight w:val="none"/>
        </w:rPr>
      </w:pPr>
      <w:r>
        <w:rPr>
          <w:rFonts w:hint="eastAsia"/>
          <w:highlight w:val="none"/>
          <w:lang w:val="en-US" w:eastAsia="zh-CN"/>
        </w:rPr>
        <w:t>其他</w:t>
      </w:r>
    </w:p>
    <w:p w14:paraId="77BB394F">
      <w:pPr>
        <w:ind w:firstLine="420" w:firstLineChars="200"/>
        <w:rPr>
          <w:rFonts w:ascii="Times New Roman" w:hAnsi="Times New Roman" w:cs="Times New Roman"/>
          <w:sz w:val="24"/>
        </w:rPr>
      </w:pPr>
      <w:r>
        <w:rPr>
          <w:rFonts w:hint="eastAsia" w:ascii="宋体" w:eastAsia="宋体"/>
        </w:rPr>
        <w:t>1、投标方可以根据自身的技术、经验等优势以及对本技术规范书和招标文件的理解，写明投标方应进行的优于本技术规范书和招标文件要求的其它方案或建议意见；投标方的这些努力，委托方表示感谢，并将有助于投标方优先胜出。</w:t>
      </w:r>
    </w:p>
    <w:p w14:paraId="64928874">
      <w:pPr>
        <w:ind w:firstLine="420" w:firstLineChars="200"/>
        <w:rPr>
          <w:rFonts w:ascii="宋体" w:eastAsia="宋体"/>
        </w:rPr>
      </w:pPr>
      <w:r>
        <w:rPr>
          <w:rFonts w:hint="eastAsia" w:ascii="宋体" w:eastAsia="宋体"/>
        </w:rPr>
        <w:t>2、即使有建议意见或建议方案，仍应依据本技术规范书和招标文件要求，编写符合要求的投标文件。建议方案或建议意见，应以单独篇章或文件，予以说明。</w:t>
      </w:r>
    </w:p>
    <w:p w14:paraId="6489B49D">
      <w:pPr>
        <w:ind w:firstLine="420" w:firstLineChars="200"/>
        <w:rPr>
          <w:rFonts w:ascii="宋体" w:eastAsia="宋体"/>
        </w:rPr>
      </w:pPr>
      <w:r>
        <w:rPr>
          <w:rFonts w:hint="eastAsia" w:ascii="宋体" w:eastAsia="宋体"/>
        </w:rPr>
        <w:t>3、价格与支付</w:t>
      </w:r>
    </w:p>
    <w:p w14:paraId="11E2C926">
      <w:pPr>
        <w:ind w:firstLine="420" w:firstLineChars="200"/>
        <w:rPr>
          <w:rFonts w:ascii="宋体" w:eastAsia="宋体"/>
        </w:rPr>
      </w:pPr>
      <w:r>
        <w:rPr>
          <w:rFonts w:hint="eastAsia" w:ascii="宋体" w:eastAsia="宋体"/>
        </w:rPr>
        <w:t>（1）报价格式为：项目总价</w:t>
      </w:r>
      <w:r>
        <w:rPr>
          <w:rFonts w:hint="eastAsia" w:ascii="宋体" w:eastAsia="宋体"/>
          <w:highlight w:val="yellow"/>
        </w:rPr>
        <w:t>：xxx</w:t>
      </w:r>
      <w:r>
        <w:rPr>
          <w:rFonts w:hint="eastAsia" w:ascii="宋体" w:eastAsia="宋体"/>
        </w:rPr>
        <w:t xml:space="preserve">元（人民币），辆份单价 </w:t>
      </w:r>
      <w:r>
        <w:rPr>
          <w:rFonts w:hint="eastAsia" w:ascii="宋体" w:eastAsia="宋体"/>
          <w:highlight w:val="yellow"/>
        </w:rPr>
        <w:t>xxx</w:t>
      </w:r>
      <w:r>
        <w:rPr>
          <w:rFonts w:hint="eastAsia" w:ascii="宋体" w:eastAsia="宋体"/>
        </w:rPr>
        <w:t>元（人民币），不含税，税率13%；</w:t>
      </w:r>
    </w:p>
    <w:p w14:paraId="444B6FAD">
      <w:pPr>
        <w:ind w:firstLine="420" w:firstLineChars="200"/>
        <w:rPr>
          <w:rFonts w:ascii="宋体" w:eastAsia="宋体"/>
        </w:rPr>
      </w:pPr>
      <w:r>
        <w:rPr>
          <w:rFonts w:hint="eastAsia" w:ascii="宋体" w:eastAsia="宋体"/>
        </w:rPr>
        <w:t>本项目的报价方式</w:t>
      </w:r>
    </w:p>
    <w:tbl>
      <w:tblPr>
        <w:tblStyle w:val="30"/>
        <w:tblW w:w="6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268"/>
        <w:gridCol w:w="1701"/>
        <w:gridCol w:w="2035"/>
      </w:tblGrid>
      <w:tr w14:paraId="5AE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66" w:type="dxa"/>
            <w:noWrap/>
            <w:vAlign w:val="center"/>
          </w:tcPr>
          <w:p w14:paraId="1D081485">
            <w:pPr>
              <w:rPr>
                <w:rFonts w:ascii="宋体" w:eastAsia="宋体"/>
              </w:rPr>
            </w:pPr>
            <w:r>
              <w:rPr>
                <w:rFonts w:hint="eastAsia" w:ascii="宋体" w:eastAsia="宋体"/>
              </w:rPr>
              <w:t>序号</w:t>
            </w:r>
          </w:p>
        </w:tc>
        <w:tc>
          <w:tcPr>
            <w:tcW w:w="2268" w:type="dxa"/>
            <w:vAlign w:val="center"/>
          </w:tcPr>
          <w:p w14:paraId="5A07EF88">
            <w:pPr>
              <w:ind w:firstLine="420" w:firstLineChars="200"/>
              <w:rPr>
                <w:rFonts w:ascii="宋体" w:eastAsia="宋体"/>
              </w:rPr>
            </w:pPr>
            <w:r>
              <w:rPr>
                <w:rFonts w:hint="eastAsia" w:ascii="宋体" w:eastAsia="宋体"/>
              </w:rPr>
              <w:t>项目名称</w:t>
            </w:r>
          </w:p>
        </w:tc>
        <w:tc>
          <w:tcPr>
            <w:tcW w:w="1701" w:type="dxa"/>
            <w:vAlign w:val="center"/>
          </w:tcPr>
          <w:p w14:paraId="7D7D1D9A">
            <w:pPr>
              <w:rPr>
                <w:rFonts w:ascii="宋体" w:eastAsia="宋体"/>
              </w:rPr>
            </w:pPr>
            <w:r>
              <w:rPr>
                <w:rFonts w:hint="eastAsia" w:ascii="宋体" w:eastAsia="宋体"/>
              </w:rPr>
              <w:t>报价方式（不含税）</w:t>
            </w:r>
          </w:p>
        </w:tc>
        <w:tc>
          <w:tcPr>
            <w:tcW w:w="2035" w:type="dxa"/>
            <w:vAlign w:val="center"/>
          </w:tcPr>
          <w:p w14:paraId="43E59E0C">
            <w:pPr>
              <w:ind w:firstLine="420" w:firstLineChars="200"/>
              <w:rPr>
                <w:rFonts w:ascii="宋体" w:eastAsia="宋体"/>
              </w:rPr>
            </w:pPr>
            <w:r>
              <w:rPr>
                <w:rFonts w:hint="eastAsia" w:ascii="宋体" w:eastAsia="宋体"/>
              </w:rPr>
              <w:t>开具发票类型</w:t>
            </w:r>
          </w:p>
        </w:tc>
      </w:tr>
      <w:tr w14:paraId="570B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66" w:type="dxa"/>
            <w:noWrap/>
            <w:vAlign w:val="center"/>
          </w:tcPr>
          <w:p w14:paraId="52CBD444">
            <w:pPr>
              <w:rPr>
                <w:rFonts w:ascii="宋体" w:eastAsia="宋体"/>
              </w:rPr>
            </w:pPr>
            <w:r>
              <w:rPr>
                <w:rFonts w:hint="eastAsia" w:ascii="宋体" w:eastAsia="宋体"/>
              </w:rPr>
              <w:t>1</w:t>
            </w:r>
          </w:p>
        </w:tc>
        <w:tc>
          <w:tcPr>
            <w:tcW w:w="2268" w:type="dxa"/>
            <w:vAlign w:val="center"/>
          </w:tcPr>
          <w:p w14:paraId="709B29AA">
            <w:pPr>
              <w:rPr>
                <w:rFonts w:ascii="宋体" w:eastAsia="宋体"/>
              </w:rPr>
            </w:pPr>
            <w:r>
              <w:rPr>
                <w:rFonts w:hint="eastAsia" w:ascii="宋体" w:eastAsia="宋体"/>
              </w:rPr>
              <w:t>车身一部2026年涂装线工序外包项目</w:t>
            </w:r>
          </w:p>
        </w:tc>
        <w:tc>
          <w:tcPr>
            <w:tcW w:w="1701" w:type="dxa"/>
            <w:vAlign w:val="center"/>
          </w:tcPr>
          <w:p w14:paraId="0B9A4D5B">
            <w:pPr>
              <w:rPr>
                <w:rFonts w:ascii="宋体" w:eastAsia="宋体"/>
              </w:rPr>
            </w:pPr>
            <w:r>
              <w:rPr>
                <w:rFonts w:hint="eastAsia" w:ascii="宋体" w:eastAsia="宋体"/>
              </w:rPr>
              <w:t>xxx元/辆份</w:t>
            </w:r>
          </w:p>
        </w:tc>
        <w:tc>
          <w:tcPr>
            <w:tcW w:w="2035" w:type="dxa"/>
            <w:vAlign w:val="center"/>
          </w:tcPr>
          <w:p w14:paraId="3996536E">
            <w:pPr>
              <w:rPr>
                <w:rFonts w:ascii="宋体" w:eastAsia="宋体"/>
              </w:rPr>
            </w:pPr>
            <w:r>
              <w:rPr>
                <w:rFonts w:hint="eastAsia" w:ascii="宋体" w:eastAsia="宋体"/>
              </w:rPr>
              <w:t>开具增值税发票，税率为13%</w:t>
            </w:r>
          </w:p>
        </w:tc>
      </w:tr>
    </w:tbl>
    <w:p w14:paraId="7015A6C1">
      <w:pPr>
        <w:ind w:firstLine="420" w:firstLineChars="200"/>
        <w:rPr>
          <w:rFonts w:ascii="宋体" w:eastAsia="宋体"/>
        </w:rPr>
      </w:pPr>
      <w:r>
        <w:rPr>
          <w:rFonts w:hint="eastAsia" w:ascii="宋体" w:eastAsia="宋体"/>
        </w:rPr>
        <w:t>备注：</w:t>
      </w:r>
    </w:p>
    <w:p w14:paraId="09AB1BD3">
      <w:pPr>
        <w:ind w:firstLine="420" w:firstLineChars="200"/>
        <w:rPr>
          <w:rFonts w:ascii="宋体" w:eastAsia="宋体"/>
        </w:rPr>
      </w:pPr>
      <w:r>
        <w:rPr>
          <w:rFonts w:hint="eastAsia" w:ascii="宋体" w:eastAsia="宋体"/>
        </w:rPr>
        <w:t>1）外包费用计算方式：当月应支付外包费=当月MES系统中车身一部驾驶室总成面漆下线数量×合同单价</w:t>
      </w:r>
    </w:p>
    <w:p w14:paraId="04571BBD">
      <w:pPr>
        <w:ind w:firstLine="420" w:firstLineChars="200"/>
        <w:rPr>
          <w:rFonts w:ascii="宋体" w:eastAsia="宋体"/>
        </w:rPr>
      </w:pPr>
      <w:r>
        <w:rPr>
          <w:rFonts w:hint="eastAsia" w:ascii="宋体" w:eastAsia="宋体"/>
        </w:rPr>
        <w:t>2）此次招标涉及的项目招标人支付方式为：半年商业汇票（包括银行承兑汇票和商业承兑汇票），账期30天，60天之内付款。</w:t>
      </w:r>
    </w:p>
    <w:p w14:paraId="1CCFC9F9">
      <w:pPr>
        <w:ind w:firstLine="420" w:firstLineChars="200"/>
        <w:rPr>
          <w:rFonts w:ascii="宋体" w:eastAsia="宋体"/>
        </w:rPr>
      </w:pPr>
      <w:r>
        <w:rPr>
          <w:rFonts w:hint="eastAsia" w:ascii="宋体" w:eastAsia="宋体"/>
        </w:rPr>
        <w:t>注：在招标人E采通中填写的报价为总价（万元，含税）。</w:t>
      </w:r>
    </w:p>
    <w:p w14:paraId="6A8424A7">
      <w:pPr>
        <w:ind w:firstLine="420" w:firstLineChars="200"/>
        <w:rPr>
          <w:rFonts w:ascii="宋体" w:eastAsia="宋体"/>
        </w:rPr>
      </w:pPr>
      <w:r>
        <w:rPr>
          <w:rFonts w:hint="eastAsia" w:ascii="宋体" w:eastAsia="宋体"/>
        </w:rPr>
        <w:t>（2）报价包括施工设备设施、劳务、护品、管理、安装、维护、保险、利润、政策性文件规定及合同包含的所有风险、责任等各项应有费用。（合同价格包含详细内容见第三章技术规范中的要求）</w:t>
      </w:r>
    </w:p>
    <w:p w14:paraId="6A7F1AA5">
      <w:pPr>
        <w:ind w:firstLine="420" w:firstLineChars="200"/>
        <w:rPr>
          <w:rFonts w:ascii="宋体" w:eastAsia="宋体"/>
        </w:rPr>
      </w:pPr>
      <w:r>
        <w:rPr>
          <w:rFonts w:hint="eastAsia" w:ascii="宋体" w:eastAsia="宋体"/>
        </w:rPr>
        <w:t>（3）投标人所提供的单价和合价在合同实施期间不因市场变化因素而变动，投标人在计算报价时可考虑一定的风险系数；凡漏项报价者，中标后不得调整价格。</w:t>
      </w:r>
    </w:p>
    <w:p w14:paraId="292E0F13">
      <w:pPr>
        <w:ind w:firstLine="420" w:firstLineChars="200"/>
        <w:rPr>
          <w:rFonts w:ascii="宋体" w:eastAsia="宋体"/>
        </w:rPr>
      </w:pPr>
      <w:r>
        <w:rPr>
          <w:rFonts w:hint="eastAsia" w:ascii="宋体" w:eastAsia="宋体"/>
        </w:rPr>
        <w:t>（4）收款结算方法：半年期商业汇票（包括银行承兑汇票和商承承兑汇票）。</w:t>
      </w:r>
    </w:p>
    <w:p w14:paraId="67050B4A">
      <w:pPr>
        <w:ind w:firstLine="420" w:firstLineChars="200"/>
        <w:rPr>
          <w:rFonts w:ascii="宋体" w:eastAsia="宋体"/>
        </w:rPr>
      </w:pPr>
      <w:r>
        <w:rPr>
          <w:rFonts w:hint="eastAsia" w:ascii="宋体" w:eastAsia="宋体"/>
        </w:rPr>
        <w:t>（5）中标人在收到招标人的《中标通知书》后15日内，应按照招标文件合同专用条款的规定，采用招标文件中提供的履约保证金保函格式或招标人可以接受的其他形式向招标人提交履约保证金。本业务合同履约保证金为伍万元。</w:t>
      </w:r>
    </w:p>
    <w:p w14:paraId="478F0959">
      <w:pPr>
        <w:ind w:firstLine="420" w:firstLineChars="200"/>
        <w:rPr>
          <w:rFonts w:ascii="Times New Roman" w:hAnsi="Times New Roman" w:cs="Times New Roman"/>
          <w:sz w:val="24"/>
        </w:rPr>
      </w:pPr>
      <w:r>
        <w:rPr>
          <w:rFonts w:hint="eastAsia" w:ascii="宋体" w:eastAsia="宋体"/>
        </w:rPr>
        <w:t>（6）现场踏勘：投标人可根据自己的需要，对工程现场和周边环境进行现场考察，以获取与本工程投标有关所有资料。招标人将指定专人负责引导介绍工作，考察现场的费用由投标人自己承担；勘察期间所发生的人身伤害及财产损失由投标人自己负责。</w:t>
      </w:r>
    </w:p>
    <w:p w14:paraId="4B00B471">
      <w:pPr>
        <w:pStyle w:val="72"/>
        <w:numPr>
          <w:numId w:val="0"/>
        </w:numPr>
        <w:ind w:leftChars="0"/>
        <w:rPr>
          <w:rFonts w:hint="eastAsia" w:ascii="宋体" w:hAnsi="宋体" w:eastAsia="宋体" w:cs="宋体"/>
          <w:b/>
          <w:color w:val="000000"/>
          <w:sz w:val="24"/>
          <w:szCs w:val="24"/>
          <w:highlight w:val="none"/>
        </w:rPr>
      </w:pP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6AA335A8">
      <w:pPr>
        <w:rPr>
          <w:rFonts w:hint="eastAsia"/>
        </w:rPr>
      </w:pPr>
      <w:bookmarkStart w:id="17"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14:paraId="10054BE4">
      <w:pPr>
        <w:pStyle w:val="2"/>
        <w:jc w:val="center"/>
        <w:rPr>
          <w:rFonts w:hint="eastAsia" w:eastAsia="黑体"/>
          <w:color w:val="000000"/>
          <w:sz w:val="36"/>
          <w:szCs w:val="32"/>
        </w:rPr>
      </w:pPr>
      <w:bookmarkStart w:id="18" w:name="_Toc50476914"/>
      <w:r>
        <w:rPr>
          <w:rFonts w:eastAsia="黑体"/>
          <w:color w:val="000000"/>
          <w:sz w:val="36"/>
          <w:szCs w:val="32"/>
        </w:rPr>
        <w:t>技术</w:t>
      </w:r>
      <w:bookmarkEnd w:id="18"/>
      <w:r>
        <w:rPr>
          <w:rFonts w:hint="eastAsia" w:eastAsia="黑体"/>
          <w:color w:val="000000"/>
          <w:sz w:val="36"/>
          <w:szCs w:val="32"/>
        </w:rPr>
        <w:t>规范</w:t>
      </w:r>
    </w:p>
    <w:p w14:paraId="363D1C1B">
      <w:pPr>
        <w:pStyle w:val="2"/>
        <w:numPr>
          <w:ilvl w:val="3"/>
          <w:numId w:val="0"/>
        </w:numPr>
        <w:spacing w:line="360" w:lineRule="auto"/>
        <w:rPr>
          <w:rFonts w:hint="eastAsia" w:ascii="宋体" w:hAnsi="宋体" w:cs="宋体"/>
          <w:b/>
          <w:bCs/>
          <w:szCs w:val="28"/>
        </w:rPr>
      </w:pPr>
      <w:bookmarkStart w:id="19" w:name="_Toc44077636"/>
      <w:bookmarkStart w:id="20" w:name="_Toc48320507"/>
      <w:bookmarkStart w:id="21" w:name="_Toc50476919"/>
      <w:bookmarkStart w:id="22" w:name="_Toc47031005"/>
      <w:bookmarkStart w:id="23" w:name="_Toc44077687"/>
      <w:r>
        <w:rPr>
          <w:rFonts w:hint="eastAsia" w:ascii="宋体" w:hAnsi="宋体" w:cs="宋体"/>
          <w:b/>
          <w:bCs/>
          <w:szCs w:val="28"/>
        </w:rPr>
        <w:t>一、项目内容及范围</w:t>
      </w:r>
    </w:p>
    <w:p w14:paraId="616C0D13">
      <w:pPr>
        <w:ind w:firstLine="560" w:firstLineChars="200"/>
        <w:jc w:val="left"/>
        <w:rPr>
          <w:rFonts w:hint="eastAsia" w:ascii="仿宋" w:eastAsia="仿宋"/>
          <w:sz w:val="28"/>
        </w:rPr>
      </w:pPr>
      <w:r>
        <w:rPr>
          <w:rFonts w:ascii="仿宋" w:eastAsia="仿宋"/>
          <w:sz w:val="28"/>
        </w:rPr>
        <w:t>结合集团公司鼓励非核心分装业务外包政策，车身</w:t>
      </w:r>
      <w:r>
        <w:rPr>
          <w:rFonts w:hint="eastAsia" w:ascii="仿宋" w:eastAsia="仿宋"/>
          <w:sz w:val="28"/>
        </w:rPr>
        <w:t>一</w:t>
      </w:r>
      <w:r>
        <w:rPr>
          <w:rFonts w:ascii="仿宋" w:eastAsia="仿宋"/>
          <w:sz w:val="28"/>
        </w:rPr>
        <w:t>部申请对涂装现场分部非核心工序部分业务进行外包，其中包括车间</w:t>
      </w:r>
      <w:r>
        <w:rPr>
          <w:rFonts w:hint="eastAsia" w:ascii="仿宋" w:eastAsia="仿宋"/>
          <w:sz w:val="28"/>
        </w:rPr>
        <w:t>生产操作及</w:t>
      </w:r>
      <w:r>
        <w:rPr>
          <w:rFonts w:ascii="仿宋" w:eastAsia="仿宋"/>
          <w:sz w:val="28"/>
        </w:rPr>
        <w:t>辅助岗位、治具更换、成品防护、涂胶、点修</w:t>
      </w:r>
      <w:r>
        <w:rPr>
          <w:rFonts w:hint="eastAsia" w:ascii="仿宋" w:eastAsia="仿宋"/>
          <w:sz w:val="28"/>
        </w:rPr>
        <w:t>，面漆驾驶室发交</w:t>
      </w:r>
      <w:r>
        <w:rPr>
          <w:rFonts w:ascii="仿宋" w:eastAsia="仿宋"/>
          <w:sz w:val="28"/>
        </w:rPr>
        <w:t>等业务。</w:t>
      </w:r>
    </w:p>
    <w:p w14:paraId="093E86DE">
      <w:pPr>
        <w:spacing w:line="360" w:lineRule="auto"/>
        <w:ind w:firstLine="105" w:firstLineChars="50"/>
        <w:rPr>
          <w:rFonts w:hint="eastAsia" w:ascii="宋体" w:hAnsi="宋体"/>
          <w:szCs w:val="21"/>
        </w:rPr>
      </w:pPr>
      <w:r>
        <w:rPr>
          <w:rFonts w:hint="eastAsia" w:ascii="宋体" w:hAnsi="宋体"/>
          <w:b/>
          <w:szCs w:val="21"/>
        </w:rPr>
        <w:t>1.1项目名称：车身</w:t>
      </w:r>
      <w:r>
        <w:rPr>
          <w:rFonts w:hint="eastAsia" w:ascii="宋体" w:hAnsi="宋体"/>
          <w:szCs w:val="21"/>
        </w:rPr>
        <w:t>一部2026年涂装线工序外包项目　</w:t>
      </w:r>
    </w:p>
    <w:p w14:paraId="3EC8BAE1">
      <w:pPr>
        <w:spacing w:line="360" w:lineRule="auto"/>
        <w:ind w:firstLine="105" w:firstLineChars="50"/>
        <w:rPr>
          <w:rFonts w:hint="eastAsia" w:ascii="宋体" w:hAnsi="宋体"/>
          <w:szCs w:val="21"/>
        </w:rPr>
      </w:pPr>
      <w:r>
        <w:rPr>
          <w:rFonts w:hint="eastAsia" w:ascii="宋体" w:hAnsi="宋体"/>
          <w:b/>
          <w:szCs w:val="21"/>
        </w:rPr>
        <w:t>1.2项目地点：</w:t>
      </w:r>
      <w:r>
        <w:rPr>
          <w:rFonts w:hint="eastAsia" w:ascii="宋体" w:hAnsi="宋体"/>
          <w:szCs w:val="21"/>
        </w:rPr>
        <w:t xml:space="preserve">卡车制造公司莱芜工厂车身一部      </w:t>
      </w:r>
    </w:p>
    <w:p w14:paraId="35B62779">
      <w:pPr>
        <w:spacing w:line="300" w:lineRule="auto"/>
        <w:ind w:firstLine="105" w:firstLineChars="50"/>
        <w:rPr>
          <w:rFonts w:hint="eastAsia" w:ascii="宋体" w:hAnsi="宋体"/>
          <w:color w:val="000000" w:themeColor="text1"/>
          <w:szCs w:val="21"/>
          <w14:textFill>
            <w14:solidFill>
              <w14:schemeClr w14:val="tx1"/>
            </w14:solidFill>
          </w14:textFill>
        </w:rPr>
      </w:pPr>
      <w:r>
        <w:rPr>
          <w:rFonts w:hint="eastAsia" w:ascii="宋体" w:hAnsi="宋体"/>
          <w:b/>
          <w:szCs w:val="21"/>
        </w:rPr>
        <w:t>1.3基本情况：</w:t>
      </w:r>
      <w:r>
        <w:rPr>
          <w:rFonts w:hint="eastAsia" w:ascii="宋体" w:hAnsi="宋体"/>
          <w:color w:val="000000" w:themeColor="text1"/>
          <w:szCs w:val="21"/>
          <w14:textFill>
            <w14:solidFill>
              <w14:schemeClr w14:val="tx1"/>
            </w14:solidFill>
          </w14:textFill>
        </w:rPr>
        <w:t xml:space="preserve">车身一部驾驶室涂装线主要喷涂TX、TH7/T7H、MAX、汕德卡、黄河等系列车型驾驶室，现已进入正式运行阶段 </w:t>
      </w:r>
    </w:p>
    <w:p w14:paraId="28152FB7">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1.3.1、位置：位于莱芜工厂车身一部涂装车间。</w:t>
      </w:r>
    </w:p>
    <w:p w14:paraId="4FD44264">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1.3.2、设备清单：1条驾驶室喷涂线、1个面漆驾驶室立库。</w:t>
      </w:r>
    </w:p>
    <w:p w14:paraId="1D03D809">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1.3.3、人员：单班定员50人，双班定员100人，按双班制生产预案。</w:t>
      </w:r>
    </w:p>
    <w:p w14:paraId="3783A5B7">
      <w:pPr>
        <w:pStyle w:val="2"/>
        <w:numPr>
          <w:ilvl w:val="3"/>
          <w:numId w:val="0"/>
        </w:numPr>
        <w:spacing w:line="360" w:lineRule="auto"/>
        <w:rPr>
          <w:rFonts w:hint="eastAsia" w:ascii="宋体" w:hAnsi="宋体" w:cs="宋体"/>
          <w:b/>
          <w:bCs/>
          <w:szCs w:val="28"/>
        </w:rPr>
      </w:pPr>
      <w:r>
        <w:rPr>
          <w:rFonts w:hint="eastAsia" w:ascii="宋体" w:hAnsi="宋体" w:cs="宋体"/>
          <w:b/>
          <w:bCs/>
          <w:szCs w:val="28"/>
        </w:rPr>
        <w:t>二、业务量介绍</w:t>
      </w:r>
    </w:p>
    <w:p w14:paraId="50792C28">
      <w:pPr>
        <w:ind w:firstLine="140" w:firstLineChars="50"/>
        <w:rPr>
          <w:rFonts w:hint="eastAsia" w:ascii="仿宋" w:eastAsia="仿宋"/>
          <w:sz w:val="28"/>
          <w:highlight w:val="yellow"/>
        </w:rPr>
      </w:pPr>
      <w:r>
        <w:rPr>
          <w:rFonts w:hint="eastAsia" w:ascii="仿宋" w:eastAsia="仿宋"/>
          <w:sz w:val="28"/>
          <w:highlight w:val="yellow"/>
        </w:rPr>
        <w:t>1、</w:t>
      </w:r>
      <w:r>
        <w:rPr>
          <w:rFonts w:ascii="仿宋" w:eastAsia="仿宋"/>
          <w:sz w:val="28"/>
          <w:highlight w:val="yellow"/>
        </w:rPr>
        <w:t>预计年产量：根据</w:t>
      </w:r>
      <w:r>
        <w:rPr>
          <w:rFonts w:hint="eastAsia" w:ascii="仿宋" w:eastAsia="仿宋"/>
          <w:sz w:val="28"/>
          <w:highlight w:val="yellow"/>
        </w:rPr>
        <w:t>公司</w:t>
      </w:r>
      <w:r>
        <w:rPr>
          <w:rFonts w:ascii="仿宋" w:eastAsia="仿宋"/>
          <w:sz w:val="28"/>
          <w:highlight w:val="yellow"/>
        </w:rPr>
        <w:t>下发的关于202</w:t>
      </w:r>
      <w:r>
        <w:rPr>
          <w:rFonts w:hint="eastAsia" w:ascii="仿宋" w:eastAsia="仿宋"/>
          <w:sz w:val="28"/>
          <w:highlight w:val="yellow"/>
        </w:rPr>
        <w:t>6</w:t>
      </w:r>
      <w:r>
        <w:rPr>
          <w:rFonts w:ascii="仿宋" w:eastAsia="仿宋"/>
          <w:sz w:val="28"/>
          <w:highlight w:val="yellow"/>
        </w:rPr>
        <w:t>年预算生产产量为：</w:t>
      </w:r>
      <w:r>
        <w:rPr>
          <w:rFonts w:hint="eastAsia" w:ascii="仿宋_GB2312" w:hAnsi="宋体" w:eastAsia="仿宋_GB2312"/>
          <w:color w:val="FF0000"/>
          <w:sz w:val="32"/>
          <w:szCs w:val="32"/>
          <w:highlight w:val="green"/>
        </w:rPr>
        <w:t>114450</w:t>
      </w:r>
      <w:r>
        <w:rPr>
          <w:rFonts w:ascii="仿宋" w:eastAsia="仿宋"/>
          <w:sz w:val="28"/>
          <w:highlight w:val="yellow"/>
        </w:rPr>
        <w:t>辆</w:t>
      </w:r>
      <w:r>
        <w:rPr>
          <w:rFonts w:hint="eastAsia" w:ascii="仿宋" w:eastAsia="仿宋"/>
          <w:sz w:val="28"/>
          <w:highlight w:val="yellow"/>
        </w:rPr>
        <w:t>；</w:t>
      </w:r>
    </w:p>
    <w:p w14:paraId="539FC9BB">
      <w:pPr>
        <w:pStyle w:val="4"/>
        <w:spacing w:before="0" w:after="0"/>
        <w:rPr>
          <w:rFonts w:hint="eastAsia"/>
        </w:rPr>
      </w:pPr>
      <w:r>
        <w:rPr>
          <w:rFonts w:hint="eastAsia" w:ascii="仿宋" w:eastAsia="仿宋"/>
          <w:sz w:val="28"/>
          <w:highlight w:val="yellow"/>
        </w:rPr>
        <w:t>2、</w:t>
      </w:r>
      <w:r>
        <w:rPr>
          <w:rFonts w:ascii="仿宋" w:eastAsia="仿宋"/>
          <w:sz w:val="28"/>
        </w:rPr>
        <w:t>整线生产节拍：</w:t>
      </w:r>
      <w:r>
        <w:rPr>
          <w:rFonts w:hint="eastAsia" w:ascii="仿宋" w:eastAsia="仿宋"/>
          <w:sz w:val="28"/>
        </w:rPr>
        <w:t>195</w:t>
      </w:r>
      <w:r>
        <w:rPr>
          <w:rFonts w:ascii="仿宋" w:eastAsia="仿宋"/>
          <w:color w:val="FF0000"/>
          <w:sz w:val="28"/>
        </w:rPr>
        <w:t>秒/辆</w:t>
      </w:r>
    </w:p>
    <w:p w14:paraId="340AE48D">
      <w:pPr>
        <w:pStyle w:val="2"/>
        <w:numPr>
          <w:ilvl w:val="3"/>
          <w:numId w:val="0"/>
        </w:numPr>
        <w:spacing w:line="360" w:lineRule="auto"/>
        <w:rPr>
          <w:rFonts w:hint="eastAsia" w:ascii="宋体" w:hAnsi="宋体" w:cs="宋体"/>
          <w:b/>
          <w:bCs/>
          <w:szCs w:val="28"/>
        </w:rPr>
      </w:pPr>
      <w:r>
        <w:rPr>
          <w:rFonts w:hint="eastAsia" w:ascii="宋体" w:hAnsi="宋体" w:cs="宋体"/>
          <w:b/>
          <w:bCs/>
          <w:szCs w:val="28"/>
        </w:rPr>
        <w:t>三、工序内容及人员</w:t>
      </w:r>
    </w:p>
    <w:p w14:paraId="20EEB1FE">
      <w:pPr>
        <w:ind w:firstLine="560" w:firstLineChars="200"/>
        <w:jc w:val="left"/>
        <w:rPr>
          <w:rFonts w:hint="eastAsia" w:ascii="仿宋" w:eastAsia="仿宋"/>
          <w:sz w:val="28"/>
        </w:rPr>
      </w:pPr>
      <w:r>
        <w:rPr>
          <w:rFonts w:ascii="仿宋" w:eastAsia="仿宋"/>
          <w:sz w:val="28"/>
        </w:rPr>
        <w:t>莱芜涂装现场分部单/双班外包工序及人员如下，要求人员配置需满足生产：</w:t>
      </w:r>
    </w:p>
    <w:tbl>
      <w:tblPr>
        <w:tblStyle w:val="30"/>
        <w:tblW w:w="9700" w:type="dxa"/>
        <w:jc w:val="center"/>
        <w:tblLayout w:type="fixed"/>
        <w:tblCellMar>
          <w:top w:w="0" w:type="dxa"/>
          <w:left w:w="108" w:type="dxa"/>
          <w:bottom w:w="0" w:type="dxa"/>
          <w:right w:w="108" w:type="dxa"/>
        </w:tblCellMar>
      </w:tblPr>
      <w:tblGrid>
        <w:gridCol w:w="696"/>
        <w:gridCol w:w="1945"/>
        <w:gridCol w:w="3901"/>
        <w:gridCol w:w="850"/>
        <w:gridCol w:w="923"/>
        <w:gridCol w:w="1385"/>
      </w:tblGrid>
      <w:tr w14:paraId="2A6B72DC">
        <w:tblPrEx>
          <w:tblCellMar>
            <w:top w:w="0" w:type="dxa"/>
            <w:left w:w="108" w:type="dxa"/>
            <w:bottom w:w="0" w:type="dxa"/>
            <w:right w:w="108" w:type="dxa"/>
          </w:tblCellMar>
        </w:tblPrEx>
        <w:trPr>
          <w:trHeight w:val="282" w:hRule="atLeast"/>
          <w:jc w:val="center"/>
        </w:trPr>
        <w:tc>
          <w:tcPr>
            <w:tcW w:w="9700"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002F1CAB">
            <w:pPr>
              <w:widowControl/>
              <w:jc w:val="center"/>
              <w:rPr>
                <w:rFonts w:hint="eastAsia" w:ascii="宋体" w:hAnsi="宋体" w:eastAsia="宋体"/>
                <w:b/>
                <w:kern w:val="0"/>
                <w:szCs w:val="21"/>
              </w:rPr>
            </w:pPr>
            <w:r>
              <w:rPr>
                <w:rFonts w:ascii="宋体" w:hAnsi="宋体" w:eastAsia="宋体"/>
                <w:b/>
                <w:kern w:val="0"/>
                <w:szCs w:val="21"/>
              </w:rPr>
              <w:t>智能网联（新能源）重卡项目驾驶室涂装车间人员配置表</w:t>
            </w:r>
          </w:p>
        </w:tc>
      </w:tr>
      <w:tr w14:paraId="4CD85CB6">
        <w:tblPrEx>
          <w:tblCellMar>
            <w:top w:w="0" w:type="dxa"/>
            <w:left w:w="108" w:type="dxa"/>
            <w:bottom w:w="0" w:type="dxa"/>
            <w:right w:w="108" w:type="dxa"/>
          </w:tblCellMar>
        </w:tblPrEx>
        <w:trPr>
          <w:trHeight w:val="40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7722383D">
            <w:pPr>
              <w:widowControl/>
              <w:jc w:val="center"/>
              <w:rPr>
                <w:rFonts w:hint="eastAsia" w:ascii="宋体" w:hAnsi="宋体" w:eastAsia="宋体"/>
                <w:b/>
                <w:kern w:val="0"/>
                <w:szCs w:val="21"/>
              </w:rPr>
            </w:pPr>
            <w:r>
              <w:rPr>
                <w:rFonts w:ascii="宋体" w:hAnsi="宋体" w:eastAsia="宋体"/>
                <w:b/>
                <w:kern w:val="0"/>
                <w:szCs w:val="21"/>
              </w:rPr>
              <w:t>序号</w:t>
            </w:r>
          </w:p>
        </w:tc>
        <w:tc>
          <w:tcPr>
            <w:tcW w:w="1945" w:type="dxa"/>
            <w:tcBorders>
              <w:top w:val="nil"/>
              <w:left w:val="nil"/>
              <w:bottom w:val="single" w:color="auto" w:sz="4" w:space="0"/>
              <w:right w:val="single" w:color="auto" w:sz="4" w:space="0"/>
              <w:tl2br w:val="nil"/>
              <w:tr2bl w:val="nil"/>
            </w:tcBorders>
            <w:vAlign w:val="center"/>
          </w:tcPr>
          <w:p w14:paraId="76D46DF9">
            <w:pPr>
              <w:widowControl/>
              <w:jc w:val="center"/>
              <w:rPr>
                <w:rFonts w:hint="eastAsia" w:ascii="宋体" w:hAnsi="宋体" w:eastAsia="宋体"/>
                <w:b/>
                <w:kern w:val="0"/>
                <w:szCs w:val="21"/>
              </w:rPr>
            </w:pPr>
            <w:r>
              <w:rPr>
                <w:rFonts w:ascii="宋体" w:hAnsi="宋体" w:eastAsia="宋体"/>
                <w:b/>
                <w:kern w:val="0"/>
                <w:szCs w:val="21"/>
              </w:rPr>
              <w:t>工序</w:t>
            </w:r>
          </w:p>
        </w:tc>
        <w:tc>
          <w:tcPr>
            <w:tcW w:w="3901" w:type="dxa"/>
            <w:tcBorders>
              <w:top w:val="nil"/>
              <w:left w:val="nil"/>
              <w:bottom w:val="single" w:color="auto" w:sz="4" w:space="0"/>
              <w:right w:val="single" w:color="auto" w:sz="4" w:space="0"/>
              <w:tl2br w:val="nil"/>
              <w:tr2bl w:val="nil"/>
            </w:tcBorders>
            <w:vAlign w:val="center"/>
          </w:tcPr>
          <w:p w14:paraId="4E8BE65D">
            <w:pPr>
              <w:widowControl/>
              <w:jc w:val="center"/>
              <w:rPr>
                <w:rFonts w:hint="eastAsia" w:ascii="宋体" w:hAnsi="宋体" w:eastAsia="宋体"/>
                <w:b/>
                <w:kern w:val="0"/>
                <w:szCs w:val="21"/>
              </w:rPr>
            </w:pPr>
            <w:r>
              <w:rPr>
                <w:rFonts w:ascii="宋体" w:hAnsi="宋体" w:eastAsia="宋体"/>
                <w:b/>
                <w:kern w:val="0"/>
                <w:szCs w:val="21"/>
              </w:rPr>
              <w:t>工作内容</w:t>
            </w:r>
          </w:p>
        </w:tc>
        <w:tc>
          <w:tcPr>
            <w:tcW w:w="850" w:type="dxa"/>
            <w:tcBorders>
              <w:top w:val="nil"/>
              <w:left w:val="nil"/>
              <w:bottom w:val="single" w:color="auto" w:sz="4" w:space="0"/>
              <w:right w:val="single" w:color="auto" w:sz="4" w:space="0"/>
              <w:tl2br w:val="nil"/>
              <w:tr2bl w:val="nil"/>
            </w:tcBorders>
            <w:vAlign w:val="center"/>
          </w:tcPr>
          <w:p w14:paraId="68114FD4">
            <w:pPr>
              <w:widowControl/>
              <w:jc w:val="center"/>
              <w:rPr>
                <w:rFonts w:hint="eastAsia" w:ascii="宋体" w:hAnsi="宋体" w:eastAsia="宋体"/>
                <w:kern w:val="0"/>
                <w:szCs w:val="21"/>
              </w:rPr>
            </w:pPr>
            <w:r>
              <w:rPr>
                <w:rFonts w:ascii="宋体" w:hAnsi="宋体" w:eastAsia="宋体"/>
                <w:kern w:val="0"/>
                <w:szCs w:val="21"/>
              </w:rPr>
              <w:t>单班</w:t>
            </w:r>
          </w:p>
        </w:tc>
        <w:tc>
          <w:tcPr>
            <w:tcW w:w="923" w:type="dxa"/>
            <w:tcBorders>
              <w:top w:val="nil"/>
              <w:left w:val="nil"/>
              <w:bottom w:val="single" w:color="auto" w:sz="4" w:space="0"/>
              <w:right w:val="single" w:color="auto" w:sz="4" w:space="0"/>
              <w:tl2br w:val="nil"/>
              <w:tr2bl w:val="nil"/>
            </w:tcBorders>
            <w:vAlign w:val="center"/>
          </w:tcPr>
          <w:p w14:paraId="7B30743E">
            <w:pPr>
              <w:widowControl/>
              <w:jc w:val="center"/>
              <w:rPr>
                <w:rFonts w:hint="eastAsia" w:ascii="宋体" w:hAnsi="宋体" w:eastAsia="宋体"/>
                <w:kern w:val="0"/>
                <w:szCs w:val="21"/>
              </w:rPr>
            </w:pPr>
            <w:r>
              <w:rPr>
                <w:rFonts w:ascii="宋体" w:hAnsi="宋体" w:eastAsia="宋体"/>
                <w:kern w:val="0"/>
                <w:szCs w:val="21"/>
              </w:rPr>
              <w:t>双班</w:t>
            </w:r>
          </w:p>
        </w:tc>
        <w:tc>
          <w:tcPr>
            <w:tcW w:w="1385" w:type="dxa"/>
            <w:tcBorders>
              <w:top w:val="nil"/>
              <w:left w:val="nil"/>
              <w:bottom w:val="single" w:color="auto" w:sz="4" w:space="0"/>
              <w:right w:val="single" w:color="auto" w:sz="4" w:space="0"/>
              <w:tl2br w:val="nil"/>
              <w:tr2bl w:val="nil"/>
            </w:tcBorders>
            <w:vAlign w:val="center"/>
          </w:tcPr>
          <w:p w14:paraId="0CE874E0">
            <w:pPr>
              <w:widowControl/>
              <w:jc w:val="center"/>
              <w:rPr>
                <w:rFonts w:hint="eastAsia" w:ascii="宋体" w:hAnsi="宋体" w:eastAsia="宋体"/>
                <w:b/>
                <w:kern w:val="0"/>
                <w:szCs w:val="21"/>
              </w:rPr>
            </w:pPr>
            <w:r>
              <w:rPr>
                <w:rFonts w:ascii="宋体" w:hAnsi="宋体" w:eastAsia="宋体"/>
                <w:b/>
                <w:kern w:val="0"/>
                <w:szCs w:val="21"/>
              </w:rPr>
              <w:t>备注</w:t>
            </w:r>
          </w:p>
        </w:tc>
      </w:tr>
      <w:tr w14:paraId="356709A3">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236999D2">
            <w:pPr>
              <w:widowControl/>
              <w:jc w:val="center"/>
              <w:rPr>
                <w:rFonts w:hint="eastAsia" w:ascii="宋体" w:hAnsi="宋体" w:eastAsia="宋体"/>
                <w:kern w:val="0"/>
                <w:szCs w:val="21"/>
              </w:rPr>
            </w:pPr>
            <w:r>
              <w:rPr>
                <w:rFonts w:ascii="宋体" w:hAnsi="宋体" w:eastAsia="宋体"/>
                <w:kern w:val="0"/>
                <w:szCs w:val="21"/>
              </w:rPr>
              <w:t>1</w:t>
            </w:r>
          </w:p>
        </w:tc>
        <w:tc>
          <w:tcPr>
            <w:tcW w:w="1945" w:type="dxa"/>
            <w:tcBorders>
              <w:top w:val="single" w:color="000000" w:sz="6" w:space="0"/>
              <w:left w:val="single" w:color="000000" w:sz="6" w:space="0"/>
              <w:bottom w:val="single" w:color="000000" w:sz="6" w:space="0"/>
              <w:right w:val="single" w:color="000000" w:sz="6" w:space="0"/>
            </w:tcBorders>
            <w:vAlign w:val="center"/>
          </w:tcPr>
          <w:p w14:paraId="253ECFC1">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换撬站岗</w:t>
            </w:r>
          </w:p>
        </w:tc>
        <w:tc>
          <w:tcPr>
            <w:tcW w:w="3901" w:type="dxa"/>
            <w:tcBorders>
              <w:top w:val="single" w:color="auto" w:sz="4" w:space="0"/>
              <w:left w:val="single" w:color="auto" w:sz="4" w:space="0"/>
              <w:bottom w:val="single" w:color="auto" w:sz="4" w:space="0"/>
              <w:right w:val="single" w:color="auto" w:sz="4" w:space="0"/>
              <w:tl2br w:val="nil"/>
              <w:tr2bl w:val="nil"/>
            </w:tcBorders>
            <w:vAlign w:val="center"/>
          </w:tcPr>
          <w:p w14:paraId="75B4D702">
            <w:pPr>
              <w:widowControl/>
              <w:jc w:val="center"/>
              <w:rPr>
                <w:rFonts w:hint="eastAsia" w:ascii="宋体" w:hAnsi="宋体" w:eastAsia="宋体"/>
                <w:kern w:val="0"/>
                <w:szCs w:val="21"/>
              </w:rPr>
            </w:pPr>
            <w:r>
              <w:rPr>
                <w:rFonts w:ascii="宋体" w:hAnsi="宋体" w:eastAsia="宋体"/>
                <w:szCs w:val="21"/>
              </w:rPr>
              <w:t>确认电泳滑橇状态</w:t>
            </w:r>
            <w:r>
              <w:rPr>
                <w:rFonts w:ascii="宋体" w:hAnsi="宋体" w:eastAsia="宋体"/>
                <w:szCs w:val="21"/>
              </w:rPr>
              <w:br w:type="textWrapping"/>
            </w:r>
            <w:r>
              <w:rPr>
                <w:rFonts w:ascii="宋体" w:hAnsi="宋体" w:eastAsia="宋体"/>
                <w:szCs w:val="21"/>
              </w:rPr>
              <w:t>更换支腿</w:t>
            </w:r>
          </w:p>
        </w:tc>
        <w:tc>
          <w:tcPr>
            <w:tcW w:w="850" w:type="dxa"/>
            <w:tcBorders>
              <w:top w:val="single" w:color="000000" w:sz="6" w:space="0"/>
              <w:left w:val="single" w:color="000000" w:sz="6" w:space="0"/>
              <w:bottom w:val="single" w:color="000000" w:sz="6" w:space="0"/>
              <w:right w:val="single" w:color="000000" w:sz="6" w:space="0"/>
            </w:tcBorders>
            <w:vAlign w:val="center"/>
          </w:tcPr>
          <w:p w14:paraId="35A954E6">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3C2AC80F">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nil"/>
              <w:bottom w:val="single" w:color="auto" w:sz="4" w:space="0"/>
              <w:right w:val="single" w:color="auto" w:sz="4" w:space="0"/>
            </w:tcBorders>
            <w:vAlign w:val="center"/>
          </w:tcPr>
          <w:p w14:paraId="5049AC62">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管辅操作</w:t>
            </w:r>
            <w:r>
              <w:rPr>
                <w:rFonts w:ascii="宋体" w:eastAsia="宋体" w:cs="宋体"/>
                <w:color w:val="000000"/>
                <w:kern w:val="0"/>
                <w:szCs w:val="21"/>
              </w:rPr>
              <w:t>工</w:t>
            </w:r>
          </w:p>
        </w:tc>
      </w:tr>
      <w:tr w14:paraId="42FF525F">
        <w:tblPrEx>
          <w:tblCellMar>
            <w:top w:w="0" w:type="dxa"/>
            <w:left w:w="108" w:type="dxa"/>
            <w:bottom w:w="0" w:type="dxa"/>
            <w:right w:w="108" w:type="dxa"/>
          </w:tblCellMar>
        </w:tblPrEx>
        <w:trPr>
          <w:trHeight w:val="2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4CE98A7B">
            <w:pPr>
              <w:widowControl/>
              <w:jc w:val="center"/>
              <w:rPr>
                <w:rFonts w:hint="eastAsia" w:ascii="宋体" w:hAnsi="宋体" w:eastAsia="宋体"/>
                <w:kern w:val="0"/>
                <w:szCs w:val="21"/>
              </w:rPr>
            </w:pPr>
            <w:r>
              <w:rPr>
                <w:rFonts w:ascii="宋体" w:hAnsi="宋体" w:eastAsia="宋体"/>
                <w:kern w:val="0"/>
                <w:szCs w:val="21"/>
              </w:rPr>
              <w:t>2</w:t>
            </w:r>
          </w:p>
        </w:tc>
        <w:tc>
          <w:tcPr>
            <w:tcW w:w="1945" w:type="dxa"/>
            <w:tcBorders>
              <w:top w:val="single" w:color="000000" w:sz="6" w:space="0"/>
              <w:left w:val="single" w:color="000000" w:sz="6" w:space="0"/>
              <w:bottom w:val="single" w:color="000000" w:sz="6" w:space="0"/>
              <w:right w:val="single" w:color="000000" w:sz="6" w:space="0"/>
            </w:tcBorders>
            <w:vAlign w:val="center"/>
          </w:tcPr>
          <w:p w14:paraId="36726979">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堵孔及螺栓防护岗</w:t>
            </w:r>
          </w:p>
        </w:tc>
        <w:tc>
          <w:tcPr>
            <w:tcW w:w="3901" w:type="dxa"/>
            <w:tcBorders>
              <w:top w:val="nil"/>
              <w:left w:val="single" w:color="auto" w:sz="4" w:space="0"/>
              <w:bottom w:val="single" w:color="auto" w:sz="4" w:space="0"/>
              <w:right w:val="single" w:color="auto" w:sz="4" w:space="0"/>
              <w:tl2br w:val="nil"/>
              <w:tr2bl w:val="nil"/>
            </w:tcBorders>
            <w:vAlign w:val="center"/>
          </w:tcPr>
          <w:p w14:paraId="5E452A29">
            <w:pPr>
              <w:jc w:val="center"/>
              <w:rPr>
                <w:rFonts w:hint="eastAsia" w:ascii="宋体" w:hAnsi="宋体" w:eastAsia="宋体"/>
                <w:kern w:val="0"/>
                <w:szCs w:val="21"/>
              </w:rPr>
            </w:pPr>
            <w:r>
              <w:rPr>
                <w:rFonts w:ascii="宋体" w:hAnsi="宋体" w:eastAsia="宋体"/>
                <w:szCs w:val="21"/>
              </w:rPr>
              <w:t>堵孔及螺栓防护</w:t>
            </w:r>
          </w:p>
        </w:tc>
        <w:tc>
          <w:tcPr>
            <w:tcW w:w="850" w:type="dxa"/>
            <w:tcBorders>
              <w:top w:val="single" w:color="000000" w:sz="6" w:space="0"/>
              <w:left w:val="single" w:color="000000" w:sz="6" w:space="0"/>
              <w:bottom w:val="single" w:color="000000" w:sz="6" w:space="0"/>
              <w:right w:val="single" w:color="000000" w:sz="6" w:space="0"/>
            </w:tcBorders>
            <w:vAlign w:val="center"/>
          </w:tcPr>
          <w:p w14:paraId="1E6F539E">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3</w:t>
            </w:r>
          </w:p>
        </w:tc>
        <w:tc>
          <w:tcPr>
            <w:tcW w:w="923" w:type="dxa"/>
            <w:tcBorders>
              <w:top w:val="nil"/>
              <w:left w:val="nil"/>
              <w:bottom w:val="single" w:color="auto" w:sz="4" w:space="0"/>
              <w:right w:val="single" w:color="auto" w:sz="4" w:space="0"/>
              <w:tl2br w:val="nil"/>
              <w:tr2bl w:val="nil"/>
            </w:tcBorders>
            <w:vAlign w:val="center"/>
          </w:tcPr>
          <w:p w14:paraId="2FE79D61">
            <w:pPr>
              <w:widowControl/>
              <w:jc w:val="center"/>
              <w:rPr>
                <w:rFonts w:hint="eastAsia" w:ascii="宋体" w:hAnsi="宋体" w:eastAsia="宋体"/>
                <w:szCs w:val="21"/>
              </w:rPr>
            </w:pPr>
            <w:r>
              <w:rPr>
                <w:rFonts w:ascii="宋体" w:hAnsi="宋体" w:eastAsia="宋体"/>
                <w:szCs w:val="21"/>
              </w:rPr>
              <w:t>6</w:t>
            </w:r>
          </w:p>
        </w:tc>
        <w:tc>
          <w:tcPr>
            <w:tcW w:w="1385" w:type="dxa"/>
            <w:tcBorders>
              <w:top w:val="single" w:color="auto" w:sz="4" w:space="0"/>
              <w:left w:val="nil"/>
              <w:bottom w:val="single" w:color="auto" w:sz="4" w:space="0"/>
              <w:right w:val="single" w:color="auto" w:sz="4" w:space="0"/>
            </w:tcBorders>
            <w:vAlign w:val="center"/>
          </w:tcPr>
          <w:p w14:paraId="638D68EE">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管辅操作</w:t>
            </w:r>
            <w:r>
              <w:rPr>
                <w:rFonts w:ascii="宋体" w:eastAsia="宋体" w:cs="宋体"/>
                <w:color w:val="000000"/>
                <w:kern w:val="0"/>
                <w:szCs w:val="21"/>
              </w:rPr>
              <w:t>工</w:t>
            </w:r>
          </w:p>
        </w:tc>
      </w:tr>
      <w:tr w14:paraId="5CE2E97E">
        <w:tblPrEx>
          <w:tblCellMar>
            <w:top w:w="0" w:type="dxa"/>
            <w:left w:w="108" w:type="dxa"/>
            <w:bottom w:w="0" w:type="dxa"/>
            <w:right w:w="108" w:type="dxa"/>
          </w:tblCellMar>
        </w:tblPrEx>
        <w:trPr>
          <w:trHeight w:val="2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5807CD2B">
            <w:pPr>
              <w:widowControl/>
              <w:jc w:val="center"/>
              <w:rPr>
                <w:rFonts w:hint="eastAsia" w:ascii="宋体" w:hAnsi="宋体" w:eastAsia="宋体"/>
                <w:kern w:val="0"/>
                <w:szCs w:val="21"/>
              </w:rPr>
            </w:pPr>
            <w:r>
              <w:rPr>
                <w:rFonts w:ascii="宋体" w:hAnsi="宋体" w:eastAsia="宋体"/>
                <w:kern w:val="0"/>
                <w:szCs w:val="21"/>
              </w:rPr>
              <w:t>3</w:t>
            </w:r>
          </w:p>
        </w:tc>
        <w:tc>
          <w:tcPr>
            <w:tcW w:w="1945" w:type="dxa"/>
            <w:tcBorders>
              <w:top w:val="single" w:color="000000" w:sz="6" w:space="0"/>
              <w:left w:val="single" w:color="000000" w:sz="6" w:space="0"/>
              <w:bottom w:val="single" w:color="000000" w:sz="6" w:space="0"/>
              <w:right w:val="single" w:color="000000" w:sz="6" w:space="0"/>
            </w:tcBorders>
            <w:vAlign w:val="center"/>
          </w:tcPr>
          <w:p w14:paraId="3E56CF7A">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钣金修整岗</w:t>
            </w:r>
          </w:p>
        </w:tc>
        <w:tc>
          <w:tcPr>
            <w:tcW w:w="3901" w:type="dxa"/>
            <w:tcBorders>
              <w:top w:val="nil"/>
              <w:left w:val="single" w:color="auto" w:sz="4" w:space="0"/>
              <w:bottom w:val="single" w:color="auto" w:sz="4" w:space="0"/>
              <w:right w:val="single" w:color="auto" w:sz="4" w:space="0"/>
              <w:tl2br w:val="nil"/>
              <w:tr2bl w:val="nil"/>
            </w:tcBorders>
            <w:vAlign w:val="center"/>
          </w:tcPr>
          <w:p w14:paraId="23624188">
            <w:pPr>
              <w:jc w:val="center"/>
              <w:rPr>
                <w:rFonts w:hint="eastAsia" w:ascii="宋体" w:hAnsi="宋体" w:eastAsia="宋体"/>
                <w:szCs w:val="21"/>
              </w:rPr>
            </w:pPr>
            <w:r>
              <w:rPr>
                <w:rFonts w:ascii="宋体" w:hAnsi="宋体" w:eastAsia="宋体"/>
                <w:szCs w:val="21"/>
              </w:rPr>
              <w:t>对电泳后缺陷驾驶室外观面修复</w:t>
            </w:r>
          </w:p>
        </w:tc>
        <w:tc>
          <w:tcPr>
            <w:tcW w:w="850" w:type="dxa"/>
            <w:tcBorders>
              <w:top w:val="single" w:color="000000" w:sz="6" w:space="0"/>
              <w:left w:val="single" w:color="000000" w:sz="6" w:space="0"/>
              <w:bottom w:val="single" w:color="000000" w:sz="6" w:space="0"/>
              <w:right w:val="single" w:color="000000" w:sz="6" w:space="0"/>
            </w:tcBorders>
            <w:vAlign w:val="center"/>
          </w:tcPr>
          <w:p w14:paraId="0B78B974">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1</w:t>
            </w:r>
          </w:p>
        </w:tc>
        <w:tc>
          <w:tcPr>
            <w:tcW w:w="923" w:type="dxa"/>
            <w:tcBorders>
              <w:top w:val="nil"/>
              <w:left w:val="nil"/>
              <w:bottom w:val="single" w:color="auto" w:sz="4" w:space="0"/>
              <w:right w:val="single" w:color="auto" w:sz="4" w:space="0"/>
              <w:tl2br w:val="nil"/>
              <w:tr2bl w:val="nil"/>
            </w:tcBorders>
            <w:vAlign w:val="center"/>
          </w:tcPr>
          <w:p w14:paraId="316F4FB6">
            <w:pPr>
              <w:widowControl/>
              <w:jc w:val="center"/>
              <w:rPr>
                <w:rFonts w:hint="eastAsia" w:ascii="宋体" w:hAnsi="宋体" w:eastAsia="宋体"/>
                <w:color w:val="000000"/>
                <w:szCs w:val="21"/>
              </w:rPr>
            </w:pPr>
            <w:r>
              <w:rPr>
                <w:rFonts w:ascii="宋体" w:hAnsi="宋体" w:eastAsia="宋体"/>
                <w:color w:val="000000"/>
                <w:szCs w:val="21"/>
              </w:rPr>
              <w:t>2</w:t>
            </w:r>
          </w:p>
        </w:tc>
        <w:tc>
          <w:tcPr>
            <w:tcW w:w="1385" w:type="dxa"/>
            <w:tcBorders>
              <w:top w:val="single" w:color="auto" w:sz="4" w:space="0"/>
              <w:left w:val="single" w:color="auto" w:sz="4" w:space="0"/>
              <w:bottom w:val="single" w:color="auto" w:sz="4" w:space="0"/>
              <w:right w:val="single" w:color="auto" w:sz="4" w:space="0"/>
            </w:tcBorders>
            <w:vAlign w:val="center"/>
          </w:tcPr>
          <w:p w14:paraId="1651D847">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涂装</w:t>
            </w:r>
            <w:r>
              <w:rPr>
                <w:rFonts w:ascii="宋体" w:eastAsia="宋体" w:cs="宋体"/>
                <w:color w:val="000000"/>
                <w:kern w:val="0"/>
                <w:szCs w:val="21"/>
              </w:rPr>
              <w:t>技能工</w:t>
            </w:r>
          </w:p>
        </w:tc>
      </w:tr>
      <w:tr w14:paraId="3A4EEE73">
        <w:tblPrEx>
          <w:tblCellMar>
            <w:top w:w="0" w:type="dxa"/>
            <w:left w:w="108" w:type="dxa"/>
            <w:bottom w:w="0" w:type="dxa"/>
            <w:right w:w="108" w:type="dxa"/>
          </w:tblCellMar>
        </w:tblPrEx>
        <w:trPr>
          <w:trHeight w:val="440"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08246E7A">
            <w:pPr>
              <w:widowControl/>
              <w:jc w:val="center"/>
              <w:rPr>
                <w:rFonts w:hint="eastAsia" w:ascii="宋体" w:hAnsi="宋体" w:eastAsia="宋体"/>
                <w:kern w:val="0"/>
                <w:szCs w:val="21"/>
              </w:rPr>
            </w:pPr>
            <w:r>
              <w:rPr>
                <w:rFonts w:ascii="宋体" w:hAnsi="宋体" w:eastAsia="宋体"/>
                <w:kern w:val="0"/>
                <w:szCs w:val="21"/>
              </w:rPr>
              <w:t>4</w:t>
            </w:r>
          </w:p>
        </w:tc>
        <w:tc>
          <w:tcPr>
            <w:tcW w:w="1945" w:type="dxa"/>
            <w:tcBorders>
              <w:top w:val="single" w:color="000000" w:sz="6" w:space="0"/>
              <w:left w:val="single" w:color="000000" w:sz="6" w:space="0"/>
              <w:bottom w:val="single" w:color="000000" w:sz="6" w:space="0"/>
              <w:right w:val="single" w:color="000000" w:sz="6" w:space="0"/>
            </w:tcBorders>
            <w:vAlign w:val="center"/>
          </w:tcPr>
          <w:p w14:paraId="78AF00C7">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高顶涂胶岗</w:t>
            </w:r>
          </w:p>
        </w:tc>
        <w:tc>
          <w:tcPr>
            <w:tcW w:w="3901" w:type="dxa"/>
            <w:tcBorders>
              <w:top w:val="nil"/>
              <w:left w:val="single" w:color="auto" w:sz="4" w:space="0"/>
              <w:bottom w:val="single" w:color="auto" w:sz="4" w:space="0"/>
              <w:right w:val="single" w:color="auto" w:sz="4" w:space="0"/>
              <w:tl2br w:val="nil"/>
              <w:tr2bl w:val="nil"/>
            </w:tcBorders>
            <w:vAlign w:val="center"/>
          </w:tcPr>
          <w:p w14:paraId="6CBDD6EA">
            <w:pPr>
              <w:jc w:val="center"/>
              <w:rPr>
                <w:rFonts w:hint="eastAsia" w:ascii="宋体" w:hAnsi="宋体" w:eastAsia="宋体"/>
                <w:szCs w:val="21"/>
              </w:rPr>
            </w:pPr>
            <w:r>
              <w:rPr>
                <w:rFonts w:ascii="宋体" w:hAnsi="宋体" w:eastAsia="宋体"/>
                <w:szCs w:val="21"/>
              </w:rPr>
              <w:t>高顶涂密封胶及修胶</w:t>
            </w:r>
          </w:p>
        </w:tc>
        <w:tc>
          <w:tcPr>
            <w:tcW w:w="850" w:type="dxa"/>
            <w:tcBorders>
              <w:top w:val="single" w:color="000000" w:sz="6" w:space="0"/>
              <w:left w:val="single" w:color="000000" w:sz="6" w:space="0"/>
              <w:bottom w:val="single" w:color="000000" w:sz="6" w:space="0"/>
              <w:right w:val="single" w:color="000000" w:sz="6" w:space="0"/>
            </w:tcBorders>
            <w:vAlign w:val="center"/>
          </w:tcPr>
          <w:p w14:paraId="49EABC54">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5</w:t>
            </w:r>
          </w:p>
        </w:tc>
        <w:tc>
          <w:tcPr>
            <w:tcW w:w="923" w:type="dxa"/>
            <w:tcBorders>
              <w:top w:val="nil"/>
              <w:left w:val="nil"/>
              <w:bottom w:val="single" w:color="auto" w:sz="4" w:space="0"/>
              <w:right w:val="single" w:color="auto" w:sz="4" w:space="0"/>
              <w:tl2br w:val="nil"/>
              <w:tr2bl w:val="nil"/>
            </w:tcBorders>
            <w:vAlign w:val="center"/>
          </w:tcPr>
          <w:p w14:paraId="4D47BCF4">
            <w:pPr>
              <w:widowControl/>
              <w:jc w:val="center"/>
              <w:rPr>
                <w:rFonts w:hint="eastAsia" w:ascii="宋体" w:hAnsi="宋体" w:eastAsia="宋体"/>
                <w:szCs w:val="21"/>
              </w:rPr>
            </w:pPr>
            <w:r>
              <w:rPr>
                <w:rFonts w:hint="eastAsia" w:ascii="宋体" w:hAnsi="宋体" w:eastAsia="宋体"/>
                <w:szCs w:val="21"/>
              </w:rPr>
              <w:t>10</w:t>
            </w:r>
          </w:p>
        </w:tc>
        <w:tc>
          <w:tcPr>
            <w:tcW w:w="1385" w:type="dxa"/>
            <w:tcBorders>
              <w:top w:val="single" w:color="auto" w:sz="4" w:space="0"/>
              <w:left w:val="single" w:color="auto" w:sz="4" w:space="0"/>
              <w:bottom w:val="single" w:color="auto" w:sz="4" w:space="0"/>
              <w:right w:val="single" w:color="auto" w:sz="4" w:space="0"/>
            </w:tcBorders>
            <w:vAlign w:val="center"/>
          </w:tcPr>
          <w:p w14:paraId="5428BFB2">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涂装</w:t>
            </w:r>
            <w:r>
              <w:rPr>
                <w:rFonts w:ascii="宋体" w:eastAsia="宋体" w:cs="宋体"/>
                <w:color w:val="000000"/>
                <w:kern w:val="0"/>
                <w:szCs w:val="21"/>
              </w:rPr>
              <w:t>技能工</w:t>
            </w:r>
          </w:p>
        </w:tc>
      </w:tr>
      <w:tr w14:paraId="1FAE6EE0">
        <w:tblPrEx>
          <w:tblCellMar>
            <w:top w:w="0" w:type="dxa"/>
            <w:left w:w="108" w:type="dxa"/>
            <w:bottom w:w="0" w:type="dxa"/>
            <w:right w:w="108" w:type="dxa"/>
          </w:tblCellMar>
        </w:tblPrEx>
        <w:trPr>
          <w:trHeight w:val="41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011E8301">
            <w:pPr>
              <w:widowControl/>
              <w:jc w:val="center"/>
              <w:rPr>
                <w:rFonts w:hint="eastAsia" w:ascii="宋体" w:hAnsi="宋体" w:eastAsia="宋体"/>
                <w:kern w:val="0"/>
                <w:szCs w:val="21"/>
              </w:rPr>
            </w:pPr>
            <w:r>
              <w:rPr>
                <w:rFonts w:ascii="宋体" w:hAnsi="宋体" w:eastAsia="宋体"/>
                <w:kern w:val="0"/>
                <w:szCs w:val="21"/>
              </w:rPr>
              <w:t>5</w:t>
            </w:r>
          </w:p>
        </w:tc>
        <w:tc>
          <w:tcPr>
            <w:tcW w:w="1945" w:type="dxa"/>
            <w:tcBorders>
              <w:top w:val="single" w:color="000000" w:sz="6" w:space="0"/>
              <w:left w:val="single" w:color="000000" w:sz="6" w:space="0"/>
              <w:bottom w:val="single" w:color="000000" w:sz="6" w:space="0"/>
              <w:right w:val="single" w:color="000000" w:sz="6" w:space="0"/>
            </w:tcBorders>
            <w:vAlign w:val="center"/>
          </w:tcPr>
          <w:p w14:paraId="0A946CF2">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打焊缝胶岗</w:t>
            </w:r>
          </w:p>
        </w:tc>
        <w:tc>
          <w:tcPr>
            <w:tcW w:w="3901" w:type="dxa"/>
            <w:tcBorders>
              <w:top w:val="nil"/>
              <w:left w:val="single" w:color="auto" w:sz="4" w:space="0"/>
              <w:bottom w:val="single" w:color="auto" w:sz="4" w:space="0"/>
              <w:right w:val="single" w:color="auto" w:sz="4" w:space="0"/>
              <w:tl2br w:val="nil"/>
              <w:tr2bl w:val="nil"/>
            </w:tcBorders>
            <w:vAlign w:val="center"/>
          </w:tcPr>
          <w:p w14:paraId="7B244080">
            <w:pPr>
              <w:jc w:val="center"/>
              <w:rPr>
                <w:rFonts w:hint="eastAsia" w:ascii="宋体" w:hAnsi="宋体" w:eastAsia="宋体"/>
                <w:szCs w:val="21"/>
              </w:rPr>
            </w:pPr>
            <w:r>
              <w:rPr>
                <w:rFonts w:hint="eastAsia" w:ascii="宋体" w:hAnsi="宋体" w:eastAsia="宋体"/>
                <w:szCs w:val="21"/>
              </w:rPr>
              <w:t>6</w:t>
            </w:r>
            <w:r>
              <w:rPr>
                <w:rFonts w:ascii="宋体" w:hAnsi="宋体" w:eastAsia="宋体"/>
                <w:szCs w:val="21"/>
              </w:rPr>
              <w:t>把胶枪进行涂胶打胶</w:t>
            </w:r>
          </w:p>
        </w:tc>
        <w:tc>
          <w:tcPr>
            <w:tcW w:w="850" w:type="dxa"/>
            <w:tcBorders>
              <w:top w:val="single" w:color="000000" w:sz="6" w:space="0"/>
              <w:left w:val="single" w:color="000000" w:sz="6" w:space="0"/>
              <w:bottom w:val="single" w:color="000000" w:sz="6" w:space="0"/>
              <w:right w:val="single" w:color="000000" w:sz="6" w:space="0"/>
            </w:tcBorders>
            <w:vAlign w:val="center"/>
          </w:tcPr>
          <w:p w14:paraId="38CB69DF">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6</w:t>
            </w:r>
          </w:p>
        </w:tc>
        <w:tc>
          <w:tcPr>
            <w:tcW w:w="923" w:type="dxa"/>
            <w:tcBorders>
              <w:top w:val="nil"/>
              <w:left w:val="nil"/>
              <w:bottom w:val="single" w:color="auto" w:sz="4" w:space="0"/>
              <w:right w:val="single" w:color="auto" w:sz="4" w:space="0"/>
              <w:tl2br w:val="nil"/>
              <w:tr2bl w:val="nil"/>
            </w:tcBorders>
            <w:vAlign w:val="center"/>
          </w:tcPr>
          <w:p w14:paraId="6EA95984">
            <w:pPr>
              <w:widowControl/>
              <w:jc w:val="center"/>
              <w:rPr>
                <w:rFonts w:hint="eastAsia" w:ascii="宋体" w:hAnsi="宋体" w:eastAsia="宋体"/>
                <w:szCs w:val="21"/>
              </w:rPr>
            </w:pPr>
            <w:r>
              <w:rPr>
                <w:rFonts w:hint="eastAsia" w:ascii="宋体" w:hAnsi="宋体" w:eastAsia="宋体"/>
                <w:szCs w:val="21"/>
              </w:rPr>
              <w:t>12</w:t>
            </w:r>
          </w:p>
        </w:tc>
        <w:tc>
          <w:tcPr>
            <w:tcW w:w="1385" w:type="dxa"/>
            <w:tcBorders>
              <w:top w:val="single" w:color="auto" w:sz="4" w:space="0"/>
              <w:left w:val="single" w:color="auto" w:sz="4" w:space="0"/>
              <w:bottom w:val="single" w:color="auto" w:sz="4" w:space="0"/>
              <w:right w:val="single" w:color="auto" w:sz="4" w:space="0"/>
            </w:tcBorders>
            <w:vAlign w:val="center"/>
          </w:tcPr>
          <w:p w14:paraId="71DBFE0F">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涂装</w:t>
            </w:r>
            <w:r>
              <w:rPr>
                <w:rFonts w:ascii="宋体" w:eastAsia="宋体" w:cs="宋体"/>
                <w:color w:val="000000"/>
                <w:kern w:val="0"/>
                <w:szCs w:val="21"/>
              </w:rPr>
              <w:t>技能工</w:t>
            </w:r>
          </w:p>
        </w:tc>
      </w:tr>
      <w:tr w14:paraId="2DFB42E3">
        <w:tblPrEx>
          <w:tblCellMar>
            <w:top w:w="0" w:type="dxa"/>
            <w:left w:w="108" w:type="dxa"/>
            <w:bottom w:w="0" w:type="dxa"/>
            <w:right w:w="108" w:type="dxa"/>
          </w:tblCellMar>
        </w:tblPrEx>
        <w:trPr>
          <w:trHeight w:val="460"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01E050BC">
            <w:pPr>
              <w:widowControl/>
              <w:jc w:val="center"/>
              <w:rPr>
                <w:rFonts w:hint="eastAsia" w:ascii="宋体" w:hAnsi="宋体" w:eastAsia="宋体"/>
                <w:kern w:val="0"/>
                <w:szCs w:val="21"/>
              </w:rPr>
            </w:pPr>
            <w:r>
              <w:rPr>
                <w:rFonts w:ascii="宋体" w:hAnsi="宋体" w:eastAsia="宋体"/>
                <w:kern w:val="0"/>
                <w:szCs w:val="21"/>
              </w:rPr>
              <w:t>6</w:t>
            </w:r>
          </w:p>
        </w:tc>
        <w:tc>
          <w:tcPr>
            <w:tcW w:w="1945" w:type="dxa"/>
            <w:tcBorders>
              <w:top w:val="single" w:color="000000" w:sz="6" w:space="0"/>
              <w:left w:val="single" w:color="000000" w:sz="6" w:space="0"/>
              <w:bottom w:val="single" w:color="000000" w:sz="6" w:space="0"/>
              <w:right w:val="single" w:color="000000" w:sz="6" w:space="0"/>
            </w:tcBorders>
            <w:vAlign w:val="center"/>
          </w:tcPr>
          <w:p w14:paraId="1585E91B">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修饰密封胶岗</w:t>
            </w:r>
          </w:p>
        </w:tc>
        <w:tc>
          <w:tcPr>
            <w:tcW w:w="3901" w:type="dxa"/>
            <w:tcBorders>
              <w:top w:val="nil"/>
              <w:left w:val="single" w:color="auto" w:sz="4" w:space="0"/>
              <w:bottom w:val="single" w:color="auto" w:sz="4" w:space="0"/>
              <w:right w:val="single" w:color="auto" w:sz="4" w:space="0"/>
              <w:tl2br w:val="nil"/>
              <w:tr2bl w:val="nil"/>
            </w:tcBorders>
            <w:vAlign w:val="center"/>
          </w:tcPr>
          <w:p w14:paraId="4D4C7C1D">
            <w:pPr>
              <w:jc w:val="center"/>
              <w:rPr>
                <w:rFonts w:hint="eastAsia" w:ascii="宋体" w:hAnsi="宋体" w:eastAsia="宋体"/>
                <w:szCs w:val="21"/>
              </w:rPr>
            </w:pPr>
            <w:r>
              <w:rPr>
                <w:rFonts w:ascii="宋体" w:hAnsi="宋体" w:eastAsia="宋体"/>
                <w:szCs w:val="21"/>
              </w:rPr>
              <w:t>对打胶的位置进行修胶</w:t>
            </w:r>
          </w:p>
        </w:tc>
        <w:tc>
          <w:tcPr>
            <w:tcW w:w="850" w:type="dxa"/>
            <w:tcBorders>
              <w:top w:val="single" w:color="000000" w:sz="6" w:space="0"/>
              <w:left w:val="single" w:color="000000" w:sz="6" w:space="0"/>
              <w:bottom w:val="single" w:color="000000" w:sz="6" w:space="0"/>
              <w:right w:val="single" w:color="000000" w:sz="6" w:space="0"/>
            </w:tcBorders>
            <w:vAlign w:val="center"/>
          </w:tcPr>
          <w:p w14:paraId="0A424413">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9</w:t>
            </w:r>
          </w:p>
        </w:tc>
        <w:tc>
          <w:tcPr>
            <w:tcW w:w="923" w:type="dxa"/>
            <w:tcBorders>
              <w:top w:val="nil"/>
              <w:left w:val="nil"/>
              <w:bottom w:val="single" w:color="auto" w:sz="4" w:space="0"/>
              <w:right w:val="single" w:color="auto" w:sz="4" w:space="0"/>
              <w:tl2br w:val="nil"/>
              <w:tr2bl w:val="nil"/>
            </w:tcBorders>
            <w:vAlign w:val="center"/>
          </w:tcPr>
          <w:p w14:paraId="2B3A30B8">
            <w:pPr>
              <w:widowControl/>
              <w:jc w:val="center"/>
              <w:rPr>
                <w:rFonts w:hint="eastAsia" w:ascii="宋体" w:hAnsi="宋体" w:eastAsia="宋体"/>
                <w:szCs w:val="21"/>
              </w:rPr>
            </w:pPr>
            <w:r>
              <w:rPr>
                <w:rFonts w:ascii="宋体" w:hAnsi="宋体" w:eastAsia="宋体"/>
                <w:szCs w:val="21"/>
              </w:rPr>
              <w:t>1</w:t>
            </w:r>
            <w:r>
              <w:rPr>
                <w:rFonts w:hint="eastAsia" w:ascii="宋体" w:hAnsi="宋体" w:eastAsia="宋体"/>
                <w:szCs w:val="21"/>
              </w:rPr>
              <w:t>8</w:t>
            </w:r>
          </w:p>
        </w:tc>
        <w:tc>
          <w:tcPr>
            <w:tcW w:w="1385" w:type="dxa"/>
            <w:tcBorders>
              <w:top w:val="single" w:color="auto" w:sz="4" w:space="0"/>
              <w:left w:val="single" w:color="auto" w:sz="4" w:space="0"/>
              <w:bottom w:val="single" w:color="auto" w:sz="4" w:space="0"/>
              <w:right w:val="single" w:color="auto" w:sz="4" w:space="0"/>
            </w:tcBorders>
            <w:vAlign w:val="center"/>
          </w:tcPr>
          <w:p w14:paraId="726BD5F0">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涂装</w:t>
            </w:r>
            <w:r>
              <w:rPr>
                <w:rFonts w:ascii="宋体" w:eastAsia="宋体" w:cs="宋体"/>
                <w:color w:val="000000"/>
                <w:kern w:val="0"/>
                <w:szCs w:val="21"/>
              </w:rPr>
              <w:t>技能工</w:t>
            </w:r>
          </w:p>
        </w:tc>
      </w:tr>
      <w:tr w14:paraId="3F454C8D">
        <w:tblPrEx>
          <w:tblCellMar>
            <w:top w:w="0" w:type="dxa"/>
            <w:left w:w="108" w:type="dxa"/>
            <w:bottom w:w="0" w:type="dxa"/>
            <w:right w:w="108" w:type="dxa"/>
          </w:tblCellMar>
        </w:tblPrEx>
        <w:trPr>
          <w:trHeight w:val="2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1B41CB1E">
            <w:pPr>
              <w:widowControl/>
              <w:jc w:val="center"/>
              <w:rPr>
                <w:rFonts w:hint="eastAsia" w:ascii="宋体" w:hAnsi="宋体" w:eastAsia="宋体"/>
                <w:kern w:val="0"/>
                <w:szCs w:val="21"/>
              </w:rPr>
            </w:pPr>
            <w:r>
              <w:rPr>
                <w:rFonts w:ascii="宋体" w:hAnsi="宋体" w:eastAsia="宋体"/>
                <w:kern w:val="0"/>
                <w:szCs w:val="21"/>
              </w:rPr>
              <w:t>7</w:t>
            </w:r>
          </w:p>
        </w:tc>
        <w:tc>
          <w:tcPr>
            <w:tcW w:w="1945" w:type="dxa"/>
            <w:tcBorders>
              <w:top w:val="single" w:color="000000" w:sz="6" w:space="0"/>
              <w:left w:val="single" w:color="000000" w:sz="6" w:space="0"/>
              <w:bottom w:val="single" w:color="000000" w:sz="6" w:space="0"/>
              <w:right w:val="single" w:color="000000" w:sz="6" w:space="0"/>
            </w:tcBorders>
            <w:vAlign w:val="center"/>
          </w:tcPr>
          <w:p w14:paraId="461A10C5">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电泳打磨</w:t>
            </w:r>
          </w:p>
        </w:tc>
        <w:tc>
          <w:tcPr>
            <w:tcW w:w="3901" w:type="dxa"/>
            <w:tcBorders>
              <w:top w:val="nil"/>
              <w:left w:val="single" w:color="auto" w:sz="4" w:space="0"/>
              <w:bottom w:val="single" w:color="auto" w:sz="4" w:space="0"/>
              <w:right w:val="single" w:color="auto" w:sz="4" w:space="0"/>
              <w:tl2br w:val="nil"/>
              <w:tr2bl w:val="nil"/>
            </w:tcBorders>
            <w:vAlign w:val="center"/>
          </w:tcPr>
          <w:p w14:paraId="71022B5B">
            <w:pPr>
              <w:jc w:val="center"/>
              <w:rPr>
                <w:rFonts w:hint="eastAsia" w:ascii="宋体" w:hAnsi="宋体" w:eastAsia="宋体"/>
                <w:szCs w:val="21"/>
              </w:rPr>
            </w:pPr>
            <w:r>
              <w:rPr>
                <w:rFonts w:ascii="宋体" w:hAnsi="宋体" w:eastAsia="宋体"/>
                <w:szCs w:val="21"/>
              </w:rPr>
              <w:t>对电泳驾驶室打磨</w:t>
            </w:r>
          </w:p>
        </w:tc>
        <w:tc>
          <w:tcPr>
            <w:tcW w:w="850" w:type="dxa"/>
            <w:tcBorders>
              <w:top w:val="single" w:color="000000" w:sz="6" w:space="0"/>
              <w:left w:val="single" w:color="000000" w:sz="6" w:space="0"/>
              <w:bottom w:val="single" w:color="000000" w:sz="6" w:space="0"/>
              <w:right w:val="single" w:color="000000" w:sz="6" w:space="0"/>
            </w:tcBorders>
            <w:vAlign w:val="center"/>
          </w:tcPr>
          <w:p w14:paraId="7B46416F">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3</w:t>
            </w:r>
          </w:p>
        </w:tc>
        <w:tc>
          <w:tcPr>
            <w:tcW w:w="923" w:type="dxa"/>
            <w:tcBorders>
              <w:top w:val="nil"/>
              <w:left w:val="nil"/>
              <w:bottom w:val="single" w:color="auto" w:sz="4" w:space="0"/>
              <w:right w:val="single" w:color="auto" w:sz="4" w:space="0"/>
              <w:tl2br w:val="nil"/>
              <w:tr2bl w:val="nil"/>
            </w:tcBorders>
            <w:vAlign w:val="center"/>
          </w:tcPr>
          <w:p w14:paraId="5149376F">
            <w:pPr>
              <w:widowControl/>
              <w:jc w:val="center"/>
              <w:rPr>
                <w:rFonts w:hint="eastAsia" w:ascii="宋体" w:hAnsi="宋体" w:eastAsia="宋体"/>
                <w:szCs w:val="21"/>
              </w:rPr>
            </w:pPr>
            <w:r>
              <w:rPr>
                <w:rFonts w:ascii="宋体" w:hAnsi="宋体" w:eastAsia="宋体"/>
                <w:szCs w:val="21"/>
              </w:rPr>
              <w:t>6</w:t>
            </w:r>
          </w:p>
        </w:tc>
        <w:tc>
          <w:tcPr>
            <w:tcW w:w="1385" w:type="dxa"/>
            <w:tcBorders>
              <w:top w:val="single" w:color="auto" w:sz="4" w:space="0"/>
              <w:left w:val="single" w:color="auto" w:sz="4" w:space="0"/>
              <w:bottom w:val="single" w:color="auto" w:sz="4" w:space="0"/>
              <w:right w:val="single" w:color="auto" w:sz="4" w:space="0"/>
            </w:tcBorders>
            <w:vAlign w:val="center"/>
          </w:tcPr>
          <w:p w14:paraId="00E07DC3">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涂装</w:t>
            </w:r>
            <w:r>
              <w:rPr>
                <w:rFonts w:ascii="宋体" w:eastAsia="宋体" w:cs="宋体"/>
                <w:color w:val="000000"/>
                <w:kern w:val="0"/>
                <w:szCs w:val="21"/>
              </w:rPr>
              <w:t>技能工</w:t>
            </w:r>
          </w:p>
        </w:tc>
      </w:tr>
      <w:tr w14:paraId="086DE07A">
        <w:tblPrEx>
          <w:tblCellMar>
            <w:top w:w="0" w:type="dxa"/>
            <w:left w:w="108" w:type="dxa"/>
            <w:bottom w:w="0" w:type="dxa"/>
            <w:right w:w="108" w:type="dxa"/>
          </w:tblCellMar>
        </w:tblPrEx>
        <w:trPr>
          <w:trHeight w:val="334"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6096853A">
            <w:pPr>
              <w:widowControl/>
              <w:jc w:val="center"/>
              <w:rPr>
                <w:rFonts w:hint="eastAsia" w:ascii="宋体" w:hAnsi="宋体" w:eastAsia="宋体"/>
                <w:kern w:val="0"/>
                <w:szCs w:val="21"/>
              </w:rPr>
            </w:pPr>
            <w:r>
              <w:rPr>
                <w:rFonts w:ascii="宋体" w:hAnsi="宋体" w:eastAsia="宋体"/>
                <w:kern w:val="0"/>
                <w:szCs w:val="21"/>
              </w:rPr>
              <w:t>8</w:t>
            </w:r>
          </w:p>
        </w:tc>
        <w:tc>
          <w:tcPr>
            <w:tcW w:w="1945" w:type="dxa"/>
            <w:tcBorders>
              <w:top w:val="single" w:color="000000" w:sz="6" w:space="0"/>
              <w:left w:val="single" w:color="000000" w:sz="6" w:space="0"/>
              <w:bottom w:val="single" w:color="000000" w:sz="6" w:space="0"/>
              <w:right w:val="single" w:color="000000" w:sz="6" w:space="0"/>
            </w:tcBorders>
            <w:vAlign w:val="center"/>
          </w:tcPr>
          <w:p w14:paraId="0981FCBB">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转换工装岗</w:t>
            </w:r>
          </w:p>
        </w:tc>
        <w:tc>
          <w:tcPr>
            <w:tcW w:w="3901" w:type="dxa"/>
            <w:tcBorders>
              <w:top w:val="nil"/>
              <w:left w:val="single" w:color="auto" w:sz="4" w:space="0"/>
              <w:bottom w:val="single" w:color="auto" w:sz="4" w:space="0"/>
              <w:right w:val="single" w:color="auto" w:sz="4" w:space="0"/>
              <w:tl2br w:val="nil"/>
              <w:tr2bl w:val="nil"/>
            </w:tcBorders>
            <w:vAlign w:val="center"/>
          </w:tcPr>
          <w:p w14:paraId="5AC952AC">
            <w:pPr>
              <w:jc w:val="center"/>
              <w:rPr>
                <w:rFonts w:hint="eastAsia" w:ascii="宋体" w:hAnsi="宋体" w:eastAsia="宋体"/>
                <w:szCs w:val="21"/>
              </w:rPr>
            </w:pPr>
            <w:r>
              <w:rPr>
                <w:rFonts w:ascii="宋体" w:hAnsi="宋体" w:eastAsia="宋体"/>
                <w:szCs w:val="21"/>
              </w:rPr>
              <w:t>电泳工装更滑面漆工装</w:t>
            </w:r>
          </w:p>
        </w:tc>
        <w:tc>
          <w:tcPr>
            <w:tcW w:w="850" w:type="dxa"/>
            <w:tcBorders>
              <w:top w:val="single" w:color="000000" w:sz="6" w:space="0"/>
              <w:left w:val="single" w:color="000000" w:sz="6" w:space="0"/>
              <w:bottom w:val="single" w:color="000000" w:sz="6" w:space="0"/>
              <w:right w:val="single" w:color="000000" w:sz="6" w:space="0"/>
            </w:tcBorders>
            <w:vAlign w:val="center"/>
          </w:tcPr>
          <w:p w14:paraId="787567EC">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4B20C7F6">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nil"/>
              <w:bottom w:val="single" w:color="auto" w:sz="4" w:space="0"/>
              <w:right w:val="single" w:color="auto" w:sz="4" w:space="0"/>
            </w:tcBorders>
            <w:vAlign w:val="center"/>
          </w:tcPr>
          <w:p w14:paraId="43A412B1">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管辅操作</w:t>
            </w:r>
            <w:r>
              <w:rPr>
                <w:rFonts w:ascii="宋体" w:eastAsia="宋体" w:cs="宋体"/>
                <w:color w:val="000000"/>
                <w:kern w:val="0"/>
                <w:szCs w:val="21"/>
              </w:rPr>
              <w:t>工</w:t>
            </w:r>
          </w:p>
        </w:tc>
      </w:tr>
      <w:tr w14:paraId="7C9BAB7A">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7A49696E">
            <w:pPr>
              <w:widowControl/>
              <w:jc w:val="center"/>
              <w:rPr>
                <w:rFonts w:hint="eastAsia" w:ascii="宋体" w:hAnsi="宋体" w:eastAsia="宋体"/>
                <w:kern w:val="0"/>
                <w:szCs w:val="21"/>
              </w:rPr>
            </w:pPr>
            <w:r>
              <w:rPr>
                <w:rFonts w:ascii="宋体" w:hAnsi="宋体" w:eastAsia="宋体"/>
                <w:kern w:val="0"/>
                <w:szCs w:val="21"/>
              </w:rPr>
              <w:t>9</w:t>
            </w:r>
          </w:p>
        </w:tc>
        <w:tc>
          <w:tcPr>
            <w:tcW w:w="1945" w:type="dxa"/>
            <w:tcBorders>
              <w:top w:val="single" w:color="000000" w:sz="6" w:space="0"/>
              <w:left w:val="single" w:color="000000" w:sz="6" w:space="0"/>
              <w:bottom w:val="single" w:color="000000" w:sz="6" w:space="0"/>
              <w:right w:val="single" w:color="000000" w:sz="6" w:space="0"/>
            </w:tcBorders>
            <w:vAlign w:val="center"/>
          </w:tcPr>
          <w:p w14:paraId="6D5E9B3E">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人工擦净岗</w:t>
            </w:r>
          </w:p>
        </w:tc>
        <w:tc>
          <w:tcPr>
            <w:tcW w:w="3901" w:type="dxa"/>
            <w:tcBorders>
              <w:top w:val="nil"/>
              <w:left w:val="single" w:color="auto" w:sz="4" w:space="0"/>
              <w:bottom w:val="single" w:color="auto" w:sz="4" w:space="0"/>
              <w:right w:val="single" w:color="auto" w:sz="4" w:space="0"/>
              <w:tl2br w:val="nil"/>
              <w:tr2bl w:val="nil"/>
            </w:tcBorders>
            <w:vAlign w:val="center"/>
          </w:tcPr>
          <w:p w14:paraId="61768425">
            <w:pPr>
              <w:jc w:val="center"/>
              <w:rPr>
                <w:rFonts w:hint="eastAsia" w:ascii="宋体" w:hAnsi="宋体" w:eastAsia="宋体"/>
                <w:szCs w:val="21"/>
              </w:rPr>
            </w:pPr>
            <w:r>
              <w:rPr>
                <w:rFonts w:ascii="宋体" w:hAnsi="宋体" w:eastAsia="宋体"/>
                <w:szCs w:val="21"/>
              </w:rPr>
              <w:t>驾驶室人工擦净及驾驶室颜色车型信息确认</w:t>
            </w:r>
          </w:p>
        </w:tc>
        <w:tc>
          <w:tcPr>
            <w:tcW w:w="850" w:type="dxa"/>
            <w:tcBorders>
              <w:top w:val="single" w:color="000000" w:sz="6" w:space="0"/>
              <w:left w:val="single" w:color="000000" w:sz="6" w:space="0"/>
              <w:bottom w:val="single" w:color="000000" w:sz="6" w:space="0"/>
              <w:right w:val="single" w:color="000000" w:sz="6" w:space="0"/>
            </w:tcBorders>
            <w:vAlign w:val="center"/>
          </w:tcPr>
          <w:p w14:paraId="1AB86B91">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4</w:t>
            </w:r>
          </w:p>
        </w:tc>
        <w:tc>
          <w:tcPr>
            <w:tcW w:w="923" w:type="dxa"/>
            <w:tcBorders>
              <w:top w:val="nil"/>
              <w:left w:val="nil"/>
              <w:bottom w:val="single" w:color="auto" w:sz="4" w:space="0"/>
              <w:right w:val="single" w:color="auto" w:sz="4" w:space="0"/>
              <w:tl2br w:val="nil"/>
              <w:tr2bl w:val="nil"/>
            </w:tcBorders>
            <w:vAlign w:val="center"/>
          </w:tcPr>
          <w:p w14:paraId="30035146">
            <w:pPr>
              <w:widowControl/>
              <w:jc w:val="center"/>
              <w:rPr>
                <w:rFonts w:hint="eastAsia" w:ascii="宋体" w:hAnsi="宋体" w:eastAsia="宋体"/>
                <w:szCs w:val="21"/>
              </w:rPr>
            </w:pPr>
            <w:r>
              <w:rPr>
                <w:rFonts w:ascii="宋体" w:hAnsi="宋体" w:eastAsia="宋体"/>
                <w:szCs w:val="21"/>
              </w:rPr>
              <w:t>8</w:t>
            </w:r>
          </w:p>
        </w:tc>
        <w:tc>
          <w:tcPr>
            <w:tcW w:w="1385" w:type="dxa"/>
            <w:tcBorders>
              <w:top w:val="single" w:color="auto" w:sz="4" w:space="0"/>
              <w:left w:val="nil"/>
              <w:bottom w:val="single" w:color="auto" w:sz="4" w:space="0"/>
              <w:right w:val="single" w:color="auto" w:sz="4" w:space="0"/>
            </w:tcBorders>
            <w:vAlign w:val="center"/>
          </w:tcPr>
          <w:p w14:paraId="0A51BBBB">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管辅操作</w:t>
            </w:r>
            <w:r>
              <w:rPr>
                <w:rFonts w:ascii="宋体" w:eastAsia="宋体" w:cs="宋体"/>
                <w:color w:val="000000"/>
                <w:kern w:val="0"/>
                <w:szCs w:val="21"/>
              </w:rPr>
              <w:t>工</w:t>
            </w:r>
          </w:p>
        </w:tc>
      </w:tr>
      <w:tr w14:paraId="79038157">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7B0E7083">
            <w:pPr>
              <w:widowControl/>
              <w:jc w:val="center"/>
              <w:rPr>
                <w:rFonts w:hint="eastAsia" w:ascii="宋体" w:hAnsi="宋体" w:eastAsia="宋体"/>
                <w:kern w:val="0"/>
                <w:szCs w:val="21"/>
              </w:rPr>
            </w:pPr>
            <w:r>
              <w:rPr>
                <w:rFonts w:ascii="宋体" w:hAnsi="宋体" w:eastAsia="宋体"/>
                <w:kern w:val="0"/>
                <w:szCs w:val="21"/>
              </w:rPr>
              <w:t>10</w:t>
            </w:r>
          </w:p>
        </w:tc>
        <w:tc>
          <w:tcPr>
            <w:tcW w:w="1945" w:type="dxa"/>
            <w:tcBorders>
              <w:top w:val="single" w:color="000000" w:sz="6" w:space="0"/>
              <w:left w:val="single" w:color="000000" w:sz="6" w:space="0"/>
              <w:bottom w:val="single" w:color="000000" w:sz="6" w:space="0"/>
              <w:right w:val="single" w:color="000000" w:sz="6" w:space="0"/>
            </w:tcBorders>
            <w:vAlign w:val="center"/>
          </w:tcPr>
          <w:p w14:paraId="73FF41E8">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BC人工检查及补喷岗</w:t>
            </w:r>
          </w:p>
        </w:tc>
        <w:tc>
          <w:tcPr>
            <w:tcW w:w="3901" w:type="dxa"/>
            <w:tcBorders>
              <w:top w:val="nil"/>
              <w:left w:val="single" w:color="auto" w:sz="4" w:space="0"/>
              <w:bottom w:val="single" w:color="auto" w:sz="4" w:space="0"/>
              <w:right w:val="single" w:color="auto" w:sz="4" w:space="0"/>
              <w:tl2br w:val="nil"/>
              <w:tr2bl w:val="nil"/>
            </w:tcBorders>
            <w:vAlign w:val="center"/>
          </w:tcPr>
          <w:p w14:paraId="229045E9">
            <w:pPr>
              <w:jc w:val="center"/>
              <w:rPr>
                <w:rFonts w:hint="eastAsia" w:ascii="宋体" w:hAnsi="宋体" w:eastAsia="宋体"/>
                <w:szCs w:val="21"/>
              </w:rPr>
            </w:pPr>
            <w:r>
              <w:rPr>
                <w:rFonts w:ascii="宋体" w:hAnsi="宋体" w:eastAsia="宋体"/>
                <w:szCs w:val="21"/>
              </w:rPr>
              <w:t>BC人工补喷并对补喷后的结果确认检查</w:t>
            </w:r>
          </w:p>
        </w:tc>
        <w:tc>
          <w:tcPr>
            <w:tcW w:w="850" w:type="dxa"/>
            <w:tcBorders>
              <w:top w:val="single" w:color="000000" w:sz="6" w:space="0"/>
              <w:left w:val="single" w:color="000000" w:sz="6" w:space="0"/>
              <w:bottom w:val="single" w:color="000000" w:sz="6" w:space="0"/>
              <w:right w:val="single" w:color="000000" w:sz="6" w:space="0"/>
            </w:tcBorders>
            <w:vAlign w:val="center"/>
          </w:tcPr>
          <w:p w14:paraId="13D6D363">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33784B57">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single" w:color="auto" w:sz="4" w:space="0"/>
              <w:bottom w:val="single" w:color="auto" w:sz="4" w:space="0"/>
              <w:right w:val="single" w:color="auto" w:sz="4" w:space="0"/>
            </w:tcBorders>
            <w:vAlign w:val="center"/>
          </w:tcPr>
          <w:p w14:paraId="28EF224C">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喷漆</w:t>
            </w:r>
            <w:r>
              <w:rPr>
                <w:rFonts w:ascii="宋体" w:eastAsia="宋体" w:cs="宋体"/>
                <w:color w:val="000000"/>
                <w:kern w:val="0"/>
                <w:szCs w:val="21"/>
              </w:rPr>
              <w:t>工</w:t>
            </w:r>
          </w:p>
        </w:tc>
      </w:tr>
      <w:tr w14:paraId="3F147F52">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1685EE9A">
            <w:pPr>
              <w:widowControl/>
              <w:jc w:val="center"/>
              <w:rPr>
                <w:rFonts w:hint="eastAsia" w:ascii="宋体" w:hAnsi="宋体" w:eastAsia="宋体"/>
                <w:kern w:val="0"/>
                <w:szCs w:val="21"/>
              </w:rPr>
            </w:pPr>
            <w:r>
              <w:rPr>
                <w:rFonts w:ascii="宋体" w:hAnsi="宋体" w:eastAsia="宋体"/>
                <w:kern w:val="0"/>
                <w:szCs w:val="21"/>
              </w:rPr>
              <w:t>11</w:t>
            </w:r>
          </w:p>
        </w:tc>
        <w:tc>
          <w:tcPr>
            <w:tcW w:w="1945" w:type="dxa"/>
            <w:tcBorders>
              <w:top w:val="single" w:color="000000" w:sz="6" w:space="0"/>
              <w:left w:val="single" w:color="000000" w:sz="6" w:space="0"/>
              <w:bottom w:val="single" w:color="000000" w:sz="6" w:space="0"/>
              <w:right w:val="single" w:color="000000" w:sz="6" w:space="0"/>
            </w:tcBorders>
            <w:vAlign w:val="center"/>
          </w:tcPr>
          <w:p w14:paraId="2B1F577F">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CC人工检查及补喷岗</w:t>
            </w:r>
          </w:p>
        </w:tc>
        <w:tc>
          <w:tcPr>
            <w:tcW w:w="3901" w:type="dxa"/>
            <w:tcBorders>
              <w:top w:val="nil"/>
              <w:left w:val="single" w:color="auto" w:sz="4" w:space="0"/>
              <w:bottom w:val="single" w:color="auto" w:sz="4" w:space="0"/>
              <w:right w:val="single" w:color="auto" w:sz="4" w:space="0"/>
              <w:tl2br w:val="nil"/>
              <w:tr2bl w:val="nil"/>
            </w:tcBorders>
            <w:vAlign w:val="center"/>
          </w:tcPr>
          <w:p w14:paraId="6C6C7CE6">
            <w:pPr>
              <w:jc w:val="center"/>
              <w:rPr>
                <w:rFonts w:hint="eastAsia" w:ascii="宋体" w:hAnsi="宋体" w:eastAsia="宋体"/>
                <w:szCs w:val="21"/>
              </w:rPr>
            </w:pPr>
            <w:r>
              <w:rPr>
                <w:rFonts w:ascii="宋体" w:hAnsi="宋体" w:eastAsia="宋体"/>
                <w:szCs w:val="21"/>
              </w:rPr>
              <w:t>CC人工补喷并对补喷后的结果确认检查</w:t>
            </w:r>
          </w:p>
        </w:tc>
        <w:tc>
          <w:tcPr>
            <w:tcW w:w="850" w:type="dxa"/>
            <w:tcBorders>
              <w:top w:val="single" w:color="000000" w:sz="6" w:space="0"/>
              <w:left w:val="single" w:color="000000" w:sz="6" w:space="0"/>
              <w:bottom w:val="single" w:color="000000" w:sz="6" w:space="0"/>
              <w:right w:val="single" w:color="000000" w:sz="6" w:space="0"/>
            </w:tcBorders>
            <w:vAlign w:val="center"/>
          </w:tcPr>
          <w:p w14:paraId="190074A0">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4186D559">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single" w:color="auto" w:sz="4" w:space="0"/>
              <w:bottom w:val="single" w:color="auto" w:sz="4" w:space="0"/>
              <w:right w:val="single" w:color="auto" w:sz="4" w:space="0"/>
            </w:tcBorders>
            <w:vAlign w:val="center"/>
          </w:tcPr>
          <w:p w14:paraId="6CB38C26">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喷漆</w:t>
            </w:r>
            <w:r>
              <w:rPr>
                <w:rFonts w:ascii="宋体" w:eastAsia="宋体" w:cs="宋体"/>
                <w:color w:val="000000"/>
                <w:kern w:val="0"/>
                <w:szCs w:val="21"/>
              </w:rPr>
              <w:t>工</w:t>
            </w:r>
          </w:p>
        </w:tc>
      </w:tr>
      <w:tr w14:paraId="3486CCF2">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10654DD3">
            <w:pPr>
              <w:widowControl/>
              <w:jc w:val="center"/>
              <w:rPr>
                <w:rFonts w:hint="eastAsia" w:ascii="宋体" w:hAnsi="宋体" w:eastAsia="宋体"/>
                <w:kern w:val="0"/>
                <w:szCs w:val="21"/>
              </w:rPr>
            </w:pPr>
            <w:r>
              <w:rPr>
                <w:rFonts w:ascii="宋体" w:hAnsi="宋体" w:eastAsia="宋体"/>
                <w:kern w:val="0"/>
                <w:szCs w:val="21"/>
              </w:rPr>
              <w:t>12</w:t>
            </w:r>
          </w:p>
        </w:tc>
        <w:tc>
          <w:tcPr>
            <w:tcW w:w="1945" w:type="dxa"/>
            <w:tcBorders>
              <w:top w:val="single" w:color="000000" w:sz="6" w:space="0"/>
              <w:left w:val="single" w:color="000000" w:sz="6" w:space="0"/>
              <w:bottom w:val="single" w:color="000000" w:sz="6" w:space="0"/>
              <w:right w:val="single" w:color="000000" w:sz="6" w:space="0"/>
            </w:tcBorders>
            <w:vAlign w:val="center"/>
          </w:tcPr>
          <w:p w14:paraId="196753BF">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拆卸顶盖及设备操作岗</w:t>
            </w:r>
          </w:p>
        </w:tc>
        <w:tc>
          <w:tcPr>
            <w:tcW w:w="3901" w:type="dxa"/>
            <w:tcBorders>
              <w:top w:val="nil"/>
              <w:left w:val="single" w:color="auto" w:sz="4" w:space="0"/>
              <w:bottom w:val="single" w:color="auto" w:sz="4" w:space="0"/>
              <w:right w:val="single" w:color="auto" w:sz="4" w:space="0"/>
              <w:tl2br w:val="nil"/>
              <w:tr2bl w:val="nil"/>
            </w:tcBorders>
            <w:vAlign w:val="center"/>
          </w:tcPr>
          <w:p w14:paraId="2C0493CA">
            <w:pPr>
              <w:jc w:val="center"/>
              <w:rPr>
                <w:rFonts w:hint="eastAsia" w:ascii="宋体" w:hAnsi="宋体" w:eastAsia="宋体"/>
                <w:szCs w:val="21"/>
              </w:rPr>
            </w:pPr>
            <w:r>
              <w:rPr>
                <w:rFonts w:ascii="宋体" w:hAnsi="宋体" w:eastAsia="宋体"/>
                <w:szCs w:val="21"/>
              </w:rPr>
              <w:t>拆卸顶盖支撑并固定顶盖</w:t>
            </w:r>
          </w:p>
        </w:tc>
        <w:tc>
          <w:tcPr>
            <w:tcW w:w="850" w:type="dxa"/>
            <w:tcBorders>
              <w:top w:val="single" w:color="000000" w:sz="6" w:space="0"/>
              <w:left w:val="single" w:color="000000" w:sz="6" w:space="0"/>
              <w:bottom w:val="single" w:color="000000" w:sz="6" w:space="0"/>
              <w:right w:val="single" w:color="000000" w:sz="6" w:space="0"/>
            </w:tcBorders>
            <w:vAlign w:val="center"/>
          </w:tcPr>
          <w:p w14:paraId="46A67836">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7B5E828F">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nil"/>
              <w:bottom w:val="single" w:color="auto" w:sz="4" w:space="0"/>
              <w:right w:val="single" w:color="auto" w:sz="4" w:space="0"/>
            </w:tcBorders>
            <w:vAlign w:val="center"/>
          </w:tcPr>
          <w:p w14:paraId="73C3AB12">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管辅操作</w:t>
            </w:r>
            <w:r>
              <w:rPr>
                <w:rFonts w:ascii="宋体" w:eastAsia="宋体" w:cs="宋体"/>
                <w:color w:val="000000"/>
                <w:kern w:val="0"/>
                <w:szCs w:val="21"/>
              </w:rPr>
              <w:t>工</w:t>
            </w:r>
          </w:p>
        </w:tc>
      </w:tr>
      <w:tr w14:paraId="47E2A012">
        <w:tblPrEx>
          <w:tblCellMar>
            <w:top w:w="0" w:type="dxa"/>
            <w:left w:w="108" w:type="dxa"/>
            <w:bottom w:w="0" w:type="dxa"/>
            <w:right w:w="108" w:type="dxa"/>
          </w:tblCellMar>
        </w:tblPrEx>
        <w:trPr>
          <w:trHeight w:val="342"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3271400C">
            <w:pPr>
              <w:widowControl/>
              <w:jc w:val="center"/>
              <w:rPr>
                <w:rFonts w:hint="eastAsia" w:ascii="宋体" w:hAnsi="宋体" w:eastAsia="宋体"/>
                <w:kern w:val="0"/>
                <w:szCs w:val="21"/>
              </w:rPr>
            </w:pPr>
            <w:r>
              <w:rPr>
                <w:rFonts w:ascii="宋体" w:hAnsi="宋体" w:eastAsia="宋体"/>
                <w:kern w:val="0"/>
                <w:szCs w:val="21"/>
              </w:rPr>
              <w:t>13</w:t>
            </w:r>
          </w:p>
        </w:tc>
        <w:tc>
          <w:tcPr>
            <w:tcW w:w="1945" w:type="dxa"/>
            <w:tcBorders>
              <w:top w:val="single" w:color="000000" w:sz="6" w:space="0"/>
              <w:left w:val="single" w:color="000000" w:sz="6" w:space="0"/>
              <w:bottom w:val="single" w:color="000000" w:sz="6" w:space="0"/>
              <w:right w:val="single" w:color="000000" w:sz="6" w:space="0"/>
            </w:tcBorders>
            <w:vAlign w:val="center"/>
          </w:tcPr>
          <w:p w14:paraId="3DB2E7EC">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抛光及精修岗</w:t>
            </w:r>
          </w:p>
        </w:tc>
        <w:tc>
          <w:tcPr>
            <w:tcW w:w="3901" w:type="dxa"/>
            <w:tcBorders>
              <w:top w:val="nil"/>
              <w:left w:val="single" w:color="auto" w:sz="4" w:space="0"/>
              <w:bottom w:val="single" w:color="auto" w:sz="4" w:space="0"/>
              <w:right w:val="single" w:color="auto" w:sz="4" w:space="0"/>
              <w:tl2br w:val="nil"/>
              <w:tr2bl w:val="nil"/>
            </w:tcBorders>
            <w:vAlign w:val="center"/>
          </w:tcPr>
          <w:p w14:paraId="1378213A">
            <w:pPr>
              <w:jc w:val="center"/>
              <w:rPr>
                <w:rFonts w:hint="eastAsia" w:ascii="宋体" w:hAnsi="宋体" w:eastAsia="宋体"/>
                <w:szCs w:val="21"/>
              </w:rPr>
            </w:pPr>
            <w:r>
              <w:rPr>
                <w:rFonts w:ascii="宋体" w:hAnsi="宋体" w:eastAsia="宋体"/>
                <w:szCs w:val="21"/>
              </w:rPr>
              <w:t>对面漆后的缺陷位置抛光、精修</w:t>
            </w:r>
          </w:p>
        </w:tc>
        <w:tc>
          <w:tcPr>
            <w:tcW w:w="850" w:type="dxa"/>
            <w:tcBorders>
              <w:top w:val="single" w:color="000000" w:sz="6" w:space="0"/>
              <w:left w:val="single" w:color="000000" w:sz="6" w:space="0"/>
              <w:bottom w:val="single" w:color="000000" w:sz="6" w:space="0"/>
              <w:right w:val="single" w:color="000000" w:sz="6" w:space="0"/>
            </w:tcBorders>
            <w:vAlign w:val="center"/>
          </w:tcPr>
          <w:p w14:paraId="029F7568">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3A67C743">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single" w:color="auto" w:sz="4" w:space="0"/>
              <w:bottom w:val="single" w:color="auto" w:sz="4" w:space="0"/>
              <w:right w:val="single" w:color="auto" w:sz="4" w:space="0"/>
            </w:tcBorders>
            <w:vAlign w:val="center"/>
          </w:tcPr>
          <w:p w14:paraId="3A541CD3">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涂装</w:t>
            </w:r>
            <w:r>
              <w:rPr>
                <w:rFonts w:ascii="宋体" w:eastAsia="宋体" w:cs="宋体"/>
                <w:color w:val="000000"/>
                <w:kern w:val="0"/>
                <w:szCs w:val="21"/>
              </w:rPr>
              <w:t>技能工</w:t>
            </w:r>
          </w:p>
        </w:tc>
      </w:tr>
      <w:tr w14:paraId="50ADB36E">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5C23AF13">
            <w:pPr>
              <w:widowControl/>
              <w:jc w:val="center"/>
              <w:rPr>
                <w:rFonts w:hint="eastAsia" w:ascii="宋体" w:hAnsi="宋体" w:eastAsia="宋体"/>
                <w:kern w:val="0"/>
                <w:szCs w:val="21"/>
              </w:rPr>
            </w:pPr>
            <w:r>
              <w:rPr>
                <w:rFonts w:ascii="宋体" w:hAnsi="宋体" w:eastAsia="宋体"/>
                <w:kern w:val="0"/>
                <w:szCs w:val="21"/>
              </w:rPr>
              <w:t>14</w:t>
            </w:r>
          </w:p>
        </w:tc>
        <w:tc>
          <w:tcPr>
            <w:tcW w:w="1945" w:type="dxa"/>
            <w:tcBorders>
              <w:top w:val="single" w:color="000000" w:sz="6" w:space="0"/>
              <w:left w:val="single" w:color="000000" w:sz="6" w:space="0"/>
              <w:bottom w:val="single" w:color="000000" w:sz="6" w:space="0"/>
              <w:right w:val="single" w:color="000000" w:sz="6" w:space="0"/>
            </w:tcBorders>
            <w:vAlign w:val="center"/>
          </w:tcPr>
          <w:p w14:paraId="60005241">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喷蜡岗</w:t>
            </w:r>
          </w:p>
        </w:tc>
        <w:tc>
          <w:tcPr>
            <w:tcW w:w="3901" w:type="dxa"/>
            <w:tcBorders>
              <w:top w:val="nil"/>
              <w:left w:val="single" w:color="auto" w:sz="4" w:space="0"/>
              <w:bottom w:val="single" w:color="auto" w:sz="4" w:space="0"/>
              <w:right w:val="single" w:color="auto" w:sz="4" w:space="0"/>
              <w:tl2br w:val="nil"/>
              <w:tr2bl w:val="nil"/>
            </w:tcBorders>
            <w:vAlign w:val="center"/>
          </w:tcPr>
          <w:p w14:paraId="0760661A">
            <w:pPr>
              <w:jc w:val="center"/>
              <w:rPr>
                <w:rFonts w:hint="eastAsia" w:ascii="宋体" w:hAnsi="宋体" w:eastAsia="宋体"/>
                <w:szCs w:val="21"/>
              </w:rPr>
            </w:pPr>
            <w:r>
              <w:rPr>
                <w:rFonts w:ascii="宋体" w:hAnsi="宋体" w:eastAsia="宋体"/>
                <w:szCs w:val="21"/>
              </w:rPr>
              <w:t>喷蜡、供蜡间设备操作及吊耳防护记录车号</w:t>
            </w:r>
          </w:p>
        </w:tc>
        <w:tc>
          <w:tcPr>
            <w:tcW w:w="850" w:type="dxa"/>
            <w:tcBorders>
              <w:top w:val="single" w:color="000000" w:sz="6" w:space="0"/>
              <w:left w:val="single" w:color="000000" w:sz="6" w:space="0"/>
              <w:bottom w:val="single" w:color="000000" w:sz="6" w:space="0"/>
              <w:right w:val="single" w:color="000000" w:sz="6" w:space="0"/>
            </w:tcBorders>
            <w:vAlign w:val="center"/>
          </w:tcPr>
          <w:p w14:paraId="1839A8CC">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770D5A2C">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nil"/>
              <w:bottom w:val="single" w:color="auto" w:sz="4" w:space="0"/>
              <w:right w:val="single" w:color="auto" w:sz="4" w:space="0"/>
            </w:tcBorders>
            <w:vAlign w:val="center"/>
          </w:tcPr>
          <w:p w14:paraId="56492F70">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喷漆</w:t>
            </w:r>
            <w:r>
              <w:rPr>
                <w:rFonts w:ascii="宋体" w:eastAsia="宋体" w:cs="宋体"/>
                <w:color w:val="000000"/>
                <w:kern w:val="0"/>
                <w:szCs w:val="21"/>
              </w:rPr>
              <w:t>工</w:t>
            </w:r>
          </w:p>
        </w:tc>
      </w:tr>
      <w:tr w14:paraId="3FFDD0A2">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32C95156">
            <w:pPr>
              <w:widowControl/>
              <w:jc w:val="center"/>
              <w:rPr>
                <w:rFonts w:hint="eastAsia" w:ascii="宋体" w:hAnsi="宋体" w:eastAsia="宋体"/>
                <w:kern w:val="0"/>
                <w:szCs w:val="21"/>
              </w:rPr>
            </w:pPr>
            <w:r>
              <w:rPr>
                <w:rFonts w:ascii="宋体" w:hAnsi="宋体" w:eastAsia="宋体"/>
                <w:kern w:val="0"/>
                <w:szCs w:val="21"/>
              </w:rPr>
              <w:t>15</w:t>
            </w:r>
          </w:p>
        </w:tc>
        <w:tc>
          <w:tcPr>
            <w:tcW w:w="1945" w:type="dxa"/>
            <w:tcBorders>
              <w:top w:val="single" w:color="000000" w:sz="6" w:space="0"/>
              <w:left w:val="single" w:color="000000" w:sz="6" w:space="0"/>
              <w:bottom w:val="single" w:color="000000" w:sz="6" w:space="0"/>
              <w:right w:val="single" w:color="000000" w:sz="6" w:space="0"/>
            </w:tcBorders>
            <w:vAlign w:val="center"/>
          </w:tcPr>
          <w:p w14:paraId="704229EE">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离线精修岗</w:t>
            </w:r>
          </w:p>
        </w:tc>
        <w:tc>
          <w:tcPr>
            <w:tcW w:w="3901" w:type="dxa"/>
            <w:tcBorders>
              <w:top w:val="nil"/>
              <w:left w:val="single" w:color="auto" w:sz="4" w:space="0"/>
              <w:bottom w:val="single" w:color="auto" w:sz="4" w:space="0"/>
              <w:right w:val="single" w:color="auto" w:sz="4" w:space="0"/>
              <w:tl2br w:val="nil"/>
              <w:tr2bl w:val="nil"/>
            </w:tcBorders>
            <w:vAlign w:val="center"/>
          </w:tcPr>
          <w:p w14:paraId="354F798F">
            <w:pPr>
              <w:jc w:val="center"/>
              <w:rPr>
                <w:rFonts w:hint="eastAsia" w:eastAsia="宋体"/>
                <w:szCs w:val="21"/>
              </w:rPr>
            </w:pPr>
            <w:r>
              <w:rPr>
                <w:rFonts w:ascii="宋体" w:hAnsi="宋体" w:eastAsia="宋体"/>
                <w:szCs w:val="21"/>
              </w:rPr>
              <w:t>3个点修室的在线点修，需要动枪喷涂修复</w:t>
            </w:r>
          </w:p>
        </w:tc>
        <w:tc>
          <w:tcPr>
            <w:tcW w:w="850" w:type="dxa"/>
            <w:tcBorders>
              <w:top w:val="single" w:color="000000" w:sz="6" w:space="0"/>
              <w:left w:val="single" w:color="000000" w:sz="6" w:space="0"/>
              <w:bottom w:val="single" w:color="000000" w:sz="6" w:space="0"/>
              <w:right w:val="single" w:color="000000" w:sz="6" w:space="0"/>
            </w:tcBorders>
            <w:vAlign w:val="center"/>
          </w:tcPr>
          <w:p w14:paraId="44F74495">
            <w:pPr>
              <w:autoSpaceDE w:val="0"/>
              <w:autoSpaceDN w:val="0"/>
              <w:adjustRightInd w:val="0"/>
              <w:jc w:val="center"/>
              <w:rPr>
                <w:rFonts w:hint="eastAsia" w:ascii="宋体" w:eastAsia="宋体" w:cs="宋体"/>
                <w:color w:val="000000"/>
                <w:kern w:val="0"/>
                <w:szCs w:val="21"/>
              </w:rPr>
            </w:pPr>
            <w:r>
              <w:rPr>
                <w:rFonts w:ascii="宋体" w:eastAsia="宋体" w:cs="宋体"/>
                <w:color w:val="000000"/>
                <w:kern w:val="0"/>
                <w:szCs w:val="21"/>
              </w:rPr>
              <w:t>2</w:t>
            </w:r>
          </w:p>
        </w:tc>
        <w:tc>
          <w:tcPr>
            <w:tcW w:w="923" w:type="dxa"/>
            <w:tcBorders>
              <w:top w:val="nil"/>
              <w:left w:val="nil"/>
              <w:bottom w:val="single" w:color="auto" w:sz="4" w:space="0"/>
              <w:right w:val="single" w:color="auto" w:sz="4" w:space="0"/>
              <w:tl2br w:val="nil"/>
              <w:tr2bl w:val="nil"/>
            </w:tcBorders>
            <w:vAlign w:val="center"/>
          </w:tcPr>
          <w:p w14:paraId="5D0ED59A">
            <w:pPr>
              <w:widowControl/>
              <w:jc w:val="center"/>
              <w:rPr>
                <w:rFonts w:hint="eastAsia" w:ascii="宋体" w:hAnsi="宋体" w:eastAsia="宋体"/>
                <w:szCs w:val="21"/>
              </w:rPr>
            </w:pPr>
            <w:r>
              <w:rPr>
                <w:rFonts w:ascii="宋体" w:hAnsi="宋体" w:eastAsia="宋体"/>
                <w:szCs w:val="21"/>
              </w:rPr>
              <w:t>4</w:t>
            </w:r>
          </w:p>
        </w:tc>
        <w:tc>
          <w:tcPr>
            <w:tcW w:w="1385" w:type="dxa"/>
            <w:tcBorders>
              <w:top w:val="single" w:color="auto" w:sz="4" w:space="0"/>
              <w:left w:val="single" w:color="auto" w:sz="4" w:space="0"/>
              <w:bottom w:val="single" w:color="auto" w:sz="4" w:space="0"/>
              <w:right w:val="single" w:color="auto" w:sz="4" w:space="0"/>
            </w:tcBorders>
            <w:vAlign w:val="center"/>
          </w:tcPr>
          <w:p w14:paraId="1D256E1B">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喷漆</w:t>
            </w:r>
            <w:r>
              <w:rPr>
                <w:rFonts w:ascii="宋体" w:eastAsia="宋体" w:cs="宋体"/>
                <w:color w:val="000000"/>
                <w:kern w:val="0"/>
                <w:szCs w:val="21"/>
              </w:rPr>
              <w:t>工</w:t>
            </w:r>
          </w:p>
        </w:tc>
      </w:tr>
      <w:tr w14:paraId="3F8B2054">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0739B3FE">
            <w:pPr>
              <w:jc w:val="center"/>
              <w:rPr>
                <w:rFonts w:hint="eastAsia" w:ascii="宋体" w:hAnsi="宋体" w:eastAsia="宋体"/>
                <w:szCs w:val="21"/>
              </w:rPr>
            </w:pPr>
            <w:r>
              <w:rPr>
                <w:rFonts w:hint="eastAsia" w:ascii="宋体" w:hAnsi="宋体" w:eastAsia="宋体"/>
                <w:szCs w:val="21"/>
              </w:rPr>
              <w:t>16</w:t>
            </w:r>
          </w:p>
        </w:tc>
        <w:tc>
          <w:tcPr>
            <w:tcW w:w="1945" w:type="dxa"/>
            <w:tcBorders>
              <w:top w:val="single" w:color="000000" w:sz="6" w:space="0"/>
              <w:left w:val="single" w:color="000000" w:sz="6" w:space="0"/>
              <w:bottom w:val="single" w:color="000000" w:sz="6" w:space="0"/>
              <w:right w:val="single" w:color="000000" w:sz="6" w:space="0"/>
            </w:tcBorders>
            <w:vAlign w:val="center"/>
          </w:tcPr>
          <w:p w14:paraId="4BBAC248">
            <w:pPr>
              <w:jc w:val="center"/>
              <w:rPr>
                <w:rFonts w:hint="eastAsia" w:ascii="宋体" w:hAnsi="宋体" w:eastAsia="宋体"/>
                <w:szCs w:val="21"/>
              </w:rPr>
            </w:pPr>
            <w:r>
              <w:rPr>
                <w:rFonts w:hint="eastAsia" w:ascii="宋体" w:hAnsi="宋体" w:eastAsia="宋体"/>
                <w:szCs w:val="21"/>
              </w:rPr>
              <w:t>换输送橇</w:t>
            </w:r>
          </w:p>
        </w:tc>
        <w:tc>
          <w:tcPr>
            <w:tcW w:w="3901" w:type="dxa"/>
            <w:tcBorders>
              <w:top w:val="nil"/>
              <w:left w:val="single" w:color="auto" w:sz="4" w:space="0"/>
              <w:bottom w:val="single" w:color="auto" w:sz="4" w:space="0"/>
              <w:right w:val="single" w:color="auto" w:sz="4" w:space="0"/>
              <w:tl2br w:val="nil"/>
              <w:tr2bl w:val="nil"/>
            </w:tcBorders>
            <w:vAlign w:val="center"/>
          </w:tcPr>
          <w:p w14:paraId="56BC2809">
            <w:pPr>
              <w:jc w:val="center"/>
              <w:rPr>
                <w:rFonts w:hint="eastAsia" w:ascii="宋体" w:hAnsi="宋体" w:eastAsia="宋体"/>
                <w:szCs w:val="21"/>
              </w:rPr>
            </w:pPr>
            <w:r>
              <w:rPr>
                <w:rFonts w:hint="eastAsia" w:ascii="宋体" w:hAnsi="宋体" w:eastAsia="宋体"/>
                <w:szCs w:val="21"/>
              </w:rPr>
              <w:t>确认输送滑橇状态</w:t>
            </w:r>
            <w:r>
              <w:rPr>
                <w:rFonts w:hint="eastAsia" w:ascii="宋体" w:hAnsi="宋体" w:eastAsia="宋体"/>
                <w:szCs w:val="21"/>
              </w:rPr>
              <w:br w:type="textWrapping"/>
            </w:r>
            <w:r>
              <w:rPr>
                <w:rFonts w:hint="eastAsia" w:ascii="宋体" w:hAnsi="宋体" w:eastAsia="宋体"/>
                <w:szCs w:val="21"/>
              </w:rPr>
              <w:t>更换支腿</w:t>
            </w:r>
          </w:p>
        </w:tc>
        <w:tc>
          <w:tcPr>
            <w:tcW w:w="850" w:type="dxa"/>
            <w:tcBorders>
              <w:top w:val="single" w:color="000000" w:sz="6" w:space="0"/>
              <w:left w:val="single" w:color="000000" w:sz="6" w:space="0"/>
              <w:bottom w:val="single" w:color="000000" w:sz="6" w:space="0"/>
              <w:right w:val="single" w:color="000000" w:sz="6" w:space="0"/>
            </w:tcBorders>
            <w:vAlign w:val="center"/>
          </w:tcPr>
          <w:p w14:paraId="0B58BFFC">
            <w:pPr>
              <w:jc w:val="center"/>
              <w:rPr>
                <w:rFonts w:hint="eastAsia" w:ascii="宋体" w:hAnsi="宋体" w:eastAsia="宋体"/>
                <w:szCs w:val="21"/>
              </w:rPr>
            </w:pPr>
            <w:r>
              <w:rPr>
                <w:rFonts w:hint="eastAsia" w:ascii="宋体" w:hAnsi="宋体" w:eastAsia="宋体"/>
                <w:szCs w:val="21"/>
              </w:rPr>
              <w:t>2</w:t>
            </w:r>
          </w:p>
        </w:tc>
        <w:tc>
          <w:tcPr>
            <w:tcW w:w="923" w:type="dxa"/>
            <w:tcBorders>
              <w:top w:val="nil"/>
              <w:left w:val="nil"/>
              <w:bottom w:val="single" w:color="auto" w:sz="4" w:space="0"/>
              <w:right w:val="single" w:color="auto" w:sz="4" w:space="0"/>
              <w:tl2br w:val="nil"/>
              <w:tr2bl w:val="nil"/>
            </w:tcBorders>
            <w:vAlign w:val="center"/>
          </w:tcPr>
          <w:p w14:paraId="66C9CA6F">
            <w:pPr>
              <w:jc w:val="center"/>
              <w:rPr>
                <w:rFonts w:hint="eastAsia" w:ascii="宋体" w:hAnsi="宋体" w:eastAsia="宋体"/>
                <w:szCs w:val="21"/>
              </w:rPr>
            </w:pPr>
            <w:r>
              <w:rPr>
                <w:rFonts w:hint="eastAsia" w:ascii="宋体" w:hAnsi="宋体" w:eastAsia="宋体"/>
                <w:szCs w:val="21"/>
              </w:rPr>
              <w:t>4</w:t>
            </w:r>
          </w:p>
        </w:tc>
        <w:tc>
          <w:tcPr>
            <w:tcW w:w="1385" w:type="dxa"/>
            <w:tcBorders>
              <w:top w:val="single" w:color="auto" w:sz="4" w:space="0"/>
              <w:left w:val="nil"/>
              <w:bottom w:val="single" w:color="auto" w:sz="4" w:space="0"/>
              <w:right w:val="single" w:color="auto" w:sz="4" w:space="0"/>
            </w:tcBorders>
            <w:vAlign w:val="center"/>
          </w:tcPr>
          <w:p w14:paraId="666804C0">
            <w:pPr>
              <w:jc w:val="center"/>
              <w:rPr>
                <w:rFonts w:hint="eastAsia" w:ascii="宋体" w:hAnsi="宋体" w:eastAsia="宋体"/>
                <w:szCs w:val="21"/>
              </w:rPr>
            </w:pPr>
            <w:r>
              <w:rPr>
                <w:rFonts w:hint="eastAsia" w:ascii="宋体" w:hAnsi="宋体" w:eastAsia="宋体"/>
                <w:szCs w:val="21"/>
              </w:rPr>
              <w:t>管辅操作工</w:t>
            </w:r>
          </w:p>
        </w:tc>
      </w:tr>
      <w:tr w14:paraId="4E4D36B8">
        <w:tblPrEx>
          <w:tblCellMar>
            <w:top w:w="0" w:type="dxa"/>
            <w:left w:w="108" w:type="dxa"/>
            <w:bottom w:w="0" w:type="dxa"/>
            <w:right w:w="108" w:type="dxa"/>
          </w:tblCellMar>
        </w:tblPrEx>
        <w:trPr>
          <w:trHeight w:val="393"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5764038A">
            <w:pPr>
              <w:widowControl/>
              <w:jc w:val="center"/>
              <w:rPr>
                <w:rFonts w:hint="eastAsia" w:ascii="宋体" w:hAnsi="宋体" w:eastAsia="宋体"/>
                <w:kern w:val="0"/>
                <w:szCs w:val="21"/>
              </w:rPr>
            </w:pPr>
            <w:r>
              <w:rPr>
                <w:rFonts w:ascii="宋体" w:hAnsi="宋体" w:eastAsia="宋体"/>
                <w:kern w:val="0"/>
                <w:szCs w:val="21"/>
              </w:rPr>
              <w:t>17</w:t>
            </w:r>
          </w:p>
        </w:tc>
        <w:tc>
          <w:tcPr>
            <w:tcW w:w="1945" w:type="dxa"/>
            <w:tcBorders>
              <w:top w:val="nil"/>
              <w:left w:val="nil"/>
              <w:bottom w:val="single" w:color="auto" w:sz="4" w:space="0"/>
              <w:right w:val="single" w:color="auto" w:sz="4" w:space="0"/>
              <w:tl2br w:val="nil"/>
              <w:tr2bl w:val="nil"/>
            </w:tcBorders>
            <w:vAlign w:val="center"/>
          </w:tcPr>
          <w:p w14:paraId="32E8BAD9">
            <w:pPr>
              <w:widowControl/>
              <w:jc w:val="center"/>
              <w:rPr>
                <w:rFonts w:hint="eastAsia" w:ascii="宋体" w:hAnsi="宋体" w:eastAsia="宋体"/>
                <w:kern w:val="0"/>
                <w:szCs w:val="21"/>
              </w:rPr>
            </w:pPr>
            <w:r>
              <w:rPr>
                <w:rFonts w:ascii="宋体" w:hAnsi="宋体" w:eastAsia="宋体"/>
                <w:kern w:val="0"/>
                <w:szCs w:val="21"/>
              </w:rPr>
              <w:t>合计</w:t>
            </w:r>
          </w:p>
        </w:tc>
        <w:tc>
          <w:tcPr>
            <w:tcW w:w="3901" w:type="dxa"/>
            <w:tcBorders>
              <w:top w:val="nil"/>
              <w:left w:val="nil"/>
              <w:bottom w:val="single" w:color="auto" w:sz="4" w:space="0"/>
              <w:right w:val="single" w:color="auto" w:sz="4" w:space="0"/>
              <w:tl2br w:val="nil"/>
              <w:tr2bl w:val="nil"/>
            </w:tcBorders>
            <w:vAlign w:val="center"/>
          </w:tcPr>
          <w:p w14:paraId="2554D806">
            <w:pPr>
              <w:widowControl/>
              <w:jc w:val="center"/>
              <w:rPr>
                <w:rFonts w:hint="eastAsia" w:ascii="宋体" w:hAnsi="宋体" w:eastAsia="宋体"/>
                <w:szCs w:val="21"/>
              </w:rPr>
            </w:pPr>
          </w:p>
        </w:tc>
        <w:tc>
          <w:tcPr>
            <w:tcW w:w="850" w:type="dxa"/>
            <w:tcBorders>
              <w:top w:val="nil"/>
              <w:left w:val="nil"/>
              <w:bottom w:val="single" w:color="auto" w:sz="4" w:space="0"/>
              <w:right w:val="single" w:color="auto" w:sz="4" w:space="0"/>
              <w:tl2br w:val="nil"/>
              <w:tr2bl w:val="nil"/>
            </w:tcBorders>
            <w:vAlign w:val="center"/>
          </w:tcPr>
          <w:p w14:paraId="42F012B4">
            <w:pPr>
              <w:widowControl/>
              <w:jc w:val="center"/>
              <w:rPr>
                <w:rFonts w:hint="eastAsia" w:ascii="宋体" w:hAnsi="宋体" w:eastAsia="宋体"/>
                <w:szCs w:val="21"/>
              </w:rPr>
            </w:pPr>
            <w:r>
              <w:rPr>
                <w:rFonts w:ascii="宋体" w:hAnsi="宋体" w:eastAsia="宋体"/>
                <w:szCs w:val="21"/>
              </w:rPr>
              <w:t>4</w:t>
            </w:r>
            <w:r>
              <w:rPr>
                <w:rFonts w:hint="eastAsia" w:ascii="宋体" w:hAnsi="宋体" w:eastAsia="宋体"/>
                <w:szCs w:val="21"/>
              </w:rPr>
              <w:t>9</w:t>
            </w:r>
          </w:p>
        </w:tc>
        <w:tc>
          <w:tcPr>
            <w:tcW w:w="923" w:type="dxa"/>
            <w:tcBorders>
              <w:top w:val="nil"/>
              <w:left w:val="nil"/>
              <w:bottom w:val="single" w:color="auto" w:sz="4" w:space="0"/>
              <w:right w:val="single" w:color="auto" w:sz="4" w:space="0"/>
              <w:tl2br w:val="nil"/>
              <w:tr2bl w:val="nil"/>
            </w:tcBorders>
            <w:vAlign w:val="center"/>
          </w:tcPr>
          <w:p w14:paraId="0F0A69E5">
            <w:pPr>
              <w:widowControl/>
              <w:jc w:val="center"/>
              <w:rPr>
                <w:rFonts w:hint="eastAsia" w:ascii="宋体" w:hAnsi="宋体" w:eastAsia="宋体"/>
                <w:szCs w:val="21"/>
              </w:rPr>
            </w:pPr>
            <w:r>
              <w:rPr>
                <w:rFonts w:ascii="宋体" w:hAnsi="宋体" w:eastAsia="宋体"/>
                <w:szCs w:val="21"/>
              </w:rPr>
              <w:t>9</w:t>
            </w:r>
            <w:r>
              <w:rPr>
                <w:rFonts w:hint="eastAsia" w:ascii="宋体" w:hAnsi="宋体" w:eastAsia="宋体"/>
                <w:szCs w:val="21"/>
              </w:rPr>
              <w:t>8</w:t>
            </w:r>
          </w:p>
        </w:tc>
        <w:tc>
          <w:tcPr>
            <w:tcW w:w="1385" w:type="dxa"/>
            <w:tcBorders>
              <w:top w:val="single" w:color="auto" w:sz="4" w:space="0"/>
              <w:left w:val="nil"/>
              <w:bottom w:val="single" w:color="auto" w:sz="4" w:space="0"/>
              <w:right w:val="single" w:color="auto" w:sz="4" w:space="0"/>
              <w:tl2br w:val="nil"/>
              <w:tr2bl w:val="nil"/>
            </w:tcBorders>
            <w:vAlign w:val="center"/>
          </w:tcPr>
          <w:p w14:paraId="1D8D3C40">
            <w:pPr>
              <w:widowControl/>
              <w:jc w:val="center"/>
              <w:rPr>
                <w:rFonts w:hint="eastAsia" w:ascii="宋体" w:hAnsi="宋体" w:eastAsia="宋体"/>
                <w:szCs w:val="21"/>
              </w:rPr>
            </w:pPr>
          </w:p>
        </w:tc>
      </w:tr>
      <w:tr w14:paraId="405B563A">
        <w:tblPrEx>
          <w:tblCellMar>
            <w:top w:w="0" w:type="dxa"/>
            <w:left w:w="108" w:type="dxa"/>
            <w:bottom w:w="0" w:type="dxa"/>
            <w:right w:w="108" w:type="dxa"/>
          </w:tblCellMar>
        </w:tblPrEx>
        <w:trPr>
          <w:trHeight w:val="376" w:hRule="atLeast"/>
          <w:jc w:val="center"/>
        </w:trPr>
        <w:tc>
          <w:tcPr>
            <w:tcW w:w="9700"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03391806">
            <w:pPr>
              <w:widowControl/>
              <w:jc w:val="center"/>
              <w:rPr>
                <w:rFonts w:hint="eastAsia" w:ascii="宋体" w:hAnsi="宋体" w:eastAsia="宋体"/>
                <w:b/>
                <w:kern w:val="0"/>
                <w:szCs w:val="21"/>
              </w:rPr>
            </w:pPr>
            <w:r>
              <w:rPr>
                <w:rFonts w:ascii="宋体" w:hAnsi="宋体" w:eastAsia="宋体"/>
                <w:b/>
                <w:kern w:val="0"/>
                <w:szCs w:val="21"/>
              </w:rPr>
              <w:t>智能网联（新能源）重卡项目驾驶室涂装车间</w:t>
            </w:r>
            <w:r>
              <w:rPr>
                <w:rFonts w:hint="eastAsia" w:ascii="宋体" w:hAnsi="宋体" w:eastAsia="宋体"/>
                <w:b/>
                <w:kern w:val="0"/>
                <w:szCs w:val="21"/>
              </w:rPr>
              <w:t>综合管理</w:t>
            </w:r>
            <w:r>
              <w:rPr>
                <w:rFonts w:ascii="宋体" w:hAnsi="宋体" w:eastAsia="宋体"/>
                <w:b/>
                <w:kern w:val="0"/>
                <w:szCs w:val="21"/>
              </w:rPr>
              <w:t>人员配置表</w:t>
            </w:r>
          </w:p>
        </w:tc>
      </w:tr>
      <w:tr w14:paraId="40FF28C6">
        <w:tblPrEx>
          <w:tblCellMar>
            <w:top w:w="0" w:type="dxa"/>
            <w:left w:w="108" w:type="dxa"/>
            <w:bottom w:w="0" w:type="dxa"/>
            <w:right w:w="108" w:type="dxa"/>
          </w:tblCellMar>
        </w:tblPrEx>
        <w:trPr>
          <w:trHeight w:val="538"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0B07C3D2">
            <w:pPr>
              <w:widowControl/>
              <w:jc w:val="center"/>
              <w:rPr>
                <w:rFonts w:hint="eastAsia" w:ascii="宋体" w:hAnsi="宋体" w:eastAsia="宋体"/>
                <w:b/>
                <w:kern w:val="0"/>
                <w:szCs w:val="21"/>
              </w:rPr>
            </w:pPr>
            <w:r>
              <w:rPr>
                <w:rFonts w:ascii="宋体" w:hAnsi="宋体" w:eastAsia="宋体"/>
                <w:b/>
                <w:kern w:val="0"/>
                <w:szCs w:val="21"/>
              </w:rPr>
              <w:t>工序号</w:t>
            </w:r>
          </w:p>
        </w:tc>
        <w:tc>
          <w:tcPr>
            <w:tcW w:w="1945" w:type="dxa"/>
            <w:tcBorders>
              <w:top w:val="nil"/>
              <w:left w:val="nil"/>
              <w:bottom w:val="single" w:color="auto" w:sz="4" w:space="0"/>
              <w:right w:val="single" w:color="auto" w:sz="4" w:space="0"/>
              <w:tl2br w:val="nil"/>
              <w:tr2bl w:val="nil"/>
            </w:tcBorders>
            <w:vAlign w:val="center"/>
          </w:tcPr>
          <w:p w14:paraId="43F0041D">
            <w:pPr>
              <w:widowControl/>
              <w:jc w:val="center"/>
              <w:rPr>
                <w:rFonts w:hint="eastAsia" w:ascii="宋体" w:hAnsi="宋体" w:eastAsia="宋体"/>
                <w:b/>
                <w:kern w:val="0"/>
                <w:szCs w:val="21"/>
              </w:rPr>
            </w:pPr>
            <w:r>
              <w:rPr>
                <w:rFonts w:ascii="宋体" w:hAnsi="宋体" w:eastAsia="宋体"/>
                <w:b/>
                <w:kern w:val="0"/>
                <w:szCs w:val="21"/>
              </w:rPr>
              <w:t>工序</w:t>
            </w:r>
          </w:p>
        </w:tc>
        <w:tc>
          <w:tcPr>
            <w:tcW w:w="3901" w:type="dxa"/>
            <w:tcBorders>
              <w:top w:val="nil"/>
              <w:left w:val="nil"/>
              <w:bottom w:val="single" w:color="auto" w:sz="4" w:space="0"/>
              <w:right w:val="single" w:color="auto" w:sz="4" w:space="0"/>
              <w:tl2br w:val="nil"/>
              <w:tr2bl w:val="nil"/>
            </w:tcBorders>
            <w:vAlign w:val="center"/>
          </w:tcPr>
          <w:p w14:paraId="69DAA88B">
            <w:pPr>
              <w:widowControl/>
              <w:jc w:val="center"/>
              <w:rPr>
                <w:rFonts w:hint="eastAsia" w:ascii="宋体" w:hAnsi="宋体" w:eastAsia="宋体"/>
                <w:b/>
                <w:kern w:val="0"/>
                <w:szCs w:val="21"/>
              </w:rPr>
            </w:pPr>
            <w:r>
              <w:rPr>
                <w:rFonts w:ascii="宋体" w:hAnsi="宋体" w:eastAsia="宋体"/>
                <w:b/>
                <w:kern w:val="0"/>
                <w:szCs w:val="21"/>
              </w:rPr>
              <w:t>工作内容</w:t>
            </w:r>
          </w:p>
        </w:tc>
        <w:tc>
          <w:tcPr>
            <w:tcW w:w="850" w:type="dxa"/>
            <w:tcBorders>
              <w:top w:val="nil"/>
              <w:left w:val="nil"/>
              <w:bottom w:val="single" w:color="auto" w:sz="4" w:space="0"/>
              <w:right w:val="single" w:color="auto" w:sz="4" w:space="0"/>
              <w:tl2br w:val="nil"/>
              <w:tr2bl w:val="nil"/>
            </w:tcBorders>
            <w:vAlign w:val="center"/>
          </w:tcPr>
          <w:p w14:paraId="0480DECD">
            <w:pPr>
              <w:widowControl/>
              <w:jc w:val="center"/>
              <w:rPr>
                <w:rFonts w:hint="eastAsia" w:ascii="宋体" w:hAnsi="宋体" w:eastAsia="宋体"/>
                <w:kern w:val="0"/>
                <w:szCs w:val="21"/>
              </w:rPr>
            </w:pPr>
            <w:r>
              <w:rPr>
                <w:rFonts w:ascii="宋体" w:hAnsi="宋体" w:eastAsia="宋体"/>
                <w:kern w:val="0"/>
                <w:szCs w:val="21"/>
              </w:rPr>
              <w:t>单班</w:t>
            </w:r>
          </w:p>
        </w:tc>
        <w:tc>
          <w:tcPr>
            <w:tcW w:w="923" w:type="dxa"/>
            <w:tcBorders>
              <w:top w:val="nil"/>
              <w:left w:val="nil"/>
              <w:bottom w:val="single" w:color="auto" w:sz="4" w:space="0"/>
              <w:right w:val="single" w:color="auto" w:sz="4" w:space="0"/>
              <w:tl2br w:val="nil"/>
              <w:tr2bl w:val="nil"/>
            </w:tcBorders>
            <w:vAlign w:val="center"/>
          </w:tcPr>
          <w:p w14:paraId="5EF00D14">
            <w:pPr>
              <w:widowControl/>
              <w:jc w:val="center"/>
              <w:rPr>
                <w:rFonts w:hint="eastAsia" w:ascii="宋体" w:hAnsi="宋体" w:eastAsia="宋体"/>
                <w:kern w:val="0"/>
                <w:szCs w:val="21"/>
              </w:rPr>
            </w:pPr>
            <w:r>
              <w:rPr>
                <w:rFonts w:ascii="宋体" w:hAnsi="宋体" w:eastAsia="宋体"/>
                <w:kern w:val="0"/>
                <w:szCs w:val="21"/>
              </w:rPr>
              <w:t>双班</w:t>
            </w:r>
          </w:p>
        </w:tc>
        <w:tc>
          <w:tcPr>
            <w:tcW w:w="1385" w:type="dxa"/>
            <w:tcBorders>
              <w:top w:val="nil"/>
              <w:left w:val="nil"/>
              <w:bottom w:val="single" w:color="auto" w:sz="4" w:space="0"/>
              <w:right w:val="single" w:color="auto" w:sz="4" w:space="0"/>
              <w:tl2br w:val="nil"/>
              <w:tr2bl w:val="nil"/>
            </w:tcBorders>
            <w:vAlign w:val="center"/>
          </w:tcPr>
          <w:p w14:paraId="3A32915B">
            <w:pPr>
              <w:widowControl/>
              <w:jc w:val="center"/>
              <w:rPr>
                <w:rFonts w:hint="eastAsia" w:ascii="宋体" w:hAnsi="宋体" w:eastAsia="宋体"/>
                <w:b/>
                <w:kern w:val="0"/>
                <w:szCs w:val="21"/>
              </w:rPr>
            </w:pPr>
            <w:r>
              <w:rPr>
                <w:rFonts w:ascii="宋体" w:hAnsi="宋体" w:eastAsia="宋体"/>
                <w:b/>
                <w:kern w:val="0"/>
                <w:szCs w:val="21"/>
              </w:rPr>
              <w:t>备注</w:t>
            </w:r>
          </w:p>
        </w:tc>
      </w:tr>
      <w:tr w14:paraId="4FE1756D">
        <w:tblPrEx>
          <w:tblCellMar>
            <w:top w:w="0" w:type="dxa"/>
            <w:left w:w="108" w:type="dxa"/>
            <w:bottom w:w="0" w:type="dxa"/>
            <w:right w:w="108" w:type="dxa"/>
          </w:tblCellMar>
        </w:tblPrEx>
        <w:trPr>
          <w:trHeight w:val="541"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17CC102B">
            <w:pPr>
              <w:widowControl/>
              <w:jc w:val="center"/>
              <w:rPr>
                <w:rFonts w:hint="eastAsia" w:ascii="宋体" w:hAnsi="宋体" w:eastAsia="宋体"/>
                <w:kern w:val="0"/>
                <w:szCs w:val="21"/>
              </w:rPr>
            </w:pPr>
            <w:r>
              <w:rPr>
                <w:rFonts w:ascii="宋体" w:hAnsi="宋体" w:eastAsia="宋体"/>
                <w:kern w:val="0"/>
                <w:szCs w:val="21"/>
              </w:rPr>
              <w:t>1</w:t>
            </w:r>
          </w:p>
        </w:tc>
        <w:tc>
          <w:tcPr>
            <w:tcW w:w="1945" w:type="dxa"/>
            <w:tcBorders>
              <w:top w:val="single" w:color="000000" w:sz="6" w:space="0"/>
              <w:left w:val="single" w:color="000000" w:sz="6" w:space="0"/>
              <w:bottom w:val="single" w:color="000000" w:sz="6" w:space="0"/>
              <w:right w:val="single" w:color="000000" w:sz="6" w:space="0"/>
            </w:tcBorders>
            <w:vAlign w:val="center"/>
          </w:tcPr>
          <w:p w14:paraId="0A950C1A">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w:t>
            </w:r>
          </w:p>
        </w:tc>
        <w:tc>
          <w:tcPr>
            <w:tcW w:w="3901" w:type="dxa"/>
            <w:tcBorders>
              <w:top w:val="single" w:color="auto" w:sz="4" w:space="0"/>
              <w:left w:val="single" w:color="auto" w:sz="4" w:space="0"/>
              <w:bottom w:val="single" w:color="auto" w:sz="4" w:space="0"/>
              <w:right w:val="single" w:color="auto" w:sz="4" w:space="0"/>
              <w:tl2br w:val="nil"/>
              <w:tr2bl w:val="nil"/>
            </w:tcBorders>
            <w:vAlign w:val="center"/>
          </w:tcPr>
          <w:p w14:paraId="12FE0A0E">
            <w:pPr>
              <w:widowControl/>
              <w:jc w:val="center"/>
              <w:rPr>
                <w:rFonts w:hint="eastAsia" w:ascii="宋体" w:hAnsi="宋体" w:eastAsia="宋体"/>
                <w:kern w:val="0"/>
                <w:szCs w:val="21"/>
              </w:rPr>
            </w:pPr>
            <w:r>
              <w:rPr>
                <w:rFonts w:ascii="宋体" w:eastAsia="宋体"/>
                <w:szCs w:val="21"/>
              </w:rPr>
              <w:t>现场调度外包整体人员的安全、质量、生产、现场5S等工作，需跟线工作</w:t>
            </w:r>
          </w:p>
        </w:tc>
        <w:tc>
          <w:tcPr>
            <w:tcW w:w="850" w:type="dxa"/>
            <w:tcBorders>
              <w:top w:val="single" w:color="000000" w:sz="6" w:space="0"/>
              <w:left w:val="single" w:color="000000" w:sz="6" w:space="0"/>
              <w:bottom w:val="single" w:color="000000" w:sz="6" w:space="0"/>
              <w:right w:val="single" w:color="000000" w:sz="6" w:space="0"/>
            </w:tcBorders>
            <w:vAlign w:val="center"/>
          </w:tcPr>
          <w:p w14:paraId="36D46EF0">
            <w:pPr>
              <w:autoSpaceDE w:val="0"/>
              <w:autoSpaceDN w:val="0"/>
              <w:adjustRightInd w:val="0"/>
              <w:jc w:val="center"/>
              <w:rPr>
                <w:rFonts w:hint="eastAsia" w:ascii="宋体" w:eastAsia="宋体" w:cs="宋体"/>
                <w:kern w:val="0"/>
                <w:szCs w:val="21"/>
              </w:rPr>
            </w:pPr>
            <w:r>
              <w:rPr>
                <w:rFonts w:hint="eastAsia" w:ascii="宋体" w:eastAsia="宋体" w:cs="宋体"/>
                <w:kern w:val="0"/>
                <w:szCs w:val="21"/>
              </w:rPr>
              <w:t>1</w:t>
            </w:r>
          </w:p>
        </w:tc>
        <w:tc>
          <w:tcPr>
            <w:tcW w:w="923" w:type="dxa"/>
            <w:tcBorders>
              <w:top w:val="nil"/>
              <w:left w:val="nil"/>
              <w:bottom w:val="single" w:color="auto" w:sz="4" w:space="0"/>
              <w:right w:val="single" w:color="auto" w:sz="4" w:space="0"/>
              <w:tl2br w:val="nil"/>
              <w:tr2bl w:val="nil"/>
            </w:tcBorders>
            <w:vAlign w:val="center"/>
          </w:tcPr>
          <w:p w14:paraId="0EB0BB57">
            <w:pPr>
              <w:widowControl/>
              <w:jc w:val="center"/>
              <w:rPr>
                <w:rFonts w:hint="eastAsia" w:ascii="宋体" w:hAnsi="宋体" w:eastAsia="宋体"/>
                <w:szCs w:val="21"/>
              </w:rPr>
            </w:pPr>
            <w:r>
              <w:rPr>
                <w:rFonts w:hint="eastAsia" w:ascii="宋体" w:hAnsi="宋体" w:eastAsia="宋体"/>
                <w:szCs w:val="21"/>
              </w:rPr>
              <w:t>2</w:t>
            </w:r>
          </w:p>
        </w:tc>
        <w:tc>
          <w:tcPr>
            <w:tcW w:w="1385" w:type="dxa"/>
            <w:tcBorders>
              <w:top w:val="single" w:color="auto" w:sz="4" w:space="0"/>
              <w:left w:val="nil"/>
              <w:bottom w:val="single" w:color="auto" w:sz="4" w:space="0"/>
              <w:right w:val="single" w:color="auto" w:sz="4" w:space="0"/>
            </w:tcBorders>
            <w:vAlign w:val="center"/>
          </w:tcPr>
          <w:p w14:paraId="2D0FBD64">
            <w:pPr>
              <w:autoSpaceDE w:val="0"/>
              <w:autoSpaceDN w:val="0"/>
              <w:adjustRightInd w:val="0"/>
              <w:jc w:val="center"/>
              <w:rPr>
                <w:rFonts w:hint="eastAsia" w:ascii="宋体" w:eastAsia="宋体" w:cs="宋体"/>
                <w:kern w:val="0"/>
                <w:szCs w:val="21"/>
              </w:rPr>
            </w:pPr>
            <w:r>
              <w:rPr>
                <w:rFonts w:hint="eastAsia" w:ascii="宋体" w:eastAsia="宋体" w:cs="宋体"/>
                <w:kern w:val="0"/>
                <w:szCs w:val="21"/>
              </w:rPr>
              <w:t>管辅操作工</w:t>
            </w:r>
          </w:p>
        </w:tc>
      </w:tr>
      <w:tr w14:paraId="583810EE">
        <w:tblPrEx>
          <w:tblCellMar>
            <w:top w:w="0" w:type="dxa"/>
            <w:left w:w="108" w:type="dxa"/>
            <w:bottom w:w="0" w:type="dxa"/>
            <w:right w:w="108" w:type="dxa"/>
          </w:tblCellMar>
        </w:tblPrEx>
        <w:trPr>
          <w:trHeight w:val="287"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1762B71C">
            <w:pPr>
              <w:widowControl/>
              <w:jc w:val="center"/>
              <w:rPr>
                <w:rFonts w:hint="eastAsia" w:ascii="宋体" w:hAnsi="宋体" w:eastAsia="宋体"/>
                <w:kern w:val="0"/>
                <w:szCs w:val="21"/>
              </w:rPr>
            </w:pPr>
            <w:r>
              <w:rPr>
                <w:rFonts w:ascii="宋体" w:hAnsi="宋体" w:eastAsia="宋体"/>
                <w:kern w:val="0"/>
                <w:szCs w:val="21"/>
              </w:rPr>
              <w:t>2</w:t>
            </w:r>
          </w:p>
        </w:tc>
        <w:tc>
          <w:tcPr>
            <w:tcW w:w="1945" w:type="dxa"/>
            <w:tcBorders>
              <w:top w:val="single" w:color="000000" w:sz="6" w:space="0"/>
              <w:left w:val="single" w:color="000000" w:sz="6" w:space="0"/>
              <w:bottom w:val="single" w:color="000000" w:sz="6" w:space="0"/>
              <w:right w:val="single" w:color="000000" w:sz="6" w:space="0"/>
            </w:tcBorders>
            <w:vAlign w:val="center"/>
          </w:tcPr>
          <w:p w14:paraId="41175ED9">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合计</w:t>
            </w:r>
          </w:p>
        </w:tc>
        <w:tc>
          <w:tcPr>
            <w:tcW w:w="3901" w:type="dxa"/>
            <w:tcBorders>
              <w:top w:val="nil"/>
              <w:left w:val="single" w:color="auto" w:sz="4" w:space="0"/>
              <w:bottom w:val="single" w:color="auto" w:sz="4" w:space="0"/>
              <w:right w:val="single" w:color="auto" w:sz="4" w:space="0"/>
              <w:tl2br w:val="nil"/>
              <w:tr2bl w:val="nil"/>
            </w:tcBorders>
            <w:vAlign w:val="center"/>
          </w:tcPr>
          <w:p w14:paraId="389E9515">
            <w:pPr>
              <w:jc w:val="center"/>
              <w:rPr>
                <w:rFonts w:hint="eastAsia" w:ascii="宋体" w:hAnsi="宋体" w:eastAsia="宋体"/>
                <w:kern w:val="0"/>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36CA0FD6">
            <w:pPr>
              <w:autoSpaceDE w:val="0"/>
              <w:autoSpaceDN w:val="0"/>
              <w:adjustRightInd w:val="0"/>
              <w:jc w:val="center"/>
              <w:rPr>
                <w:rFonts w:hint="eastAsia" w:ascii="宋体" w:eastAsia="宋体" w:cs="宋体"/>
                <w:color w:val="000000"/>
                <w:kern w:val="0"/>
                <w:szCs w:val="21"/>
              </w:rPr>
            </w:pPr>
            <w:r>
              <w:rPr>
                <w:rFonts w:hint="eastAsia" w:ascii="宋体" w:eastAsia="宋体" w:cs="宋体"/>
                <w:color w:val="000000"/>
                <w:kern w:val="0"/>
                <w:szCs w:val="21"/>
              </w:rPr>
              <w:t>1</w:t>
            </w:r>
          </w:p>
        </w:tc>
        <w:tc>
          <w:tcPr>
            <w:tcW w:w="923" w:type="dxa"/>
            <w:tcBorders>
              <w:top w:val="nil"/>
              <w:left w:val="nil"/>
              <w:bottom w:val="single" w:color="auto" w:sz="4" w:space="0"/>
              <w:right w:val="single" w:color="auto" w:sz="4" w:space="0"/>
              <w:tl2br w:val="nil"/>
              <w:tr2bl w:val="nil"/>
            </w:tcBorders>
            <w:vAlign w:val="center"/>
          </w:tcPr>
          <w:p w14:paraId="00CE49FB">
            <w:pPr>
              <w:widowControl/>
              <w:jc w:val="center"/>
              <w:rPr>
                <w:rFonts w:hint="eastAsia" w:ascii="宋体" w:hAnsi="宋体" w:eastAsia="宋体"/>
                <w:szCs w:val="21"/>
              </w:rPr>
            </w:pPr>
            <w:r>
              <w:rPr>
                <w:rFonts w:hint="eastAsia" w:ascii="宋体" w:hAnsi="宋体" w:eastAsia="宋体"/>
                <w:szCs w:val="21"/>
              </w:rPr>
              <w:t>2</w:t>
            </w:r>
          </w:p>
        </w:tc>
        <w:tc>
          <w:tcPr>
            <w:tcW w:w="1385" w:type="dxa"/>
            <w:tcBorders>
              <w:top w:val="single" w:color="auto" w:sz="4" w:space="0"/>
              <w:left w:val="nil"/>
              <w:bottom w:val="single" w:color="auto" w:sz="4" w:space="0"/>
              <w:right w:val="single" w:color="auto" w:sz="4" w:space="0"/>
            </w:tcBorders>
            <w:vAlign w:val="center"/>
          </w:tcPr>
          <w:p w14:paraId="04F8CF5F">
            <w:pPr>
              <w:autoSpaceDE w:val="0"/>
              <w:autoSpaceDN w:val="0"/>
              <w:adjustRightInd w:val="0"/>
              <w:jc w:val="center"/>
              <w:rPr>
                <w:rFonts w:hint="eastAsia" w:ascii="宋体" w:eastAsia="宋体" w:cs="宋体"/>
                <w:color w:val="000000"/>
                <w:kern w:val="0"/>
                <w:szCs w:val="21"/>
              </w:rPr>
            </w:pPr>
          </w:p>
        </w:tc>
      </w:tr>
    </w:tbl>
    <w:tbl>
      <w:tblPr>
        <w:tblStyle w:val="31"/>
        <w:tblpPr w:leftFromText="180" w:rightFromText="180" w:vertAnchor="text" w:horzAnchor="page" w:tblpX="1464" w:tblpY="450"/>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460"/>
        <w:gridCol w:w="1906"/>
        <w:gridCol w:w="1906"/>
        <w:gridCol w:w="1301"/>
      </w:tblGrid>
      <w:tr w14:paraId="48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926" w:type="dxa"/>
            <w:gridSpan w:val="5"/>
          </w:tcPr>
          <w:p w14:paraId="79EE603E">
            <w:pPr>
              <w:widowControl/>
              <w:jc w:val="center"/>
              <w:rPr>
                <w:rFonts w:hint="eastAsia" w:ascii="宋体" w:hAnsi="宋体" w:eastAsia="宋体" w:cs="Times New Roman"/>
                <w:bCs/>
                <w:kern w:val="0"/>
                <w:sz w:val="24"/>
                <w:szCs w:val="24"/>
              </w:rPr>
            </w:pPr>
            <w:r>
              <w:rPr>
                <w:rFonts w:ascii="宋体" w:hAnsi="宋体" w:eastAsia="宋体" w:cs="Times New Roman"/>
                <w:b/>
                <w:kern w:val="0"/>
                <w:sz w:val="20"/>
                <w:szCs w:val="20"/>
              </w:rPr>
              <w:t>智能网联（新能源）重卡项目驾驶室涂装车间人员配置表</w:t>
            </w:r>
          </w:p>
        </w:tc>
      </w:tr>
      <w:tr w14:paraId="00D7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3" w:type="dxa"/>
          </w:tcPr>
          <w:p w14:paraId="1AA00F63">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序号</w:t>
            </w:r>
          </w:p>
        </w:tc>
        <w:tc>
          <w:tcPr>
            <w:tcW w:w="2460" w:type="dxa"/>
          </w:tcPr>
          <w:p w14:paraId="097AFD45">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技能类别</w:t>
            </w:r>
          </w:p>
        </w:tc>
        <w:tc>
          <w:tcPr>
            <w:tcW w:w="1906" w:type="dxa"/>
          </w:tcPr>
          <w:p w14:paraId="4E52EB4D">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单班</w:t>
            </w:r>
          </w:p>
        </w:tc>
        <w:tc>
          <w:tcPr>
            <w:tcW w:w="1906" w:type="dxa"/>
          </w:tcPr>
          <w:p w14:paraId="5E19BB64">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双班</w:t>
            </w:r>
          </w:p>
        </w:tc>
        <w:tc>
          <w:tcPr>
            <w:tcW w:w="1301" w:type="dxa"/>
          </w:tcPr>
          <w:p w14:paraId="1C36E40A">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备注</w:t>
            </w:r>
          </w:p>
        </w:tc>
      </w:tr>
      <w:tr w14:paraId="530F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3" w:type="dxa"/>
          </w:tcPr>
          <w:p w14:paraId="57CD8596">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1</w:t>
            </w:r>
          </w:p>
        </w:tc>
        <w:tc>
          <w:tcPr>
            <w:tcW w:w="2460" w:type="dxa"/>
          </w:tcPr>
          <w:p w14:paraId="028AC0FC">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管辅操作工</w:t>
            </w:r>
          </w:p>
        </w:tc>
        <w:tc>
          <w:tcPr>
            <w:tcW w:w="1906" w:type="dxa"/>
          </w:tcPr>
          <w:p w14:paraId="201A3B4C">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16</w:t>
            </w:r>
          </w:p>
        </w:tc>
        <w:tc>
          <w:tcPr>
            <w:tcW w:w="1906" w:type="dxa"/>
          </w:tcPr>
          <w:p w14:paraId="29618B7C">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32</w:t>
            </w:r>
          </w:p>
        </w:tc>
        <w:tc>
          <w:tcPr>
            <w:tcW w:w="1301" w:type="dxa"/>
          </w:tcPr>
          <w:p w14:paraId="1E30D95C">
            <w:pPr>
              <w:widowControl/>
              <w:jc w:val="center"/>
              <w:rPr>
                <w:rFonts w:hint="eastAsia" w:ascii="宋体" w:hAnsi="宋体" w:eastAsia="宋体" w:cs="Times New Roman"/>
                <w:bCs/>
                <w:kern w:val="0"/>
                <w:sz w:val="24"/>
                <w:szCs w:val="24"/>
              </w:rPr>
            </w:pPr>
          </w:p>
        </w:tc>
      </w:tr>
      <w:tr w14:paraId="6315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3" w:type="dxa"/>
          </w:tcPr>
          <w:p w14:paraId="0DDF9511">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2</w:t>
            </w:r>
          </w:p>
        </w:tc>
        <w:tc>
          <w:tcPr>
            <w:tcW w:w="2460" w:type="dxa"/>
          </w:tcPr>
          <w:p w14:paraId="5566617A">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涂装技能工</w:t>
            </w:r>
          </w:p>
        </w:tc>
        <w:tc>
          <w:tcPr>
            <w:tcW w:w="1906" w:type="dxa"/>
          </w:tcPr>
          <w:p w14:paraId="53B656EB">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26</w:t>
            </w:r>
          </w:p>
        </w:tc>
        <w:tc>
          <w:tcPr>
            <w:tcW w:w="1906" w:type="dxa"/>
          </w:tcPr>
          <w:p w14:paraId="153147CC">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52</w:t>
            </w:r>
          </w:p>
        </w:tc>
        <w:tc>
          <w:tcPr>
            <w:tcW w:w="1301" w:type="dxa"/>
          </w:tcPr>
          <w:p w14:paraId="1E9C0918">
            <w:pPr>
              <w:widowControl/>
              <w:jc w:val="center"/>
              <w:rPr>
                <w:rFonts w:hint="eastAsia" w:ascii="宋体" w:hAnsi="宋体" w:eastAsia="宋体" w:cs="Times New Roman"/>
                <w:bCs/>
                <w:kern w:val="0"/>
                <w:sz w:val="24"/>
                <w:szCs w:val="24"/>
              </w:rPr>
            </w:pPr>
          </w:p>
        </w:tc>
      </w:tr>
      <w:tr w14:paraId="04BC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3" w:type="dxa"/>
          </w:tcPr>
          <w:p w14:paraId="5104F395">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3</w:t>
            </w:r>
          </w:p>
        </w:tc>
        <w:tc>
          <w:tcPr>
            <w:tcW w:w="2460" w:type="dxa"/>
          </w:tcPr>
          <w:p w14:paraId="46016A41">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喷漆工</w:t>
            </w:r>
          </w:p>
        </w:tc>
        <w:tc>
          <w:tcPr>
            <w:tcW w:w="1906" w:type="dxa"/>
          </w:tcPr>
          <w:p w14:paraId="3F561242">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8</w:t>
            </w:r>
          </w:p>
        </w:tc>
        <w:tc>
          <w:tcPr>
            <w:tcW w:w="1906" w:type="dxa"/>
          </w:tcPr>
          <w:p w14:paraId="6407553A">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16</w:t>
            </w:r>
          </w:p>
        </w:tc>
        <w:tc>
          <w:tcPr>
            <w:tcW w:w="1301" w:type="dxa"/>
          </w:tcPr>
          <w:p w14:paraId="085D7774">
            <w:pPr>
              <w:widowControl/>
              <w:jc w:val="center"/>
              <w:rPr>
                <w:rFonts w:hint="eastAsia" w:ascii="宋体" w:hAnsi="宋体" w:eastAsia="宋体" w:cs="Times New Roman"/>
                <w:bCs/>
                <w:kern w:val="0"/>
                <w:sz w:val="24"/>
                <w:szCs w:val="24"/>
              </w:rPr>
            </w:pPr>
          </w:p>
        </w:tc>
      </w:tr>
      <w:tr w14:paraId="2B28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813" w:type="dxa"/>
            <w:gridSpan w:val="2"/>
          </w:tcPr>
          <w:p w14:paraId="460BFEFA">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合计</w:t>
            </w:r>
          </w:p>
        </w:tc>
        <w:tc>
          <w:tcPr>
            <w:tcW w:w="1906" w:type="dxa"/>
          </w:tcPr>
          <w:p w14:paraId="55419E60">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50</w:t>
            </w:r>
          </w:p>
        </w:tc>
        <w:tc>
          <w:tcPr>
            <w:tcW w:w="1906" w:type="dxa"/>
          </w:tcPr>
          <w:p w14:paraId="5165B5BF">
            <w:pPr>
              <w:widowControl/>
              <w:jc w:val="center"/>
              <w:rPr>
                <w:rFonts w:hint="eastAsia" w:ascii="宋体" w:hAnsi="宋体" w:eastAsia="宋体" w:cs="Times New Roman"/>
                <w:bCs/>
                <w:kern w:val="0"/>
                <w:sz w:val="24"/>
                <w:szCs w:val="24"/>
              </w:rPr>
            </w:pPr>
            <w:r>
              <w:rPr>
                <w:rFonts w:hint="eastAsia" w:ascii="宋体" w:hAnsi="宋体" w:eastAsia="宋体" w:cs="Times New Roman"/>
                <w:bCs/>
                <w:kern w:val="0"/>
                <w:sz w:val="24"/>
                <w:szCs w:val="24"/>
              </w:rPr>
              <w:t>100</w:t>
            </w:r>
          </w:p>
        </w:tc>
        <w:tc>
          <w:tcPr>
            <w:tcW w:w="1301" w:type="dxa"/>
          </w:tcPr>
          <w:p w14:paraId="45FA374E">
            <w:pPr>
              <w:widowControl/>
              <w:jc w:val="center"/>
              <w:rPr>
                <w:rFonts w:hint="eastAsia" w:ascii="宋体" w:hAnsi="宋体" w:eastAsia="宋体" w:cs="Times New Roman"/>
                <w:bCs/>
                <w:kern w:val="0"/>
                <w:sz w:val="24"/>
                <w:szCs w:val="24"/>
              </w:rPr>
            </w:pPr>
          </w:p>
        </w:tc>
      </w:tr>
    </w:tbl>
    <w:p w14:paraId="4AD4F4AD">
      <w:pPr>
        <w:pStyle w:val="23"/>
        <w:ind w:left="0"/>
        <w:rPr>
          <w:rFonts w:hint="eastAsia"/>
        </w:rPr>
      </w:pPr>
    </w:p>
    <w:p w14:paraId="66BB76D3">
      <w:pPr>
        <w:rPr>
          <w:rFonts w:hint="eastAsia"/>
        </w:rPr>
      </w:pPr>
    </w:p>
    <w:p w14:paraId="40CA5EA9">
      <w:pPr>
        <w:pStyle w:val="2"/>
        <w:numPr>
          <w:ilvl w:val="3"/>
          <w:numId w:val="0"/>
        </w:numPr>
        <w:spacing w:line="360" w:lineRule="auto"/>
        <w:rPr>
          <w:rFonts w:hint="eastAsia" w:ascii="宋体" w:hAnsi="宋体" w:cs="宋体"/>
          <w:b/>
          <w:bCs/>
          <w:szCs w:val="28"/>
        </w:rPr>
      </w:pPr>
      <w:r>
        <w:rPr>
          <w:rFonts w:hint="eastAsia" w:ascii="宋体" w:hAnsi="宋体" w:cs="宋体"/>
          <w:b/>
          <w:bCs/>
          <w:szCs w:val="28"/>
        </w:rPr>
        <w:t>四、运行管理要求</w:t>
      </w:r>
    </w:p>
    <w:p w14:paraId="2E9E435A">
      <w:pPr>
        <w:pStyle w:val="62"/>
        <w:numPr>
          <w:ilvl w:val="0"/>
          <w:numId w:val="30"/>
        </w:numPr>
        <w:ind w:left="504" w:hanging="504"/>
        <w:contextualSpacing w:val="0"/>
        <w:rPr>
          <w:rFonts w:hint="eastAsia" w:ascii="宋体"/>
          <w:b/>
          <w:bCs/>
        </w:rPr>
      </w:pPr>
      <w:r>
        <w:rPr>
          <w:rFonts w:hint="eastAsia" w:ascii="宋体" w:hAnsi="宋体" w:cs="宋体"/>
          <w:b/>
          <w:bCs/>
          <w:sz w:val="22"/>
        </w:rPr>
        <w:t>工艺要求</w:t>
      </w:r>
    </w:p>
    <w:p w14:paraId="088A91E4">
      <w:pPr>
        <w:ind w:firstLine="420"/>
        <w:rPr>
          <w:rFonts w:hint="eastAsia"/>
          <w:szCs w:val="21"/>
        </w:rPr>
      </w:pPr>
      <w:r>
        <w:rPr>
          <w:rFonts w:hint="eastAsia"/>
          <w:szCs w:val="21"/>
        </w:rPr>
        <w:t>按照济南卡车制造公司莱芜工厂车身一部涂装现场分部编制的作业文件要求的规范要求执行。</w:t>
      </w:r>
    </w:p>
    <w:p w14:paraId="470B822A">
      <w:pPr>
        <w:spacing w:line="480" w:lineRule="exact"/>
        <w:ind w:firstLine="105" w:firstLineChars="50"/>
        <w:rPr>
          <w:rFonts w:hint="eastAsia" w:ascii="宋体" w:hAnsi="宋体"/>
          <w:bCs/>
        </w:rPr>
      </w:pPr>
      <w:r>
        <w:rPr>
          <w:rFonts w:hint="eastAsia" w:ascii="宋体" w:hAnsi="宋体" w:eastAsia="宋体"/>
          <w:bCs/>
        </w:rPr>
        <w:t>1</w:t>
      </w:r>
      <w:r>
        <w:rPr>
          <w:rFonts w:hint="eastAsia" w:ascii="宋体" w:hAnsi="宋体"/>
          <w:bCs/>
        </w:rPr>
        <w:t>.1基本要求</w:t>
      </w:r>
    </w:p>
    <w:p w14:paraId="1F8D50CA">
      <w:pPr>
        <w:spacing w:line="480" w:lineRule="exact"/>
        <w:ind w:firstLine="420" w:firstLineChars="200"/>
        <w:rPr>
          <w:rFonts w:hint="eastAsia" w:ascii="宋体" w:hAnsi="宋体"/>
        </w:rPr>
      </w:pPr>
      <w:r>
        <w:rPr>
          <w:rFonts w:hint="eastAsia" w:ascii="宋体" w:hAnsi="宋体"/>
        </w:rPr>
        <w:t>1.1.1、中标方所供项目标的，必须符合中国最新版的法律法规和相关标准、规范的要求，符合项目所在地政府有关特殊要求；</w:t>
      </w:r>
    </w:p>
    <w:p w14:paraId="0B610C75">
      <w:pPr>
        <w:spacing w:line="480" w:lineRule="exact"/>
        <w:ind w:firstLine="420" w:firstLineChars="200"/>
        <w:rPr>
          <w:rFonts w:hint="eastAsia" w:ascii="宋体" w:hAnsi="宋体"/>
        </w:rPr>
      </w:pPr>
      <w:r>
        <w:rPr>
          <w:rFonts w:hint="eastAsia" w:ascii="宋体" w:hAnsi="宋体"/>
        </w:rPr>
        <w:t>1.1.2、中标方应对委托方提出的各项技术要求同意进行技术 （担保） 承诺， 并保证委托方不因此受到任何侵权指控和实际损失；</w:t>
      </w:r>
    </w:p>
    <w:p w14:paraId="2527AB63">
      <w:pPr>
        <w:spacing w:line="480" w:lineRule="exact"/>
        <w:ind w:firstLine="420" w:firstLineChars="200"/>
        <w:rPr>
          <w:rFonts w:hint="eastAsia" w:ascii="宋体" w:hAnsi="宋体"/>
        </w:rPr>
      </w:pPr>
      <w:r>
        <w:rPr>
          <w:rFonts w:hint="eastAsia" w:ascii="宋体" w:hAnsi="宋体"/>
        </w:rPr>
        <w:t>1.1.3、中标方应保证所供服务或技术的先进性、可靠性、经济性和实用性；</w:t>
      </w:r>
    </w:p>
    <w:p w14:paraId="7DE6C85B">
      <w:pPr>
        <w:spacing w:line="480" w:lineRule="exact"/>
        <w:ind w:firstLine="420" w:firstLineChars="200"/>
        <w:rPr>
          <w:rFonts w:hint="eastAsia" w:ascii="宋体" w:hAnsi="宋体"/>
        </w:rPr>
      </w:pPr>
      <w:r>
        <w:rPr>
          <w:rFonts w:hint="eastAsia" w:ascii="宋体" w:hAnsi="宋体"/>
        </w:rPr>
        <w:t>1.1.4、中标方必须按委托方的产品图样及相关标准组织生产。否则，由此造成的质量事故或损失由中标方承担全部责任。</w:t>
      </w:r>
    </w:p>
    <w:p w14:paraId="19A151A2">
      <w:pPr>
        <w:spacing w:line="480" w:lineRule="exact"/>
        <w:rPr>
          <w:rFonts w:hint="eastAsia" w:ascii="宋体" w:hAnsi="宋体"/>
          <w:bCs/>
        </w:rPr>
      </w:pPr>
      <w:r>
        <w:rPr>
          <w:rFonts w:hint="eastAsia" w:ascii="宋体" w:hAnsi="宋体"/>
          <w:bCs/>
        </w:rPr>
        <w:t>1.2技术支持</w:t>
      </w:r>
    </w:p>
    <w:p w14:paraId="5CC57004">
      <w:pPr>
        <w:spacing w:line="480" w:lineRule="exact"/>
        <w:ind w:firstLine="420" w:firstLineChars="200"/>
        <w:rPr>
          <w:rFonts w:hint="eastAsia" w:ascii="宋体" w:hAnsi="宋体"/>
        </w:rPr>
      </w:pPr>
      <w:r>
        <w:rPr>
          <w:rFonts w:hint="eastAsia" w:ascii="宋体" w:hAnsi="宋体"/>
        </w:rPr>
        <w:t>1.2.1、委托方与中标方合作期间，委托方负责向中标方提供工艺与工艺更改文件，中标方按要求完成相应生产技术准备工作，严格按文件要求操作和控制。</w:t>
      </w:r>
    </w:p>
    <w:p w14:paraId="1D674430">
      <w:pPr>
        <w:spacing w:line="480" w:lineRule="exact"/>
        <w:ind w:firstLine="420" w:firstLineChars="200"/>
        <w:rPr>
          <w:rFonts w:hint="eastAsia" w:ascii="宋体" w:hAnsi="宋体"/>
        </w:rPr>
      </w:pPr>
      <w:r>
        <w:rPr>
          <w:rFonts w:hint="eastAsia" w:ascii="宋体" w:hAnsi="宋体"/>
        </w:rPr>
        <w:t>1.2.2 、委托方提出工艺变更时，中标方必须严格执行工艺变更。</w:t>
      </w:r>
    </w:p>
    <w:p w14:paraId="1DAFAD25">
      <w:pPr>
        <w:spacing w:line="480" w:lineRule="exact"/>
        <w:ind w:firstLine="420" w:firstLineChars="200"/>
        <w:rPr>
          <w:rFonts w:hint="eastAsia" w:ascii="宋体" w:hAnsi="宋体"/>
        </w:rPr>
      </w:pPr>
      <w:r>
        <w:rPr>
          <w:rFonts w:hint="eastAsia" w:ascii="宋体" w:hAnsi="宋体"/>
        </w:rPr>
        <w:t>1.2.3 、委托方有权派人到中标方现场对中标方生产过程进行工艺执行情况检查，并要求中标方对具体操作不符合项进行限期和有效地整改，否则依据严重程度追究中标方的责任。</w:t>
      </w:r>
    </w:p>
    <w:p w14:paraId="779237C2">
      <w:pPr>
        <w:spacing w:line="480" w:lineRule="exact"/>
        <w:ind w:firstLine="420" w:firstLineChars="200"/>
        <w:rPr>
          <w:rFonts w:hint="eastAsia" w:ascii="宋体" w:hAnsi="宋体"/>
        </w:rPr>
      </w:pPr>
      <w:r>
        <w:rPr>
          <w:rFonts w:hint="eastAsia" w:ascii="宋体" w:hAnsi="宋体"/>
        </w:rPr>
        <w:t>1.2.4、委托方与中标方解除合同时，中标方必须将委托方提供的所有技术资料完好退还委托方。由此产生的损失由中标方承担。</w:t>
      </w:r>
    </w:p>
    <w:p w14:paraId="3F720D14">
      <w:pPr>
        <w:spacing w:line="480" w:lineRule="exact"/>
        <w:ind w:firstLine="420" w:firstLineChars="200"/>
        <w:rPr>
          <w:rFonts w:hint="eastAsia"/>
        </w:rPr>
      </w:pPr>
      <w:r>
        <w:rPr>
          <w:rFonts w:hint="eastAsia" w:ascii="宋体" w:hAnsi="宋体"/>
        </w:rPr>
        <w:t>1.2.5、中标方必须使用委托方指定型号和品牌的工具、辅料、机物料等。如任何项目内容有新增或改变，应征得委托方书面同意。</w:t>
      </w:r>
    </w:p>
    <w:p w14:paraId="156C9EFF">
      <w:pPr>
        <w:pStyle w:val="62"/>
        <w:numPr>
          <w:ilvl w:val="0"/>
          <w:numId w:val="30"/>
        </w:numPr>
        <w:ind w:left="504" w:hanging="504"/>
        <w:contextualSpacing w:val="0"/>
        <w:rPr>
          <w:rFonts w:hint="eastAsia" w:ascii="宋体"/>
          <w:b/>
          <w:bCs/>
        </w:rPr>
      </w:pPr>
      <w:r>
        <w:rPr>
          <w:rFonts w:hint="eastAsia" w:ascii="宋体" w:cs="宋体"/>
          <w:b/>
          <w:bCs/>
        </w:rPr>
        <w:t>质量控制要求</w:t>
      </w:r>
    </w:p>
    <w:p w14:paraId="031C513E">
      <w:pPr>
        <w:spacing w:line="480" w:lineRule="exact"/>
        <w:ind w:firstLine="420"/>
        <w:rPr>
          <w:rFonts w:hint="eastAsia" w:ascii="宋体" w:eastAsia="宋体"/>
        </w:rPr>
      </w:pPr>
      <w:r>
        <w:rPr>
          <w:rFonts w:ascii="宋体" w:eastAsia="宋体"/>
        </w:rPr>
        <w:t>1、投标方提供质量管理体系认证证明，并提供相一致实施记录，设质量工程师一名，负责现场质量管理及产品质量监控（可兼职），由外包方质量管理及加工原因造成的质量考核及索赔由其全额承担。</w:t>
      </w:r>
    </w:p>
    <w:p w14:paraId="70655844">
      <w:pPr>
        <w:adjustRightInd w:val="0"/>
        <w:snapToGrid w:val="0"/>
        <w:spacing w:line="480" w:lineRule="exact"/>
        <w:rPr>
          <w:rFonts w:hint="eastAsia" w:ascii="宋体" w:eastAsia="宋体"/>
        </w:rPr>
      </w:pPr>
      <w:r>
        <w:rPr>
          <w:rFonts w:ascii="宋体" w:eastAsia="宋体"/>
        </w:rPr>
        <w:t>2、所有型号的驾驶室最后都应达到以下质量指标，此指标为最低标准。</w:t>
      </w:r>
    </w:p>
    <w:p w14:paraId="7AF81101">
      <w:pPr>
        <w:adjustRightInd w:val="0"/>
        <w:snapToGrid w:val="0"/>
        <w:spacing w:line="480" w:lineRule="exact"/>
        <w:rPr>
          <w:rFonts w:hint="eastAsia" w:ascii="宋体" w:eastAsia="宋体"/>
          <w:highlight w:val="cyan"/>
        </w:rPr>
      </w:pPr>
      <w:r>
        <w:rPr>
          <w:rFonts w:ascii="宋体" w:eastAsia="宋体"/>
        </w:rPr>
        <w:t>（1）面漆三涂层，</w:t>
      </w:r>
      <w:r>
        <w:rPr>
          <w:rFonts w:ascii="宋体" w:eastAsia="宋体"/>
          <w:highlight w:val="cyan"/>
        </w:rPr>
        <w:t>底漆外表面≥</w:t>
      </w:r>
      <w:r>
        <w:rPr>
          <w:rFonts w:hint="eastAsia" w:ascii="宋体" w:eastAsia="宋体"/>
          <w:highlight w:val="cyan"/>
        </w:rPr>
        <w:t>15</w:t>
      </w:r>
      <w:r>
        <w:rPr>
          <w:rFonts w:ascii="宋体" w:eastAsia="宋体"/>
          <w:highlight w:val="cyan"/>
        </w:rPr>
        <w:t>μm，底漆内表面≥</w:t>
      </w:r>
      <w:r>
        <w:rPr>
          <w:rFonts w:hint="eastAsia" w:ascii="宋体" w:eastAsia="宋体"/>
          <w:highlight w:val="cyan"/>
        </w:rPr>
        <w:t>10</w:t>
      </w:r>
      <w:r>
        <w:rPr>
          <w:rFonts w:ascii="宋体" w:eastAsia="宋体"/>
          <w:highlight w:val="cyan"/>
        </w:rPr>
        <w:t>μm，底漆内腔≥8μm ，B1涂层≥</w:t>
      </w:r>
      <w:r>
        <w:rPr>
          <w:rFonts w:hint="eastAsia" w:ascii="宋体" w:eastAsia="宋体"/>
          <w:highlight w:val="cyan"/>
        </w:rPr>
        <w:t>12</w:t>
      </w:r>
      <w:r>
        <w:rPr>
          <w:rFonts w:ascii="宋体" w:eastAsia="宋体"/>
          <w:highlight w:val="cyan"/>
        </w:rPr>
        <w:t>μm，B2涂层≥</w:t>
      </w:r>
      <w:r>
        <w:rPr>
          <w:rFonts w:hint="eastAsia" w:ascii="宋体" w:eastAsia="宋体"/>
          <w:highlight w:val="cyan"/>
        </w:rPr>
        <w:t>12</w:t>
      </w:r>
      <w:r>
        <w:rPr>
          <w:rFonts w:ascii="宋体" w:eastAsia="宋体"/>
          <w:highlight w:val="cyan"/>
        </w:rPr>
        <w:t>μm，清漆</w:t>
      </w:r>
      <w:r>
        <w:rPr>
          <w:rFonts w:hint="eastAsia" w:ascii="宋体" w:eastAsia="宋体"/>
          <w:highlight w:val="cyan"/>
        </w:rPr>
        <w:t>A区≥40</w:t>
      </w:r>
      <w:r>
        <w:rPr>
          <w:rFonts w:ascii="宋体" w:eastAsia="宋体"/>
          <w:highlight w:val="cyan"/>
        </w:rPr>
        <w:t>μm</w:t>
      </w:r>
      <w:r>
        <w:rPr>
          <w:rFonts w:hint="eastAsia" w:ascii="宋体" w:eastAsia="宋体"/>
          <w:highlight w:val="cyan"/>
        </w:rPr>
        <w:t>、B区≥30</w:t>
      </w:r>
      <w:r>
        <w:rPr>
          <w:rFonts w:ascii="宋体" w:eastAsia="宋体"/>
          <w:highlight w:val="cyan"/>
        </w:rPr>
        <w:t>μm。</w:t>
      </w:r>
    </w:p>
    <w:p w14:paraId="19B13E4A">
      <w:pPr>
        <w:adjustRightInd w:val="0"/>
        <w:snapToGrid w:val="0"/>
        <w:spacing w:line="480" w:lineRule="exact"/>
        <w:rPr>
          <w:rFonts w:hint="eastAsia" w:ascii="宋体" w:eastAsia="宋体"/>
        </w:rPr>
      </w:pPr>
      <w:r>
        <w:rPr>
          <w:rFonts w:ascii="宋体" w:eastAsia="宋体"/>
        </w:rPr>
        <w:t>（2）电泳漆粗糙度：</w:t>
      </w:r>
      <w:r>
        <w:rPr>
          <w:rFonts w:ascii="宋体" w:eastAsia="宋体"/>
          <w:highlight w:val="cyan"/>
        </w:rPr>
        <w:t>Ra≤0.</w:t>
      </w:r>
      <w:r>
        <w:rPr>
          <w:rFonts w:hint="eastAsia" w:ascii="宋体" w:eastAsia="宋体"/>
          <w:highlight w:val="cyan"/>
        </w:rPr>
        <w:t>3</w:t>
      </w:r>
      <w:r>
        <w:rPr>
          <w:rFonts w:ascii="宋体" w:eastAsia="宋体"/>
          <w:highlight w:val="cyan"/>
        </w:rPr>
        <w:t>。</w:t>
      </w:r>
    </w:p>
    <w:p w14:paraId="3FAF5827">
      <w:pPr>
        <w:adjustRightInd w:val="0"/>
        <w:snapToGrid w:val="0"/>
        <w:spacing w:line="480" w:lineRule="exact"/>
        <w:rPr>
          <w:rFonts w:hint="eastAsia" w:ascii="宋体" w:eastAsia="宋体"/>
        </w:rPr>
      </w:pPr>
      <w:r>
        <w:rPr>
          <w:rFonts w:ascii="宋体" w:eastAsia="宋体"/>
        </w:rPr>
        <w:t>（3）橘皮：L≤10、S≤</w:t>
      </w:r>
      <w:r>
        <w:rPr>
          <w:rFonts w:hint="eastAsia" w:ascii="宋体" w:eastAsia="宋体"/>
        </w:rPr>
        <w:t>2</w:t>
      </w:r>
      <w:r>
        <w:rPr>
          <w:rFonts w:ascii="宋体" w:eastAsia="宋体"/>
        </w:rPr>
        <w:t>5、</w:t>
      </w:r>
      <w:r>
        <w:rPr>
          <w:rFonts w:hint="eastAsia" w:ascii="宋体" w:eastAsia="宋体"/>
          <w:highlight w:val="cyan"/>
        </w:rPr>
        <w:t>DOI&gt;88、DOI&gt;80(金色/灰色/蓝色系闪光色)</w:t>
      </w:r>
      <w:r>
        <w:rPr>
          <w:rFonts w:ascii="宋体" w:eastAsia="宋体"/>
          <w:highlight w:val="cyan"/>
        </w:rPr>
        <w:t>。</w:t>
      </w:r>
    </w:p>
    <w:p w14:paraId="44D59DA5">
      <w:pPr>
        <w:adjustRightInd w:val="0"/>
        <w:snapToGrid w:val="0"/>
        <w:spacing w:line="480" w:lineRule="exact"/>
        <w:rPr>
          <w:rFonts w:hint="eastAsia" w:ascii="宋体" w:eastAsia="宋体"/>
        </w:rPr>
      </w:pPr>
      <w:r>
        <w:rPr>
          <w:rFonts w:ascii="宋体" w:eastAsia="宋体"/>
        </w:rPr>
        <w:t>（4）光泽度：</w:t>
      </w:r>
      <w:r>
        <w:rPr>
          <w:rFonts w:ascii="宋体" w:eastAsia="宋体"/>
          <w:highlight w:val="cyan"/>
        </w:rPr>
        <w:t>≥</w:t>
      </w:r>
      <w:r>
        <w:rPr>
          <w:rFonts w:hint="eastAsia" w:ascii="宋体" w:eastAsia="宋体"/>
          <w:highlight w:val="cyan"/>
        </w:rPr>
        <w:t>85</w:t>
      </w:r>
      <w:r>
        <w:rPr>
          <w:rFonts w:ascii="宋体" w:eastAsia="宋体"/>
          <w:highlight w:val="cyan"/>
        </w:rPr>
        <w:t>（20°）。</w:t>
      </w:r>
    </w:p>
    <w:p w14:paraId="520D95BD">
      <w:pPr>
        <w:adjustRightInd w:val="0"/>
        <w:snapToGrid w:val="0"/>
        <w:spacing w:line="480" w:lineRule="exact"/>
        <w:rPr>
          <w:rFonts w:hint="eastAsia" w:ascii="宋体" w:eastAsia="宋体"/>
        </w:rPr>
      </w:pPr>
      <w:r>
        <w:rPr>
          <w:rFonts w:ascii="宋体" w:eastAsia="宋体"/>
        </w:rPr>
        <w:t>（5）整车膜厚波动</w:t>
      </w:r>
      <w:r>
        <w:rPr>
          <w:rFonts w:hint="eastAsia" w:ascii="宋体" w:eastAsia="宋体"/>
        </w:rPr>
        <w:t>：</w:t>
      </w:r>
      <w:r>
        <w:rPr>
          <w:rFonts w:ascii="宋体" w:eastAsia="宋体"/>
        </w:rPr>
        <w:t>≤6um。</w:t>
      </w:r>
    </w:p>
    <w:p w14:paraId="6E36427B">
      <w:pPr>
        <w:adjustRightInd w:val="0"/>
        <w:snapToGrid w:val="0"/>
        <w:spacing w:line="480" w:lineRule="exact"/>
        <w:rPr>
          <w:rFonts w:hint="eastAsia" w:ascii="宋体" w:eastAsia="宋体"/>
        </w:rPr>
      </w:pPr>
      <w:r>
        <w:rPr>
          <w:rFonts w:ascii="宋体" w:eastAsia="宋体"/>
        </w:rPr>
        <w:t>（6）硬度≥HB。</w:t>
      </w:r>
    </w:p>
    <w:p w14:paraId="32A16C2F">
      <w:pPr>
        <w:adjustRightInd w:val="0"/>
        <w:snapToGrid w:val="0"/>
        <w:spacing w:line="480" w:lineRule="exact"/>
        <w:rPr>
          <w:rFonts w:hint="eastAsia" w:ascii="宋体" w:eastAsia="宋体"/>
        </w:rPr>
      </w:pPr>
      <w:r>
        <w:rPr>
          <w:rFonts w:ascii="宋体" w:eastAsia="宋体"/>
        </w:rPr>
        <w:t>（7）色差：</w:t>
      </w:r>
      <w:r>
        <w:rPr>
          <w:rFonts w:hint="eastAsia" w:ascii="宋体" w:eastAsia="宋体"/>
          <w:highlight w:val="cyan"/>
        </w:rPr>
        <w:t>闪光</w:t>
      </w:r>
      <w:r>
        <w:rPr>
          <w:rFonts w:ascii="宋体" w:eastAsia="宋体"/>
          <w:highlight w:val="cyan"/>
        </w:rPr>
        <w:t>漆：△E≤3（25°）、</w:t>
      </w:r>
      <w:r>
        <w:rPr>
          <w:rFonts w:hint="eastAsia" w:ascii="宋体" w:eastAsia="宋体"/>
          <w:highlight w:val="cyan"/>
        </w:rPr>
        <w:t>2</w:t>
      </w:r>
      <w:r>
        <w:rPr>
          <w:rFonts w:ascii="宋体" w:eastAsia="宋体"/>
          <w:highlight w:val="cyan"/>
        </w:rPr>
        <w:t>（45°）、2（75°）；实色漆：△E≤</w:t>
      </w:r>
      <w:r>
        <w:rPr>
          <w:rFonts w:hint="eastAsia" w:ascii="宋体" w:eastAsia="宋体"/>
          <w:highlight w:val="cyan"/>
        </w:rPr>
        <w:t>1</w:t>
      </w:r>
      <w:r>
        <w:rPr>
          <w:rFonts w:ascii="宋体" w:eastAsia="宋体"/>
          <w:highlight w:val="cyan"/>
        </w:rPr>
        <w:t>（45°）</w:t>
      </w:r>
      <w:r>
        <w:rPr>
          <w:rFonts w:hint="eastAsia" w:ascii="宋体" w:eastAsia="宋体"/>
          <w:highlight w:val="cyan"/>
        </w:rPr>
        <w:t>（其他色系）、</w:t>
      </w:r>
      <w:r>
        <w:rPr>
          <w:rFonts w:ascii="宋体" w:eastAsia="宋体"/>
          <w:highlight w:val="cyan"/>
        </w:rPr>
        <w:t>△E≤</w:t>
      </w:r>
      <w:r>
        <w:rPr>
          <w:rFonts w:hint="eastAsia" w:ascii="宋体" w:eastAsia="宋体"/>
          <w:highlight w:val="cyan"/>
        </w:rPr>
        <w:t>3</w:t>
      </w:r>
      <w:r>
        <w:rPr>
          <w:rFonts w:ascii="宋体" w:eastAsia="宋体"/>
          <w:highlight w:val="cyan"/>
        </w:rPr>
        <w:t>（45°）</w:t>
      </w:r>
      <w:r>
        <w:rPr>
          <w:rFonts w:hint="eastAsia" w:ascii="宋体" w:eastAsia="宋体"/>
          <w:highlight w:val="cyan"/>
        </w:rPr>
        <w:t>（红/桔/橙色系）</w:t>
      </w:r>
      <w:r>
        <w:rPr>
          <w:rFonts w:ascii="宋体" w:eastAsia="宋体"/>
          <w:highlight w:val="cyan"/>
        </w:rPr>
        <w:t>。</w:t>
      </w:r>
    </w:p>
    <w:p w14:paraId="75C01885">
      <w:pPr>
        <w:pStyle w:val="62"/>
        <w:numPr>
          <w:ilvl w:val="0"/>
          <w:numId w:val="30"/>
        </w:numPr>
        <w:spacing w:line="480" w:lineRule="exact"/>
        <w:ind w:left="504" w:hanging="504"/>
        <w:contextualSpacing w:val="0"/>
        <w:rPr>
          <w:rFonts w:hint="eastAsia"/>
          <w:b/>
          <w:bCs/>
        </w:rPr>
      </w:pPr>
      <w:r>
        <w:rPr>
          <w:rFonts w:hint="eastAsia" w:ascii="宋体" w:cs="宋体"/>
          <w:b/>
          <w:bCs/>
        </w:rPr>
        <w:t>生产组织控制</w:t>
      </w:r>
    </w:p>
    <w:p w14:paraId="6579912A">
      <w:pPr>
        <w:spacing w:line="480" w:lineRule="exact"/>
        <w:ind w:left="420" w:leftChars="200"/>
        <w:rPr>
          <w:rFonts w:hint="eastAsia" w:ascii="宋体" w:hAnsi="宋体"/>
        </w:rPr>
      </w:pPr>
      <w:r>
        <w:rPr>
          <w:rFonts w:hint="eastAsia" w:ascii="宋体" w:hAnsi="宋体"/>
        </w:rPr>
        <w:t>3.1、车身一部负责对中标单位生产、安全监控。</w:t>
      </w:r>
    </w:p>
    <w:p w14:paraId="03C2D300">
      <w:pPr>
        <w:spacing w:line="480" w:lineRule="exact"/>
        <w:ind w:firstLine="420" w:firstLineChars="200"/>
        <w:rPr>
          <w:rFonts w:hint="eastAsia" w:ascii="宋体" w:hAnsi="宋体"/>
        </w:rPr>
      </w:pPr>
      <w:r>
        <w:rPr>
          <w:rFonts w:hint="eastAsia" w:ascii="宋体" w:hAnsi="宋体"/>
        </w:rPr>
        <w:t>3.2、中标单位每班次设综合管理人员一名，负责与车身一部生产管理人员沟通信息，负责安全生产的监控，并纳入车身一部生产管理网络系统。</w:t>
      </w:r>
    </w:p>
    <w:p w14:paraId="64255933">
      <w:pPr>
        <w:spacing w:line="480" w:lineRule="exact"/>
        <w:ind w:firstLine="420" w:firstLineChars="200"/>
        <w:rPr>
          <w:rFonts w:hint="eastAsia" w:ascii="宋体" w:hAnsi="宋体"/>
        </w:rPr>
      </w:pPr>
      <w:r>
        <w:rPr>
          <w:rFonts w:hint="eastAsia" w:ascii="宋体" w:hAnsi="宋体"/>
        </w:rPr>
        <w:t>3.3、中标方负责根据卡车公司生产计划及调度信息组织生产，确保产品发交的准确性、及时性。</w:t>
      </w:r>
    </w:p>
    <w:p w14:paraId="07DBEE32">
      <w:pPr>
        <w:spacing w:line="480" w:lineRule="exact"/>
        <w:ind w:firstLine="420" w:firstLineChars="200"/>
        <w:rPr>
          <w:rFonts w:hint="eastAsia" w:ascii="宋体" w:hAnsi="宋体"/>
        </w:rPr>
      </w:pPr>
      <w:r>
        <w:rPr>
          <w:rFonts w:hint="eastAsia" w:ascii="宋体" w:hAnsi="宋体"/>
        </w:rPr>
        <w:t>3.4、中标单位确保账卡物的一致性，严格按照先入先出原则做好在制品的仓储管理。</w:t>
      </w:r>
    </w:p>
    <w:p w14:paraId="1B4DA086">
      <w:pPr>
        <w:spacing w:line="480" w:lineRule="exact"/>
        <w:ind w:firstLine="420" w:firstLineChars="200"/>
        <w:rPr>
          <w:rFonts w:hint="eastAsia"/>
          <w:szCs w:val="21"/>
        </w:rPr>
      </w:pPr>
      <w:r>
        <w:rPr>
          <w:rFonts w:hint="eastAsia" w:ascii="宋体" w:hAnsi="宋体"/>
        </w:rPr>
        <w:t>3.5、中标单位执行卡车制造公司及车身一部的管理制度及考核细则。</w:t>
      </w:r>
    </w:p>
    <w:p w14:paraId="0C13FC8A">
      <w:pPr>
        <w:pStyle w:val="62"/>
        <w:numPr>
          <w:ilvl w:val="0"/>
          <w:numId w:val="30"/>
        </w:numPr>
        <w:spacing w:line="480" w:lineRule="exact"/>
        <w:ind w:left="504" w:hanging="504"/>
        <w:contextualSpacing w:val="0"/>
        <w:rPr>
          <w:rFonts w:hint="eastAsia" w:ascii="宋体"/>
          <w:b/>
        </w:rPr>
      </w:pPr>
      <w:r>
        <w:rPr>
          <w:rFonts w:ascii="宋体"/>
          <w:b/>
        </w:rPr>
        <w:t>业务外包场地、设备管理要求</w:t>
      </w:r>
    </w:p>
    <w:p w14:paraId="75CBF506">
      <w:pPr>
        <w:adjustRightInd w:val="0"/>
        <w:snapToGrid w:val="0"/>
        <w:spacing w:line="480" w:lineRule="exact"/>
        <w:rPr>
          <w:rFonts w:hint="eastAsia" w:ascii="宋体" w:eastAsia="宋体"/>
        </w:rPr>
      </w:pPr>
      <w:r>
        <w:rPr>
          <w:rFonts w:ascii="宋体" w:eastAsia="宋体"/>
        </w:rPr>
        <w:t xml:space="preserve">   涂装现场分部所有外包工序所使用的工具、设备、附属设施</w:t>
      </w:r>
      <w:r>
        <w:rPr>
          <w:rFonts w:hint="eastAsia" w:ascii="宋体" w:eastAsia="宋体"/>
        </w:rPr>
        <w:t>由</w:t>
      </w:r>
      <w:r>
        <w:rPr>
          <w:rFonts w:ascii="宋体" w:eastAsia="宋体"/>
        </w:rPr>
        <w:t>车身一部提供使用，承包单位具有使用权。承包单位需负责所用工具、设备、附属设施的日常维护及保养，保证其完好；不得随意更改其用途，人为损坏需赔偿或承担维修费用。对现场的所有设备、工具等仅限于具体操作，工具如喷枪、打磨机等基本清洁，深度保养维护、维修由车身一部负责。外包工序所使用的工具、设备、附属设施等非人为损坏维修费用由车身一部承担。</w:t>
      </w:r>
    </w:p>
    <w:p w14:paraId="2C83DE8B">
      <w:pPr>
        <w:pStyle w:val="62"/>
        <w:numPr>
          <w:ilvl w:val="0"/>
          <w:numId w:val="30"/>
        </w:numPr>
        <w:spacing w:line="480" w:lineRule="exact"/>
        <w:ind w:left="504" w:hanging="504"/>
        <w:contextualSpacing w:val="0"/>
        <w:rPr>
          <w:rFonts w:hint="eastAsia" w:ascii="宋体"/>
          <w:b/>
        </w:rPr>
      </w:pPr>
      <w:r>
        <w:rPr>
          <w:rFonts w:ascii="宋体"/>
          <w:b/>
        </w:rPr>
        <w:t>外包业务服务费用要求</w:t>
      </w:r>
    </w:p>
    <w:p w14:paraId="59FD3B9C">
      <w:pPr>
        <w:adjustRightInd w:val="0"/>
        <w:snapToGrid w:val="0"/>
        <w:spacing w:line="480" w:lineRule="exact"/>
        <w:ind w:firstLine="315" w:firstLineChars="150"/>
        <w:rPr>
          <w:rFonts w:hint="eastAsia" w:ascii="宋体" w:eastAsia="宋体"/>
        </w:rPr>
      </w:pPr>
      <w:r>
        <w:rPr>
          <w:rFonts w:ascii="宋体" w:eastAsia="宋体"/>
        </w:rPr>
        <w:t>1、天然气、蒸汽、压缩空气、水、电等能源费用由招标方承担，满足指标要求。</w:t>
      </w:r>
    </w:p>
    <w:p w14:paraId="62E4A397">
      <w:pPr>
        <w:spacing w:line="480" w:lineRule="exact"/>
        <w:ind w:firstLine="210" w:firstLineChars="100"/>
        <w:rPr>
          <w:rFonts w:hint="eastAsia" w:ascii="宋体" w:eastAsia="宋体"/>
        </w:rPr>
      </w:pPr>
      <w:r>
        <w:rPr>
          <w:rFonts w:ascii="宋体" w:eastAsia="宋体"/>
        </w:rPr>
        <w:t xml:space="preserve"> 2、现场所使用的工艺定额内物辅料费用由招标方承担</w:t>
      </w:r>
      <w:r>
        <w:rPr>
          <w:rFonts w:hint="eastAsia" w:ascii="宋体" w:eastAsia="宋体"/>
        </w:rPr>
        <w:t>，</w:t>
      </w:r>
      <w:r>
        <w:rPr>
          <w:rFonts w:ascii="宋体" w:eastAsia="宋体"/>
        </w:rPr>
        <w:t>满足指标要求（注：因承包方原因（如：人员配备不足、技能不足等）造成的能源、物辅料等浪费，费用由承包方承担）。</w:t>
      </w:r>
    </w:p>
    <w:p w14:paraId="7864C27A">
      <w:pPr>
        <w:adjustRightInd w:val="0"/>
        <w:snapToGrid w:val="0"/>
        <w:spacing w:line="480" w:lineRule="exact"/>
        <w:ind w:firstLine="315" w:firstLineChars="150"/>
        <w:rPr>
          <w:rFonts w:hint="eastAsia" w:ascii="宋体" w:eastAsia="宋体"/>
        </w:rPr>
      </w:pPr>
      <w:r>
        <w:rPr>
          <w:rFonts w:ascii="宋体" w:eastAsia="宋体"/>
        </w:rPr>
        <w:t>3、业务生产所使用静电鞋、连体服、劳保鞋、统一制式的工作服、安全帽、风帽等劳保</w:t>
      </w:r>
      <w:r>
        <w:rPr>
          <w:rFonts w:hint="eastAsia" w:ascii="宋体" w:eastAsia="宋体"/>
        </w:rPr>
        <w:t>用品</w:t>
      </w:r>
      <w:r>
        <w:rPr>
          <w:rFonts w:ascii="宋体" w:eastAsia="宋体"/>
        </w:rPr>
        <w:t>由承包单位承担。</w:t>
      </w:r>
    </w:p>
    <w:p w14:paraId="4C85AE5E">
      <w:pPr>
        <w:adjustRightInd w:val="0"/>
        <w:snapToGrid w:val="0"/>
        <w:spacing w:line="480" w:lineRule="exact"/>
        <w:rPr>
          <w:rFonts w:hint="eastAsia" w:ascii="宋体" w:eastAsia="宋体"/>
        </w:rPr>
      </w:pPr>
      <w:r>
        <w:rPr>
          <w:rFonts w:ascii="宋体" w:eastAsia="宋体"/>
        </w:rPr>
        <w:t xml:space="preserve">   4、乘用车费用及食宿费用、办公用品的购置与维修费用</w:t>
      </w:r>
      <w:r>
        <w:rPr>
          <w:rFonts w:hint="eastAsia" w:ascii="宋体" w:eastAsia="宋体"/>
        </w:rPr>
        <w:t>、</w:t>
      </w:r>
      <w:r>
        <w:rPr>
          <w:rFonts w:ascii="宋体" w:eastAsia="宋体"/>
        </w:rPr>
        <w:t>为提升员工技能等因素产生的非定额体系内的工具、装备费用由承包单位承担。</w:t>
      </w:r>
    </w:p>
    <w:p w14:paraId="3F7F234A">
      <w:pPr>
        <w:adjustRightInd w:val="0"/>
        <w:snapToGrid w:val="0"/>
        <w:spacing w:line="480" w:lineRule="exact"/>
        <w:ind w:firstLine="315" w:firstLineChars="150"/>
        <w:rPr>
          <w:rFonts w:hint="eastAsia" w:ascii="宋体" w:eastAsia="宋体"/>
        </w:rPr>
      </w:pPr>
      <w:r>
        <w:rPr>
          <w:rFonts w:ascii="宋体" w:eastAsia="宋体"/>
        </w:rPr>
        <w:t>5、职业健康查体需满足集团公司要求，并提供符合要求的检查报告，查体报告不合规人员禁止上岗，查体费等由承包方承担。</w:t>
      </w:r>
    </w:p>
    <w:p w14:paraId="0B79B13E">
      <w:pPr>
        <w:pStyle w:val="62"/>
        <w:numPr>
          <w:ilvl w:val="0"/>
          <w:numId w:val="30"/>
        </w:numPr>
        <w:spacing w:line="480" w:lineRule="exact"/>
        <w:ind w:left="504" w:hanging="504"/>
        <w:contextualSpacing w:val="0"/>
        <w:rPr>
          <w:rFonts w:hint="eastAsia" w:ascii="宋体"/>
          <w:b/>
        </w:rPr>
      </w:pPr>
      <w:r>
        <w:rPr>
          <w:rFonts w:ascii="宋体"/>
          <w:b/>
        </w:rPr>
        <w:t>其他要求</w:t>
      </w:r>
    </w:p>
    <w:p w14:paraId="56914574">
      <w:pPr>
        <w:adjustRightInd w:val="0"/>
        <w:snapToGrid w:val="0"/>
        <w:spacing w:line="480" w:lineRule="exact"/>
        <w:ind w:firstLine="315" w:firstLineChars="150"/>
        <w:rPr>
          <w:rFonts w:hint="eastAsia" w:ascii="宋体" w:eastAsia="宋体"/>
        </w:rPr>
      </w:pPr>
      <w:r>
        <w:rPr>
          <w:rFonts w:ascii="宋体" w:eastAsia="宋体"/>
        </w:rPr>
        <w:t>1、承包方所有工人均应遵守车身一部及涂装现场分部所有管理规定（不限于生产、安全、技术质量、现场5S等），因现场工人不遵守相关管理规定造成经济损失或不良影响，车身一部及涂装现场分部按照《外包单位经济考核细则》进行相应考核，考核款从当月外包费用中扣除。</w:t>
      </w:r>
    </w:p>
    <w:p w14:paraId="1E225A3F">
      <w:pPr>
        <w:adjustRightInd w:val="0"/>
        <w:snapToGrid w:val="0"/>
        <w:spacing w:line="480" w:lineRule="exact"/>
        <w:ind w:firstLine="315" w:firstLineChars="150"/>
        <w:rPr>
          <w:rFonts w:hint="eastAsia" w:ascii="宋体" w:eastAsia="宋体"/>
        </w:rPr>
      </w:pPr>
      <w:r>
        <w:rPr>
          <w:rFonts w:ascii="宋体" w:eastAsia="宋体"/>
        </w:rPr>
        <w:t>2、承包方应遵照车身一部及涂装现场分部提供的作业文件（不限于工艺、设备操作指导书、工艺联系单等），按规范作业。因不遵守规范造成的产品技术质量问题、设备损坏、生产延误等问题，车身一部及涂装现场分部按照《外包单位经济考核细则》进行相应考核，考核款从当月外包费用中扣除。</w:t>
      </w:r>
    </w:p>
    <w:p w14:paraId="26ECD3F7">
      <w:pPr>
        <w:adjustRightInd w:val="0"/>
        <w:snapToGrid w:val="0"/>
        <w:spacing w:line="480" w:lineRule="exact"/>
        <w:ind w:firstLine="315" w:firstLineChars="150"/>
        <w:rPr>
          <w:rFonts w:hint="eastAsia" w:ascii="宋体" w:eastAsia="宋体"/>
        </w:rPr>
      </w:pPr>
      <w:r>
        <w:rPr>
          <w:rFonts w:ascii="宋体" w:eastAsia="宋体"/>
        </w:rPr>
        <w:t>3、承包方应按照车身一部及涂装现场分部下达的生产计划，按照节拍生产，保证下工序生产需求。因外包单位人员配置、岗位变动等原因造成拖产、停产等，影响下工序生产等问题，车身一部及涂装现场分部按照《外包单位经济考核细则》进行相应考核，考核款从当月外包费用中扣除。</w:t>
      </w:r>
    </w:p>
    <w:p w14:paraId="668C8398">
      <w:pPr>
        <w:adjustRightInd w:val="0"/>
        <w:snapToGrid w:val="0"/>
        <w:spacing w:line="480" w:lineRule="exact"/>
        <w:ind w:firstLine="315" w:firstLineChars="150"/>
        <w:rPr>
          <w:rFonts w:hint="eastAsia" w:ascii="宋体" w:eastAsia="宋体"/>
        </w:rPr>
      </w:pPr>
      <w:r>
        <w:rPr>
          <w:rFonts w:ascii="宋体" w:eastAsia="宋体"/>
        </w:rPr>
        <w:t>4、承包方应指派1名现场管理人员，现场调度外包整体人员的安全、质量、生产、现场5S等工作，需跟线工作。</w:t>
      </w:r>
    </w:p>
    <w:p w14:paraId="37A14865">
      <w:pPr>
        <w:pStyle w:val="2"/>
        <w:numPr>
          <w:ilvl w:val="3"/>
          <w:numId w:val="0"/>
        </w:numPr>
        <w:spacing w:line="480" w:lineRule="exact"/>
        <w:rPr>
          <w:rFonts w:hint="eastAsia"/>
        </w:rPr>
      </w:pPr>
      <w:r>
        <w:rPr>
          <w:rFonts w:hint="eastAsia" w:ascii="宋体" w:hAnsi="宋体" w:cs="宋体"/>
          <w:b/>
          <w:bCs/>
          <w:szCs w:val="28"/>
        </w:rPr>
        <w:t>五、投标技术方案要求</w:t>
      </w:r>
      <w:bookmarkEnd w:id="19"/>
      <w:bookmarkEnd w:id="20"/>
      <w:bookmarkEnd w:id="21"/>
      <w:bookmarkEnd w:id="22"/>
      <w:bookmarkEnd w:id="23"/>
    </w:p>
    <w:p w14:paraId="41630CEE">
      <w:pPr>
        <w:spacing w:line="480" w:lineRule="exact"/>
        <w:ind w:firstLine="420"/>
        <w:rPr>
          <w:rFonts w:hint="eastAsia" w:ascii="宋体" w:eastAsia="宋体"/>
        </w:rPr>
      </w:pPr>
      <w:r>
        <w:rPr>
          <w:rFonts w:ascii="宋体" w:eastAsia="宋体"/>
        </w:rPr>
        <w:t>1、承包工序要对面漆前电泳膜层表面处理无明显留痕、缩孔、针孔、颗粒、流淌和砂纸纹，擦净后车身表面无灰尘。关键工序</w:t>
      </w:r>
      <w:r>
        <w:rPr>
          <w:rFonts w:hint="eastAsia" w:ascii="宋体" w:eastAsia="宋体"/>
        </w:rPr>
        <w:t>中间</w:t>
      </w:r>
      <w:r>
        <w:rPr>
          <w:rFonts w:ascii="宋体" w:eastAsia="宋体"/>
        </w:rPr>
        <w:t>漆喷涂工序，要求外包方人员技能符合喷涂技能，人员更换率月度≤3%。</w:t>
      </w:r>
    </w:p>
    <w:p w14:paraId="0FF3CFD2">
      <w:pPr>
        <w:spacing w:line="480" w:lineRule="exact"/>
        <w:ind w:firstLine="420"/>
        <w:rPr>
          <w:rFonts w:hint="eastAsia" w:ascii="宋体" w:eastAsia="宋体"/>
        </w:rPr>
      </w:pPr>
      <w:r>
        <w:rPr>
          <w:rFonts w:ascii="宋体" w:eastAsia="宋体"/>
        </w:rPr>
        <w:t>2、涂胶工序，要求承包员工对焊缝涂胶均匀连续不流挂、不漏焊缝、无漏涂、无堆积、平整、无气泡、无余胶，确保产品装配无漏雨。</w:t>
      </w:r>
    </w:p>
    <w:p w14:paraId="17785819">
      <w:pPr>
        <w:spacing w:line="480" w:lineRule="exact"/>
        <w:ind w:firstLine="420"/>
        <w:rPr>
          <w:rFonts w:hint="eastAsia"/>
        </w:rPr>
      </w:pPr>
      <w:r>
        <w:rPr>
          <w:rFonts w:ascii="宋体" w:eastAsia="宋体"/>
        </w:rPr>
        <w:t>3、外包面漆喷涂工序要求喷涂无露底、流淌、喷涂不严、颗粒、针孔、缩孔、气泡、橘皮过大、失光、发花等可见缺陷。因外包工序造成的以上问题，日返线率≤2%。</w:t>
      </w:r>
    </w:p>
    <w:p w14:paraId="7ED88262">
      <w:pPr>
        <w:pStyle w:val="2"/>
        <w:numPr>
          <w:ilvl w:val="3"/>
          <w:numId w:val="0"/>
        </w:numPr>
        <w:spacing w:line="360" w:lineRule="auto"/>
        <w:rPr>
          <w:rFonts w:hint="eastAsia"/>
        </w:rPr>
      </w:pPr>
      <w:r>
        <w:rPr>
          <w:rFonts w:hint="eastAsia" w:ascii="宋体" w:hAnsi="宋体" w:cs="宋体"/>
          <w:b/>
          <w:bCs/>
          <w:szCs w:val="28"/>
        </w:rPr>
        <w:t>六、业务切换要求（若更换供方，对新老供方切换提出的要求）</w:t>
      </w:r>
      <w:r>
        <w:rPr>
          <w:rFonts w:hint="eastAsia" w:ascii="宋体" w:hAnsi="宋体" w:cs="宋体"/>
          <w:sz w:val="22"/>
          <w:szCs w:val="22"/>
        </w:rPr>
        <w:t xml:space="preserve"> </w:t>
      </w:r>
    </w:p>
    <w:p w14:paraId="31768294">
      <w:pPr>
        <w:spacing w:line="480" w:lineRule="exact"/>
        <w:ind w:firstLine="420"/>
        <w:rPr>
          <w:rFonts w:hint="eastAsia"/>
        </w:rPr>
      </w:pPr>
      <w:r>
        <w:rPr>
          <w:rFonts w:hint="eastAsia" w:ascii="宋体" w:eastAsia="宋体"/>
        </w:rPr>
        <w:t>6.1外包业务执行：新、老外包公司切换时，必须按照委托方外包项目工作要求，实施有序切换，不得影响委托方正常生产秩序；若因新、老外包公司切换造成委托方生产秩序混乱，按照委托方《生产经营管理细则》，由新外包公司承担相应生产损失。</w:t>
      </w:r>
    </w:p>
    <w:p w14:paraId="55E54AC2">
      <w:pPr>
        <w:pStyle w:val="76"/>
      </w:pPr>
    </w:p>
    <w:p w14:paraId="2A01EC4B">
      <w:pPr>
        <w:rPr>
          <w:rFonts w:hint="eastAsia"/>
        </w:rPr>
      </w:pPr>
      <w:bookmarkStart w:id="24" w:name="_Toc20595"/>
      <w:bookmarkStart w:id="25" w:name="_Toc47976609"/>
      <w:r>
        <w:rPr>
          <w:rFonts w:hint="eastAsia"/>
        </w:rPr>
        <w:br w:type="page"/>
      </w:r>
    </w:p>
    <w:p w14:paraId="5871DF53">
      <w:pPr>
        <w:pStyle w:val="71"/>
      </w:pPr>
      <w:r>
        <w:rPr>
          <w:rFonts w:hint="eastAsia"/>
        </w:rPr>
        <w:t>第三部分　合同主要条款</w:t>
      </w:r>
      <w:bookmarkEnd w:id="24"/>
      <w:bookmarkEnd w:id="25"/>
    </w:p>
    <w:p w14:paraId="23914DBE">
      <w:pPr>
        <w:pStyle w:val="72"/>
        <w:numPr>
          <w:ilvl w:val="0"/>
          <w:numId w:val="31"/>
        </w:numPr>
        <w:ind w:left="420"/>
      </w:pPr>
      <w:bookmarkStart w:id="26" w:name="_Toc47976610"/>
      <w:r>
        <w:rPr>
          <w:rFonts w:hint="eastAsia"/>
          <w:lang w:val="en-US" w:eastAsia="zh-CN"/>
        </w:rPr>
        <w:t>标的、数量、</w:t>
      </w:r>
      <w:r>
        <w:rPr>
          <w:rFonts w:hint="eastAsia"/>
        </w:rPr>
        <w:t>交货期</w:t>
      </w:r>
      <w:bookmarkEnd w:id="26"/>
    </w:p>
    <w:p w14:paraId="18603CA8">
      <w:pPr>
        <w:pStyle w:val="72"/>
      </w:pPr>
      <w:bookmarkStart w:id="27" w:name="_Toc47976611"/>
      <w:r>
        <w:rPr>
          <w:rFonts w:hint="eastAsia"/>
        </w:rPr>
        <w:t>交货地点</w:t>
      </w:r>
      <w:bookmarkEnd w:id="27"/>
    </w:p>
    <w:p w14:paraId="3F03A936">
      <w:pPr>
        <w:pStyle w:val="72"/>
      </w:pPr>
      <w:bookmarkStart w:id="28" w:name="_Toc47976612"/>
      <w:r>
        <w:rPr>
          <w:rFonts w:hint="eastAsia"/>
          <w:lang w:val="en-US" w:eastAsia="zh-CN"/>
        </w:rPr>
        <w:t>价款及</w:t>
      </w:r>
      <w:r>
        <w:rPr>
          <w:rFonts w:hint="eastAsia"/>
        </w:rPr>
        <w:t>付款方式</w:t>
      </w:r>
      <w:bookmarkEnd w:id="28"/>
    </w:p>
    <w:p w14:paraId="0A7F4E98">
      <w:pPr>
        <w:pStyle w:val="72"/>
      </w:pPr>
      <w:bookmarkStart w:id="29" w:name="_Toc47976613"/>
      <w:r>
        <w:rPr>
          <w:rFonts w:hint="eastAsia"/>
          <w:lang w:val="en-US" w:eastAsia="zh-CN"/>
        </w:rPr>
        <w:t>质量要求、</w:t>
      </w:r>
      <w:r>
        <w:rPr>
          <w:rFonts w:hint="eastAsia"/>
        </w:rPr>
        <w:t>保修期及售后服务</w:t>
      </w:r>
      <w:bookmarkEnd w:id="29"/>
    </w:p>
    <w:p w14:paraId="50F6C5C1">
      <w:pPr>
        <w:pStyle w:val="72"/>
      </w:pPr>
      <w:bookmarkStart w:id="30" w:name="_Toc47976614"/>
      <w:r>
        <w:rPr>
          <w:rFonts w:hint="eastAsia"/>
        </w:rPr>
        <w:t>安装、调试及验收要求</w:t>
      </w:r>
      <w:bookmarkEnd w:id="30"/>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1" w:name="_Toc47976615"/>
      <w:bookmarkStart w:id="32" w:name="_Toc5925"/>
      <w:r>
        <w:rPr>
          <w:rFonts w:hint="eastAsia"/>
        </w:rPr>
        <w:t>第四部分　</w:t>
      </w:r>
      <w:bookmarkEnd w:id="31"/>
      <w:r>
        <w:rPr>
          <w:rFonts w:hint="eastAsia"/>
          <w:lang w:val="en-US" w:eastAsia="zh-CN"/>
        </w:rPr>
        <w:t>投标文件附件</w:t>
      </w:r>
      <w:bookmarkEnd w:id="32"/>
    </w:p>
    <w:p w14:paraId="600DE1DD">
      <w:pPr>
        <w:pStyle w:val="71"/>
        <w:jc w:val="left"/>
        <w:rPr>
          <w:rFonts w:hint="eastAsia" w:ascii="宋体" w:hAnsi="宋体" w:eastAsia="宋体" w:cs="宋体"/>
          <w:sz w:val="32"/>
          <w:szCs w:val="32"/>
          <w:highlight w:val="yellow"/>
          <w:lang w:eastAsia="zh-CN"/>
        </w:rPr>
      </w:pPr>
      <w:bookmarkStart w:id="33" w:name="_Toc4225"/>
      <w:bookmarkStart w:id="34" w:name="_Toc47976616"/>
      <w:r>
        <w:rPr>
          <w:rFonts w:hint="eastAsia" w:ascii="宋体" w:hAnsi="宋体" w:eastAsia="宋体" w:cs="宋体"/>
          <w:sz w:val="32"/>
          <w:szCs w:val="32"/>
          <w:highlight w:val="yellow"/>
        </w:rPr>
        <w:t>附件</w:t>
      </w:r>
      <w:bookmarkEnd w:id="33"/>
      <w:bookmarkEnd w:id="3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5" w:name="_Toc47976618"/>
      <w:bookmarkStart w:id="36" w:name="_Toc29366865"/>
      <w:bookmarkStart w:id="37" w:name="_Toc29366869"/>
      <w:r>
        <w:rPr>
          <w:rFonts w:hint="eastAsia" w:ascii="宋体" w:hAnsi="宋体" w:eastAsia="宋体" w:cs="宋体"/>
          <w:sz w:val="32"/>
          <w:szCs w:val="32"/>
          <w:highlight w:val="yellow"/>
          <w:lang w:val="en-US" w:eastAsia="zh-CN"/>
        </w:rPr>
        <w:t>附件2</w:t>
      </w:r>
    </w:p>
    <w:bookmarkEnd w:id="3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6"/>
    <w:bookmarkEnd w:id="3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4D737B95">
      <w:pPr>
        <w:rPr>
          <w:rFonts w:hint="default" w:hAnsi="宋体"/>
          <w:sz w:val="24"/>
          <w:lang w:val="en-US"/>
        </w:rPr>
      </w:pPr>
      <w:r>
        <w:rPr>
          <w:rFonts w:hint="default" w:hAnsi="宋体"/>
          <w:sz w:val="24"/>
          <w:lang w:val="en-US"/>
        </w:rPr>
        <w:br w:type="page"/>
      </w: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2042BB16">
      <w:pPr>
        <w:pStyle w:val="76"/>
        <w:rPr>
          <w:rFonts w:hint="default" w:hAnsi="宋体"/>
          <w:sz w:val="24"/>
          <w:lang w:val="en-US"/>
        </w:rPr>
      </w:pPr>
    </w:p>
    <w:p w14:paraId="0424FD4C">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6F719E5"/>
    <w:multiLevelType w:val="singleLevel"/>
    <w:tmpl w:val="E6F719E5"/>
    <w:lvl w:ilvl="0" w:tentative="0">
      <w:start w:val="1"/>
      <w:numFmt w:val="chineseCounting"/>
      <w:suff w:val="nothing"/>
      <w:lvlText w:val="（%1）"/>
      <w:lvlJc w:val="left"/>
      <w:pPr>
        <w:ind w:left="0" w:firstLine="420"/>
      </w:pPr>
      <w:rPr>
        <w:rFonts w:hint="eastAsia"/>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4BF98CE"/>
    <w:multiLevelType w:val="singleLevel"/>
    <w:tmpl w:val="04BF98CE"/>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265E1EC"/>
    <w:multiLevelType w:val="singleLevel"/>
    <w:tmpl w:val="3265E1EC"/>
    <w:lvl w:ilvl="0" w:tentative="0">
      <w:start w:val="1"/>
      <w:numFmt w:val="decimal"/>
      <w:lvlText w:val="(%1)"/>
      <w:lvlJc w:val="left"/>
      <w:pPr>
        <w:ind w:left="425" w:hanging="425"/>
      </w:pPr>
      <w:rPr>
        <w:rFonts w:hint="default"/>
        <w:b w:val="0"/>
        <w:bCs w:val="0"/>
        <w:color w:val="auto"/>
        <w:highlight w:val="yellow"/>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4"/>
  </w:num>
  <w:num w:numId="6">
    <w:abstractNumId w:val="16"/>
  </w:num>
  <w:num w:numId="7">
    <w:abstractNumId w:val="17"/>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7"/>
  </w:num>
  <w:num w:numId="19">
    <w:abstractNumId w:val="18"/>
  </w:num>
  <w:num w:numId="20">
    <w:abstractNumId w:val="9"/>
  </w:num>
  <w:num w:numId="21">
    <w:abstractNumId w:val="8"/>
  </w:num>
  <w:num w:numId="22">
    <w:abstractNumId w:val="4"/>
  </w:num>
  <w:num w:numId="23">
    <w:abstractNumId w:val="1"/>
  </w:num>
  <w:num w:numId="24">
    <w:abstractNumId w:val="6"/>
  </w:num>
  <w:num w:numId="25">
    <w:abstractNumId w:val="12"/>
  </w:num>
  <w:num w:numId="26">
    <w:abstractNumId w:val="10"/>
  </w:num>
  <w:num w:numId="27">
    <w:abstractNumId w:val="20"/>
  </w:num>
  <w:num w:numId="28">
    <w:abstractNumId w:val="13"/>
  </w:num>
  <w:num w:numId="29">
    <w:abstractNumId w:val="19"/>
  </w:num>
  <w:num w:numId="30">
    <w:abstractNumId w:val="1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1FDD6E3D"/>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584B22"/>
    <w:rsid w:val="48C97955"/>
    <w:rsid w:val="49880C8F"/>
    <w:rsid w:val="49FA5194"/>
    <w:rsid w:val="4A8835F7"/>
    <w:rsid w:val="4B592E71"/>
    <w:rsid w:val="51181DC1"/>
    <w:rsid w:val="51D50FD0"/>
    <w:rsid w:val="52274B10"/>
    <w:rsid w:val="52B9239A"/>
    <w:rsid w:val="54BD78FD"/>
    <w:rsid w:val="565D2FC0"/>
    <w:rsid w:val="58A86DDE"/>
    <w:rsid w:val="59154AD7"/>
    <w:rsid w:val="5ADF548D"/>
    <w:rsid w:val="5D5C60B4"/>
    <w:rsid w:val="63F04A69"/>
    <w:rsid w:val="64654A97"/>
    <w:rsid w:val="651A646A"/>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4317</Words>
  <Characters>4469</Characters>
  <Lines>127</Lines>
  <Paragraphs>35</Paragraphs>
  <TotalTime>3</TotalTime>
  <ScaleCrop>false</ScaleCrop>
  <LinksUpToDate>false</LinksUpToDate>
  <CharactersWithSpaces>4652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2025-12-16T08:24:34Z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