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4B686">
      <w:pPr>
        <w:ind w:right="280"/>
        <w:jc w:val="center"/>
        <w:rPr>
          <w:rFonts w:hint="default" w:ascii="宋体" w:hAnsi="宋体" w:eastAsia="宋体"/>
          <w:b/>
          <w:bCs/>
          <w:sz w:val="48"/>
          <w:szCs w:val="48"/>
          <w:lang w:val="en-US" w:eastAsia="zh-CN"/>
        </w:rPr>
      </w:pPr>
      <w:r>
        <w:rPr>
          <w:rFonts w:hint="eastAsia" w:ascii="宋体" w:hAnsi="宋体"/>
          <w:b/>
          <w:bCs/>
          <w:sz w:val="48"/>
          <w:szCs w:val="48"/>
          <w:lang w:val="en-US" w:eastAsia="zh-CN"/>
        </w:rPr>
        <w:t>中国重汽集团济宁商用车有限公司</w:t>
      </w:r>
    </w:p>
    <w:p w14:paraId="0AB2AA21">
      <w:pPr>
        <w:ind w:right="280"/>
        <w:jc w:val="center"/>
        <w:rPr>
          <w:rFonts w:hint="default" w:ascii="宋体" w:hAnsi="宋体" w:eastAsia="宋体"/>
          <w:b/>
          <w:bCs/>
          <w:sz w:val="48"/>
          <w:szCs w:val="48"/>
          <w:lang w:val="en-US" w:eastAsia="zh-CN"/>
        </w:rPr>
      </w:pPr>
      <w:r>
        <w:rPr>
          <w:rFonts w:hint="eastAsia" w:ascii="宋体" w:hAnsi="宋体"/>
          <w:b/>
          <w:bCs/>
          <w:sz w:val="48"/>
          <w:szCs w:val="48"/>
          <w:lang w:val="en-US" w:eastAsia="zh-CN"/>
        </w:rPr>
        <w:t>危废处置服务项目</w:t>
      </w:r>
    </w:p>
    <w:p w14:paraId="3FFC100E">
      <w:pPr>
        <w:jc w:val="right"/>
        <w:rPr>
          <w:rFonts w:hint="eastAsia"/>
          <w:sz w:val="28"/>
          <w:szCs w:val="28"/>
        </w:rPr>
      </w:pPr>
    </w:p>
    <w:p w14:paraId="53742E29">
      <w:pPr>
        <w:jc w:val="center"/>
        <w:rPr>
          <w:rFonts w:hint="eastAsia" w:ascii="黑体" w:hAnsi="宋体" w:eastAsia="黑体"/>
          <w:sz w:val="84"/>
          <w:szCs w:val="84"/>
        </w:rPr>
      </w:pPr>
      <w:r>
        <w:rPr>
          <w:rFonts w:hint="eastAsia" w:ascii="黑体" w:hAnsi="宋体" w:eastAsia="黑体"/>
          <w:sz w:val="84"/>
          <w:szCs w:val="84"/>
        </w:rPr>
        <w:t>招</w:t>
      </w:r>
    </w:p>
    <w:p w14:paraId="35CB111F">
      <w:pPr>
        <w:jc w:val="center"/>
        <w:rPr>
          <w:rFonts w:hint="eastAsia" w:ascii="黑体" w:hAnsi="宋体" w:eastAsia="黑体"/>
          <w:sz w:val="84"/>
          <w:szCs w:val="84"/>
        </w:rPr>
      </w:pPr>
    </w:p>
    <w:p w14:paraId="30BAB509">
      <w:pPr>
        <w:jc w:val="center"/>
        <w:rPr>
          <w:rFonts w:hint="eastAsia" w:ascii="黑体" w:hAnsi="宋体" w:eastAsia="黑体"/>
          <w:sz w:val="84"/>
          <w:szCs w:val="84"/>
        </w:rPr>
      </w:pPr>
      <w:r>
        <w:rPr>
          <w:rFonts w:hint="eastAsia" w:ascii="黑体" w:hAnsi="宋体" w:eastAsia="黑体"/>
          <w:sz w:val="84"/>
          <w:szCs w:val="84"/>
        </w:rPr>
        <w:t>标</w:t>
      </w:r>
    </w:p>
    <w:p w14:paraId="02BFDC44">
      <w:pPr>
        <w:jc w:val="center"/>
        <w:rPr>
          <w:rFonts w:hint="eastAsia" w:ascii="黑体" w:hAnsi="宋体" w:eastAsia="黑体"/>
          <w:sz w:val="84"/>
          <w:szCs w:val="84"/>
        </w:rPr>
      </w:pPr>
    </w:p>
    <w:p w14:paraId="0BD9C1F5">
      <w:pPr>
        <w:jc w:val="center"/>
        <w:rPr>
          <w:rFonts w:hint="eastAsia" w:ascii="宋体" w:hAnsi="宋体"/>
          <w:sz w:val="72"/>
          <w:szCs w:val="72"/>
        </w:rPr>
      </w:pPr>
      <w:r>
        <w:rPr>
          <w:rFonts w:hint="eastAsia" w:ascii="黑体" w:hAnsi="宋体" w:eastAsia="黑体"/>
          <w:sz w:val="84"/>
          <w:szCs w:val="84"/>
        </w:rPr>
        <w:t>书</w:t>
      </w:r>
    </w:p>
    <w:p w14:paraId="20C2D6DD">
      <w:pPr>
        <w:jc w:val="center"/>
        <w:rPr>
          <w:rFonts w:hint="eastAsia" w:ascii="宋体" w:hAnsi="宋体"/>
          <w:sz w:val="48"/>
          <w:szCs w:val="48"/>
        </w:rPr>
      </w:pPr>
    </w:p>
    <w:p w14:paraId="3421E302">
      <w:pPr>
        <w:jc w:val="center"/>
        <w:rPr>
          <w:rFonts w:hint="eastAsia" w:ascii="宋体" w:hAnsi="宋体"/>
          <w:sz w:val="28"/>
          <w:szCs w:val="28"/>
        </w:rPr>
      </w:pPr>
    </w:p>
    <w:p w14:paraId="2110DF0A">
      <w:pPr>
        <w:jc w:val="center"/>
        <w:rPr>
          <w:rFonts w:hint="default" w:ascii="宋体" w:hAnsi="宋体" w:eastAsia="宋体"/>
          <w:sz w:val="28"/>
          <w:szCs w:val="28"/>
          <w:lang w:val="en-US" w:eastAsia="zh-CN"/>
        </w:rPr>
      </w:pPr>
      <w:r>
        <w:rPr>
          <w:rFonts w:hint="eastAsia" w:ascii="宋体" w:hAnsi="宋体"/>
          <w:sz w:val="28"/>
          <w:szCs w:val="28"/>
        </w:rPr>
        <w:t>招 标 人：中</w:t>
      </w:r>
      <w:r>
        <w:rPr>
          <w:rFonts w:hint="eastAsia" w:ascii="宋体" w:hAnsi="宋体"/>
          <w:sz w:val="28"/>
          <w:szCs w:val="28"/>
          <w:lang w:val="en-US" w:eastAsia="zh-CN"/>
        </w:rPr>
        <w:t>国重汽集团济宁商用车有限公司</w:t>
      </w:r>
    </w:p>
    <w:p w14:paraId="728F0A67">
      <w:pPr>
        <w:jc w:val="center"/>
        <w:rPr>
          <w:rFonts w:hint="eastAsia" w:ascii="宋体" w:hAnsi="宋体"/>
          <w:sz w:val="28"/>
          <w:szCs w:val="28"/>
          <w:u w:val="single"/>
        </w:rPr>
      </w:pPr>
      <w:r>
        <w:rPr>
          <w:rFonts w:hint="eastAsia" w:ascii="宋体" w:hAnsi="宋体"/>
          <w:sz w:val="28"/>
          <w:szCs w:val="28"/>
          <w:u w:val="single"/>
        </w:rPr>
        <w:t xml:space="preserve"> 2025年</w:t>
      </w:r>
      <w:r>
        <w:rPr>
          <w:rFonts w:hint="eastAsia" w:ascii="宋体" w:hAnsi="宋体"/>
          <w:sz w:val="28"/>
          <w:szCs w:val="28"/>
          <w:u w:val="single"/>
          <w:lang w:val="en-US" w:eastAsia="zh-CN"/>
        </w:rPr>
        <w:t>8</w:t>
      </w:r>
      <w:r>
        <w:rPr>
          <w:rFonts w:hint="eastAsia" w:ascii="宋体" w:hAnsi="宋体"/>
          <w:sz w:val="28"/>
          <w:szCs w:val="28"/>
          <w:u w:val="single"/>
        </w:rPr>
        <w:t xml:space="preserve">月 </w:t>
      </w:r>
    </w:p>
    <w:p w14:paraId="55D029D2">
      <w:pPr>
        <w:spacing w:line="480" w:lineRule="auto"/>
        <w:jc w:val="center"/>
        <w:rPr>
          <w:rFonts w:hint="eastAsia" w:ascii="宋体" w:hAnsi="宋体"/>
          <w:b/>
          <w:bCs/>
          <w:sz w:val="48"/>
          <w:szCs w:val="48"/>
        </w:rPr>
      </w:pPr>
    </w:p>
    <w:p w14:paraId="557207B9">
      <w:pPr>
        <w:spacing w:line="480" w:lineRule="auto"/>
        <w:jc w:val="center"/>
        <w:rPr>
          <w:rFonts w:hint="eastAsia" w:ascii="宋体" w:hAnsi="宋体"/>
          <w:b/>
          <w:bCs/>
          <w:sz w:val="48"/>
          <w:szCs w:val="48"/>
        </w:rPr>
      </w:pPr>
    </w:p>
    <w:p w14:paraId="6D833E48">
      <w:pPr>
        <w:spacing w:line="480" w:lineRule="auto"/>
        <w:jc w:val="center"/>
        <w:rPr>
          <w:rFonts w:hint="eastAsia" w:ascii="宋体" w:hAnsi="宋体"/>
          <w:b/>
          <w:bCs/>
          <w:sz w:val="48"/>
          <w:szCs w:val="48"/>
        </w:rPr>
      </w:pPr>
    </w:p>
    <w:p w14:paraId="23B086E1">
      <w:pPr>
        <w:spacing w:line="480" w:lineRule="auto"/>
        <w:jc w:val="center"/>
        <w:rPr>
          <w:rFonts w:hint="eastAsia" w:ascii="宋体" w:hAnsi="宋体"/>
          <w:b/>
          <w:bCs/>
          <w:sz w:val="48"/>
          <w:szCs w:val="48"/>
        </w:rPr>
      </w:pPr>
    </w:p>
    <w:p w14:paraId="18DB21D2">
      <w:pPr>
        <w:spacing w:line="480" w:lineRule="auto"/>
        <w:jc w:val="both"/>
        <w:rPr>
          <w:rFonts w:hint="eastAsia" w:ascii="宋体" w:hAnsi="宋体"/>
          <w:b/>
          <w:bCs/>
          <w:sz w:val="48"/>
          <w:szCs w:val="48"/>
        </w:rPr>
      </w:pPr>
    </w:p>
    <w:p w14:paraId="4386B5C1">
      <w:pPr>
        <w:spacing w:line="480" w:lineRule="auto"/>
        <w:jc w:val="center"/>
        <w:rPr>
          <w:rFonts w:hint="eastAsia" w:ascii="宋体" w:hAnsi="宋体"/>
          <w:b/>
          <w:bCs/>
          <w:sz w:val="48"/>
          <w:szCs w:val="48"/>
        </w:rPr>
      </w:pPr>
      <w:r>
        <w:rPr>
          <w:rFonts w:ascii="宋体" w:hAnsi="宋体"/>
          <w:b/>
          <w:bCs/>
          <w:sz w:val="48"/>
          <w:szCs w:val="48"/>
        </w:rPr>
        <w:t>目   录</w:t>
      </w:r>
    </w:p>
    <w:p w14:paraId="1F607901">
      <w:pPr>
        <w:tabs>
          <w:tab w:val="left" w:pos="3240"/>
        </w:tabs>
        <w:spacing w:line="480" w:lineRule="auto"/>
        <w:rPr>
          <w:rFonts w:hint="eastAsia" w:ascii="宋体" w:hAnsi="宋体"/>
          <w:b/>
          <w:bCs/>
          <w:sz w:val="24"/>
        </w:rPr>
      </w:pPr>
      <w:r>
        <w:rPr>
          <w:rFonts w:ascii="宋体" w:hAnsi="宋体"/>
          <w:b/>
          <w:bCs/>
          <w:sz w:val="24"/>
        </w:rPr>
        <w:tab/>
      </w:r>
    </w:p>
    <w:p w14:paraId="2F98D07C">
      <w:pPr>
        <w:pStyle w:val="6"/>
        <w:spacing w:before="624" w:beforeLines="200" w:after="624" w:afterLines="200"/>
        <w:rPr>
          <w:rFonts w:hint="eastAsia" w:ascii="Calibri" w:hAnsi="Calibri"/>
          <w:b w:val="0"/>
          <w:caps w:val="0"/>
          <w:sz w:val="21"/>
          <w:szCs w:val="22"/>
          <w:lang w:eastAsia="zh-CN"/>
        </w:rPr>
      </w:pPr>
      <w:r>
        <w:rPr>
          <w:lang w:val="en-US"/>
        </w:rPr>
        <w:fldChar w:fldCharType="begin"/>
      </w:r>
      <w:r>
        <w:instrText xml:space="preserve"> TOC \o "1-3" \h \z \u </w:instrText>
      </w:r>
      <w:r>
        <w:rPr>
          <w:lang w:val="en-US"/>
        </w:rPr>
        <w:fldChar w:fldCharType="separate"/>
      </w:r>
      <w:r>
        <w:fldChar w:fldCharType="begin"/>
      </w:r>
      <w:r>
        <w:instrText xml:space="preserve"> HYPERLINK \l "_Toc35956342" </w:instrText>
      </w:r>
      <w:r>
        <w:fldChar w:fldCharType="separate"/>
      </w:r>
      <w:r>
        <w:rPr>
          <w:rStyle w:val="10"/>
          <w:rFonts w:ascii="黑体" w:eastAsia="黑体"/>
          <w:bCs/>
          <w:color w:val="auto"/>
        </w:rPr>
        <w:t>第一章  招标公告</w:t>
      </w:r>
      <w:r>
        <w:tab/>
      </w:r>
      <w:r>
        <w:fldChar w:fldCharType="end"/>
      </w:r>
    </w:p>
    <w:p w14:paraId="2C50734B">
      <w:pPr>
        <w:pStyle w:val="6"/>
        <w:spacing w:before="624" w:beforeLines="200" w:after="624" w:afterLines="200"/>
        <w:rPr>
          <w:rFonts w:ascii="Calibri" w:hAnsi="Calibri"/>
          <w:b w:val="0"/>
          <w:caps w:val="0"/>
          <w:sz w:val="21"/>
          <w:szCs w:val="22"/>
        </w:rPr>
      </w:pPr>
      <w:r>
        <w:fldChar w:fldCharType="begin"/>
      </w:r>
      <w:r>
        <w:instrText xml:space="preserve"> HYPERLINK \l "_Toc35956343" </w:instrText>
      </w:r>
      <w:r>
        <w:fldChar w:fldCharType="separate"/>
      </w:r>
      <w:r>
        <w:rPr>
          <w:rStyle w:val="10"/>
          <w:rFonts w:ascii="黑体" w:eastAsia="黑体"/>
          <w:bCs/>
          <w:color w:val="auto"/>
        </w:rPr>
        <w:t>第二章  投标人须知</w:t>
      </w:r>
      <w:r>
        <w:tab/>
      </w:r>
      <w:r>
        <w:fldChar w:fldCharType="end"/>
      </w:r>
    </w:p>
    <w:p w14:paraId="230C50C6">
      <w:pPr>
        <w:pStyle w:val="6"/>
        <w:spacing w:before="624" w:beforeLines="200" w:after="624" w:afterLines="200"/>
        <w:rPr>
          <w:rFonts w:ascii="Calibri" w:hAnsi="Calibri"/>
          <w:b w:val="0"/>
          <w:caps w:val="0"/>
          <w:sz w:val="21"/>
          <w:szCs w:val="22"/>
        </w:rPr>
      </w:pPr>
      <w:r>
        <w:fldChar w:fldCharType="begin"/>
      </w:r>
      <w:r>
        <w:instrText xml:space="preserve"> HYPERLINK \l "_Toc35956344" </w:instrText>
      </w:r>
      <w:r>
        <w:fldChar w:fldCharType="separate"/>
      </w:r>
      <w:r>
        <w:rPr>
          <w:rStyle w:val="10"/>
          <w:rFonts w:eastAsia="黑体"/>
          <w:bCs/>
          <w:color w:val="auto"/>
        </w:rPr>
        <w:t>第三章  投标文件编制</w:t>
      </w:r>
      <w:r>
        <w:tab/>
      </w:r>
      <w:r>
        <w:fldChar w:fldCharType="end"/>
      </w:r>
    </w:p>
    <w:p w14:paraId="69CC300C">
      <w:pPr>
        <w:spacing w:before="624" w:beforeLines="200" w:after="624" w:afterLines="200" w:line="480" w:lineRule="auto"/>
        <w:rPr>
          <w:b/>
          <w:bCs/>
          <w:lang w:val="zh-CN"/>
        </w:rPr>
      </w:pPr>
      <w:r>
        <w:rPr>
          <w:b/>
          <w:bCs/>
          <w:lang w:val="zh-CN"/>
        </w:rPr>
        <w:fldChar w:fldCharType="end"/>
      </w:r>
    </w:p>
    <w:p w14:paraId="0EF62A11">
      <w:pPr>
        <w:spacing w:before="624" w:beforeLines="200" w:after="624" w:afterLines="200" w:line="480" w:lineRule="auto"/>
        <w:rPr>
          <w:b/>
          <w:bCs/>
          <w:lang w:val="zh-CN"/>
        </w:rPr>
      </w:pPr>
    </w:p>
    <w:p w14:paraId="20D89E58">
      <w:pPr>
        <w:spacing w:before="624" w:beforeLines="200" w:after="624" w:afterLines="200" w:line="480" w:lineRule="auto"/>
        <w:rPr>
          <w:rFonts w:hint="eastAsia"/>
          <w:b/>
          <w:bCs/>
          <w:lang w:val="zh-CN"/>
        </w:rPr>
      </w:pPr>
    </w:p>
    <w:p w14:paraId="5ABA4FA1">
      <w:pPr>
        <w:pStyle w:val="2"/>
        <w:spacing w:line="360" w:lineRule="auto"/>
        <w:jc w:val="center"/>
        <w:rPr>
          <w:rFonts w:hint="eastAsia"/>
        </w:rPr>
      </w:pPr>
    </w:p>
    <w:p w14:paraId="7408E1AE">
      <w:pPr>
        <w:pStyle w:val="2"/>
        <w:tabs>
          <w:tab w:val="left" w:pos="2940"/>
        </w:tabs>
        <w:spacing w:line="360" w:lineRule="auto"/>
        <w:rPr>
          <w:rFonts w:hint="eastAsia"/>
        </w:rPr>
      </w:pPr>
      <w:r>
        <w:tab/>
      </w:r>
    </w:p>
    <w:p w14:paraId="058C53DE">
      <w:pPr>
        <w:spacing w:line="480" w:lineRule="auto"/>
        <w:jc w:val="center"/>
        <w:rPr>
          <w:rFonts w:hint="eastAsia" w:ascii="宋体" w:hAnsi="宋体"/>
          <w:b/>
          <w:bCs/>
          <w:sz w:val="48"/>
          <w:szCs w:val="48"/>
        </w:rPr>
      </w:pPr>
    </w:p>
    <w:p w14:paraId="33D1CF90">
      <w:pPr>
        <w:spacing w:line="480" w:lineRule="auto"/>
        <w:jc w:val="center"/>
        <w:rPr>
          <w:rFonts w:hint="eastAsia" w:ascii="宋体" w:hAnsi="宋体"/>
          <w:b/>
          <w:bCs/>
          <w:sz w:val="48"/>
          <w:szCs w:val="48"/>
        </w:rPr>
      </w:pPr>
    </w:p>
    <w:p w14:paraId="08C18027">
      <w:pPr>
        <w:spacing w:line="480" w:lineRule="auto"/>
        <w:jc w:val="center"/>
        <w:rPr>
          <w:rFonts w:hint="eastAsia" w:ascii="宋体" w:hAnsi="宋体"/>
          <w:b/>
          <w:bCs/>
          <w:sz w:val="48"/>
          <w:szCs w:val="48"/>
        </w:rPr>
      </w:pPr>
    </w:p>
    <w:p w14:paraId="56FB0DC1">
      <w:pPr>
        <w:spacing w:line="480" w:lineRule="auto"/>
        <w:jc w:val="center"/>
        <w:rPr>
          <w:rFonts w:hint="eastAsia" w:ascii="宋体" w:hAnsi="宋体"/>
          <w:b/>
          <w:bCs/>
          <w:sz w:val="48"/>
          <w:szCs w:val="48"/>
        </w:rPr>
      </w:pPr>
    </w:p>
    <w:p w14:paraId="2BD51D6B">
      <w:pPr>
        <w:spacing w:line="480" w:lineRule="auto"/>
        <w:jc w:val="center"/>
        <w:rPr>
          <w:rFonts w:hint="eastAsia" w:ascii="宋体" w:hAnsi="宋体"/>
          <w:b/>
          <w:bCs/>
          <w:sz w:val="48"/>
          <w:szCs w:val="48"/>
        </w:rPr>
      </w:pPr>
    </w:p>
    <w:p w14:paraId="71D8A340">
      <w:pPr>
        <w:spacing w:line="480" w:lineRule="auto"/>
        <w:jc w:val="center"/>
        <w:rPr>
          <w:rFonts w:hint="eastAsia" w:ascii="宋体" w:hAnsi="宋体"/>
          <w:b/>
          <w:bCs/>
          <w:sz w:val="48"/>
          <w:szCs w:val="48"/>
        </w:rPr>
      </w:pPr>
    </w:p>
    <w:p w14:paraId="4CCC14D8">
      <w:pPr>
        <w:spacing w:line="480" w:lineRule="auto"/>
        <w:jc w:val="center"/>
        <w:rPr>
          <w:rFonts w:hint="eastAsia" w:ascii="宋体" w:hAnsi="宋体"/>
          <w:b/>
          <w:bCs/>
          <w:sz w:val="48"/>
          <w:szCs w:val="48"/>
        </w:rPr>
      </w:pPr>
    </w:p>
    <w:p w14:paraId="641DEF91">
      <w:pPr>
        <w:spacing w:line="480" w:lineRule="auto"/>
        <w:jc w:val="center"/>
        <w:rPr>
          <w:rFonts w:hint="eastAsia" w:ascii="宋体" w:hAnsi="宋体"/>
          <w:b/>
          <w:bCs/>
          <w:sz w:val="48"/>
          <w:szCs w:val="48"/>
        </w:rPr>
      </w:pPr>
    </w:p>
    <w:p w14:paraId="30739882">
      <w:pPr>
        <w:spacing w:line="480" w:lineRule="auto"/>
        <w:jc w:val="center"/>
        <w:rPr>
          <w:rFonts w:hint="eastAsia" w:ascii="宋体" w:hAnsi="宋体"/>
          <w:b/>
          <w:bCs/>
          <w:sz w:val="48"/>
          <w:szCs w:val="48"/>
        </w:rPr>
      </w:pPr>
    </w:p>
    <w:p w14:paraId="44419EAD">
      <w:pPr>
        <w:pStyle w:val="2"/>
        <w:spacing w:line="360" w:lineRule="auto"/>
        <w:jc w:val="center"/>
        <w:rPr>
          <w:rFonts w:hint="eastAsia" w:ascii="黑体" w:eastAsia="黑体"/>
          <w:b/>
          <w:bCs/>
          <w:sz w:val="36"/>
          <w:szCs w:val="36"/>
        </w:rPr>
      </w:pPr>
      <w:r>
        <w:rPr>
          <w:rFonts w:hint="eastAsia" w:ascii="黑体" w:eastAsia="黑体"/>
          <w:b/>
          <w:bCs/>
          <w:sz w:val="36"/>
          <w:szCs w:val="36"/>
        </w:rPr>
        <w:t>第一章  招标公告</w:t>
      </w:r>
    </w:p>
    <w:p w14:paraId="6C2107AC">
      <w:pPr>
        <w:pStyle w:val="2"/>
        <w:spacing w:line="360" w:lineRule="auto"/>
        <w:rPr>
          <w:rFonts w:hint="eastAsia" w:ascii="黑体" w:eastAsia="黑体"/>
          <w:b/>
          <w:bCs/>
          <w:sz w:val="28"/>
        </w:rPr>
      </w:pPr>
      <w:r>
        <w:rPr>
          <w:rFonts w:hint="eastAsia" w:ascii="黑体" w:eastAsia="黑体"/>
          <w:b/>
          <w:bCs/>
          <w:sz w:val="28"/>
        </w:rPr>
        <w:t>一、项目名称</w:t>
      </w:r>
    </w:p>
    <w:p w14:paraId="1B97DE50">
      <w:pPr>
        <w:pStyle w:val="2"/>
        <w:spacing w:line="360" w:lineRule="auto"/>
        <w:ind w:firstLine="420" w:firstLineChars="200"/>
        <w:rPr>
          <w:rFonts w:hint="default" w:eastAsia="宋体"/>
          <w:lang w:val="en-US" w:eastAsia="zh-CN"/>
        </w:rPr>
      </w:pPr>
      <w:r>
        <w:rPr>
          <w:rFonts w:hint="eastAsia"/>
        </w:rPr>
        <w:t>项目名称：</w:t>
      </w:r>
      <w:bookmarkStart w:id="0" w:name="OLE_LINK1"/>
      <w:r>
        <w:rPr>
          <w:rFonts w:hint="eastAsia"/>
          <w:lang w:val="en-US" w:eastAsia="zh-CN"/>
        </w:rPr>
        <w:t>中国重汽济宁商用车有限公司危废处置服务项目</w:t>
      </w:r>
    </w:p>
    <w:p w14:paraId="2547F962">
      <w:pPr>
        <w:pStyle w:val="2"/>
        <w:spacing w:line="360" w:lineRule="auto"/>
        <w:ind w:firstLine="422" w:firstLineChars="200"/>
        <w:rPr>
          <w:rFonts w:hint="eastAsia"/>
        </w:rPr>
      </w:pPr>
      <w:r>
        <w:rPr>
          <w:rFonts w:hint="eastAsia" w:ascii="黑体" w:hAnsi="黑体" w:eastAsia="黑体"/>
          <w:b/>
          <w:bCs/>
          <w:shd w:val="clear" w:color="auto" w:fill="FFFFFF"/>
        </w:rPr>
        <w:t>项目编号：</w:t>
      </w:r>
      <w:r>
        <w:rPr>
          <w:rFonts w:hint="eastAsia"/>
        </w:rPr>
        <w:t xml:space="preserve">CGZX2025080161    </w:t>
      </w:r>
    </w:p>
    <w:bookmarkEnd w:id="0"/>
    <w:p w14:paraId="7D1A5F56">
      <w:pPr>
        <w:pStyle w:val="2"/>
        <w:spacing w:line="360" w:lineRule="auto"/>
        <w:rPr>
          <w:rFonts w:hint="eastAsia" w:ascii="黑体" w:eastAsia="黑体"/>
          <w:b/>
          <w:bCs/>
          <w:sz w:val="28"/>
        </w:rPr>
      </w:pPr>
      <w:r>
        <w:rPr>
          <w:rFonts w:hint="eastAsia" w:ascii="黑体" w:eastAsia="黑体"/>
          <w:b/>
          <w:bCs/>
          <w:sz w:val="28"/>
        </w:rPr>
        <w:t>二、招标内容</w:t>
      </w:r>
    </w:p>
    <w:p w14:paraId="46FCE0CF">
      <w:pPr>
        <w:pStyle w:val="2"/>
        <w:spacing w:line="360" w:lineRule="auto"/>
        <w:ind w:firstLine="525" w:firstLineChars="250"/>
        <w:jc w:val="left"/>
        <w:rPr>
          <w:rFonts w:hint="eastAsia"/>
        </w:rPr>
      </w:pPr>
      <w:r>
        <w:rPr>
          <w:rFonts w:hint="eastAsia"/>
        </w:rPr>
        <w:t>招标内容：济宁商用车有限公司产生的危险废物</w:t>
      </w:r>
      <w:r>
        <w:rPr>
          <w:rFonts w:hint="eastAsia"/>
          <w:lang w:eastAsia="zh-CN"/>
        </w:rPr>
        <w:t>（</w:t>
      </w:r>
      <w:r>
        <w:rPr>
          <w:rFonts w:hint="eastAsia"/>
          <w:lang w:val="en-US" w:eastAsia="zh-CN"/>
        </w:rPr>
        <w:t>污泥、磷化渣、漆渣、废包装物及沾染物</w:t>
      </w:r>
      <w:r>
        <w:rPr>
          <w:rFonts w:hint="eastAsia"/>
          <w:lang w:eastAsia="zh-CN"/>
        </w:rPr>
        <w:t>）</w:t>
      </w:r>
      <w:r>
        <w:rPr>
          <w:rFonts w:hint="eastAsia"/>
        </w:rPr>
        <w:t>（HW</w:t>
      </w:r>
      <w:r>
        <w:rPr>
          <w:rFonts w:hint="eastAsia"/>
          <w:lang w:val="en-US" w:eastAsia="zh-CN"/>
        </w:rPr>
        <w:t>17</w:t>
      </w:r>
      <w:r>
        <w:rPr>
          <w:rFonts w:hint="eastAsia"/>
        </w:rPr>
        <w:t>\HW</w:t>
      </w:r>
      <w:r>
        <w:rPr>
          <w:rFonts w:hint="eastAsia"/>
          <w:lang w:val="en-US" w:eastAsia="zh-CN"/>
        </w:rPr>
        <w:t>12</w:t>
      </w:r>
      <w:r>
        <w:rPr>
          <w:rFonts w:hint="eastAsia"/>
        </w:rPr>
        <w:t>\HW</w:t>
      </w:r>
      <w:r>
        <w:rPr>
          <w:rFonts w:hint="eastAsia"/>
          <w:lang w:val="en-US" w:eastAsia="zh-CN"/>
        </w:rPr>
        <w:t>49</w:t>
      </w:r>
      <w:r>
        <w:rPr>
          <w:rFonts w:hint="eastAsia"/>
        </w:rPr>
        <w:t>）。</w:t>
      </w:r>
    </w:p>
    <w:p w14:paraId="493B2FF4">
      <w:pPr>
        <w:pStyle w:val="2"/>
        <w:spacing w:line="360" w:lineRule="auto"/>
        <w:rPr>
          <w:rFonts w:hint="eastAsia" w:ascii="黑体" w:eastAsia="黑体"/>
          <w:b/>
          <w:bCs/>
          <w:sz w:val="28"/>
        </w:rPr>
      </w:pPr>
      <w:r>
        <w:rPr>
          <w:rFonts w:hint="eastAsia" w:ascii="黑体" w:eastAsia="黑体"/>
          <w:b/>
          <w:bCs/>
          <w:sz w:val="28"/>
        </w:rPr>
        <w:t>三、招标形式</w:t>
      </w:r>
    </w:p>
    <w:p w14:paraId="50AAC81D">
      <w:pPr>
        <w:pStyle w:val="2"/>
        <w:spacing w:line="360" w:lineRule="auto"/>
        <w:ind w:firstLine="420" w:firstLineChars="200"/>
        <w:rPr>
          <w:rFonts w:hint="default" w:eastAsia="宋体"/>
          <w:lang w:val="en-US" w:eastAsia="zh-CN"/>
        </w:rPr>
      </w:pPr>
      <w:r>
        <w:rPr>
          <w:rFonts w:hint="eastAsia"/>
        </w:rPr>
        <w:t xml:space="preserve"> </w:t>
      </w:r>
      <w:r>
        <w:rPr>
          <w:rFonts w:hint="eastAsia"/>
          <w:lang w:val="en-US" w:eastAsia="zh-CN"/>
        </w:rPr>
        <w:t>单一来源采购（海螺环保科技有限责任公司）</w:t>
      </w:r>
    </w:p>
    <w:p w14:paraId="7710E134">
      <w:pPr>
        <w:pStyle w:val="2"/>
        <w:spacing w:line="360" w:lineRule="auto"/>
        <w:rPr>
          <w:rFonts w:ascii="黑体" w:eastAsia="黑体"/>
          <w:b/>
          <w:bCs/>
          <w:sz w:val="28"/>
        </w:rPr>
      </w:pPr>
      <w:r>
        <w:rPr>
          <w:rFonts w:hint="eastAsia" w:ascii="黑体" w:eastAsia="黑体"/>
          <w:b/>
          <w:bCs/>
          <w:sz w:val="28"/>
        </w:rPr>
        <w:t>四、招标议程</w:t>
      </w:r>
    </w:p>
    <w:p w14:paraId="57EFDC82">
      <w:pPr>
        <w:pStyle w:val="2"/>
        <w:spacing w:line="360" w:lineRule="auto"/>
        <w:ind w:firstLine="422" w:firstLineChars="200"/>
        <w:rPr>
          <w:rFonts w:hint="eastAsia"/>
        </w:rPr>
      </w:pPr>
      <w:r>
        <w:rPr>
          <w:rFonts w:hint="eastAsia"/>
          <w:b/>
        </w:rPr>
        <w:t>1. 发标时间：</w:t>
      </w:r>
      <w:r>
        <w:rPr>
          <w:rFonts w:hint="eastAsia"/>
        </w:rPr>
        <w:t xml:space="preserve"> 2025年</w:t>
      </w:r>
      <w:r>
        <w:rPr>
          <w:rFonts w:hint="eastAsia"/>
          <w:lang w:val="en-US" w:eastAsia="zh-CN"/>
        </w:rPr>
        <w:t>8</w:t>
      </w:r>
      <w:r>
        <w:rPr>
          <w:rFonts w:hint="eastAsia"/>
        </w:rPr>
        <w:t>月</w:t>
      </w:r>
      <w:r>
        <w:rPr>
          <w:rFonts w:hint="eastAsia"/>
          <w:lang w:val="en-US" w:eastAsia="zh-CN"/>
        </w:rPr>
        <w:t>21</w:t>
      </w:r>
      <w:r>
        <w:rPr>
          <w:rFonts w:hint="eastAsia"/>
        </w:rPr>
        <w:t>日。</w:t>
      </w:r>
    </w:p>
    <w:p w14:paraId="73E205F5">
      <w:pPr>
        <w:pStyle w:val="2"/>
        <w:spacing w:line="360" w:lineRule="auto"/>
        <w:ind w:firstLine="420" w:firstLineChars="200"/>
      </w:pPr>
      <w:r>
        <w:rPr>
          <w:rFonts w:hint="eastAsia"/>
        </w:rPr>
        <w:t>方式：招标人在上述时间范围内，在特定网站发布本项目招标公告及招标文件电子版，将报名表发送至招标人指定邮箱内。招标人不对投标人能否通过相关网站正确或及时获取招标文件负责。</w:t>
      </w:r>
    </w:p>
    <w:p w14:paraId="3E2E48EB">
      <w:pPr>
        <w:pStyle w:val="2"/>
        <w:spacing w:line="360" w:lineRule="auto"/>
        <w:ind w:firstLine="422" w:firstLineChars="200"/>
      </w:pPr>
      <w:r>
        <w:rPr>
          <w:rFonts w:hint="eastAsia"/>
          <w:b/>
        </w:rPr>
        <w:t>2. 投标报名截止时间：</w:t>
      </w:r>
      <w:r>
        <w:rPr>
          <w:rFonts w:hint="eastAsia"/>
        </w:rPr>
        <w:t>2025年</w:t>
      </w:r>
      <w:r>
        <w:rPr>
          <w:rFonts w:hint="eastAsia"/>
          <w:lang w:val="en-US" w:eastAsia="zh-CN"/>
        </w:rPr>
        <w:t>8月26日</w:t>
      </w:r>
      <w:r>
        <w:rPr>
          <w:rFonts w:hint="eastAsia"/>
        </w:rPr>
        <w:t>下午17点前，逾期不受理。</w:t>
      </w:r>
    </w:p>
    <w:p w14:paraId="7245AC4C">
      <w:pPr>
        <w:pStyle w:val="2"/>
        <w:spacing w:line="360" w:lineRule="auto"/>
        <w:ind w:firstLine="420" w:firstLineChars="200"/>
        <w:rPr>
          <w:rFonts w:hint="eastAsia"/>
        </w:rPr>
      </w:pPr>
      <w:r>
        <w:rPr>
          <w:rFonts w:hint="eastAsia"/>
        </w:rPr>
        <w:t>投标单位授权人员按时提交盖有投标单位公章的书面报名表（纸质档或扫描件），格式见附件1，格式可自拟，电话或其他报名方式均不受理。邮箱：</w:t>
      </w:r>
      <w:r>
        <w:rPr>
          <w:rFonts w:hint="eastAsia"/>
          <w:lang w:val="en-US" w:eastAsia="zh-CN"/>
        </w:rPr>
        <w:t>763323087@qq</w:t>
      </w:r>
      <w:r>
        <w:rPr>
          <w:rFonts w:hint="eastAsia"/>
        </w:rPr>
        <w:t>.com</w:t>
      </w:r>
    </w:p>
    <w:p w14:paraId="6726198A">
      <w:pPr>
        <w:pStyle w:val="2"/>
        <w:spacing w:line="360" w:lineRule="auto"/>
        <w:ind w:firstLine="420" w:firstLineChars="200"/>
        <w:rPr>
          <w:rFonts w:hint="eastAsia"/>
        </w:rPr>
      </w:pPr>
      <w:r>
        <w:rPr>
          <w:rFonts w:hint="eastAsia"/>
        </w:rPr>
        <w:t>e采通平台：本项目招标工作的所有过程均须在中国重汽e采通上完成，包括报名、资质审核、招标、应标、评标、审批等环节。中国重汽E采通中链接为（http://ecaitong.sinotruk.com:8012）。未在中国重汽E采通进行注册的供方，注册时，业务主管部门选择“安全环保，类别选择“环保“，投标人须在2025年</w:t>
      </w:r>
      <w:r>
        <w:rPr>
          <w:rFonts w:hint="eastAsia"/>
          <w:lang w:val="en-US" w:eastAsia="zh-CN"/>
        </w:rPr>
        <w:t>8月26日12</w:t>
      </w:r>
      <w:r>
        <w:rPr>
          <w:rFonts w:hint="eastAsia"/>
        </w:rPr>
        <w:t>:00前供应商信息注册（建议尽早开展注册工作，操作手册见附件9）；注册成功后，须在完成项目应标，看标书文件并上传相关文档（操作手册见附件10）。</w:t>
      </w:r>
    </w:p>
    <w:p w14:paraId="2FBD31D9">
      <w:pPr>
        <w:pStyle w:val="2"/>
        <w:spacing w:line="360" w:lineRule="auto"/>
        <w:ind w:firstLine="420" w:firstLineChars="200"/>
        <w:rPr>
          <w:rFonts w:hint="eastAsia"/>
        </w:rPr>
      </w:pPr>
      <w:r>
        <w:rPr>
          <w:rFonts w:hint="eastAsia"/>
        </w:rPr>
        <w:t>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w:t>
      </w:r>
    </w:p>
    <w:p w14:paraId="0F7130ED">
      <w:pPr>
        <w:pStyle w:val="2"/>
        <w:spacing w:line="360" w:lineRule="auto"/>
        <w:ind w:firstLine="420" w:firstLineChars="200"/>
      </w:pPr>
      <w:r>
        <w:rPr>
          <w:rFonts w:hint="eastAsia"/>
        </w:rPr>
        <w:t>招标完成后</w:t>
      </w:r>
      <w:bookmarkStart w:id="34" w:name="_GoBack"/>
      <w:bookmarkEnd w:id="34"/>
      <w:r>
        <w:rPr>
          <w:rFonts w:hint="eastAsia"/>
        </w:rPr>
        <w:t>以上所提供的所有材料投标方将纸制版（加盖公章）及电子标书（U盘）、及线上招标的所有的澄清资料送到招标人处进行备案。</w:t>
      </w:r>
    </w:p>
    <w:p w14:paraId="0DF2793D">
      <w:pPr>
        <w:pStyle w:val="2"/>
        <w:numPr>
          <w:ilvl w:val="0"/>
          <w:numId w:val="1"/>
        </w:numPr>
        <w:spacing w:line="360" w:lineRule="auto"/>
        <w:ind w:firstLine="422" w:firstLineChars="200"/>
        <w:rPr>
          <w:rFonts w:hint="eastAsia"/>
        </w:rPr>
      </w:pPr>
      <w:r>
        <w:rPr>
          <w:rFonts w:hint="eastAsia"/>
          <w:b/>
        </w:rPr>
        <w:t>答疑时间：</w:t>
      </w:r>
      <w:r>
        <w:rPr>
          <w:rFonts w:hint="eastAsia"/>
        </w:rPr>
        <w:t>截止至2025年</w:t>
      </w:r>
      <w:r>
        <w:rPr>
          <w:rFonts w:hint="eastAsia"/>
          <w:lang w:val="en-US" w:eastAsia="zh-CN"/>
        </w:rPr>
        <w:t>8月26日</w:t>
      </w:r>
      <w:r>
        <w:rPr>
          <w:rFonts w:hint="eastAsia"/>
        </w:rPr>
        <w:t>下午17点前，逾期不受理。</w:t>
      </w:r>
    </w:p>
    <w:p w14:paraId="113E881C">
      <w:pPr>
        <w:pStyle w:val="2"/>
        <w:numPr>
          <w:ilvl w:val="0"/>
          <w:numId w:val="1"/>
        </w:numPr>
        <w:spacing w:line="360" w:lineRule="auto"/>
        <w:ind w:firstLine="420" w:firstLineChars="200"/>
        <w:rPr>
          <w:rFonts w:hint="eastAsia"/>
        </w:rPr>
      </w:pPr>
    </w:p>
    <w:p w14:paraId="3CEF6A49">
      <w:pPr>
        <w:pStyle w:val="2"/>
        <w:spacing w:line="360" w:lineRule="auto"/>
        <w:ind w:firstLine="405"/>
        <w:rPr>
          <w:rFonts w:hint="eastAsia"/>
        </w:rPr>
      </w:pPr>
      <w:r>
        <w:rPr>
          <w:rFonts w:hint="eastAsia"/>
        </w:rPr>
        <w:t>答疑方式：现场（或电话）答疑。</w:t>
      </w:r>
    </w:p>
    <w:p w14:paraId="0A14FD74">
      <w:pPr>
        <w:pStyle w:val="2"/>
        <w:spacing w:line="360" w:lineRule="auto"/>
        <w:ind w:firstLine="420" w:firstLineChars="200"/>
        <w:rPr>
          <w:rFonts w:hint="eastAsia" w:eastAsia="宋体"/>
          <w:lang w:val="en-US" w:eastAsia="zh-CN"/>
        </w:rPr>
      </w:pPr>
      <w:r>
        <w:rPr>
          <w:rFonts w:hint="eastAsia"/>
        </w:rPr>
        <w:t>联系人：</w:t>
      </w:r>
      <w:r>
        <w:rPr>
          <w:rFonts w:hint="eastAsia"/>
          <w:lang w:val="en-US" w:eastAsia="zh-CN"/>
        </w:rPr>
        <w:t>崔浩然</w:t>
      </w:r>
    </w:p>
    <w:p w14:paraId="3FA22AC3">
      <w:pPr>
        <w:pStyle w:val="2"/>
        <w:spacing w:line="360" w:lineRule="auto"/>
        <w:ind w:firstLine="420" w:firstLineChars="200"/>
        <w:rPr>
          <w:rFonts w:hint="default" w:eastAsia="宋体"/>
          <w:lang w:val="en-US" w:eastAsia="zh-CN"/>
        </w:rPr>
      </w:pPr>
      <w:r>
        <w:rPr>
          <w:rFonts w:hint="eastAsia"/>
        </w:rPr>
        <w:t>邮箱：</w:t>
      </w:r>
      <w:r>
        <w:rPr>
          <w:rFonts w:hint="eastAsia"/>
          <w:lang w:val="en-US" w:eastAsia="zh-CN"/>
        </w:rPr>
        <w:t>763323087@qq.com</w:t>
      </w:r>
    </w:p>
    <w:p w14:paraId="0D482E83">
      <w:pPr>
        <w:pStyle w:val="2"/>
        <w:spacing w:line="360" w:lineRule="auto"/>
        <w:ind w:firstLine="422" w:firstLineChars="200"/>
        <w:rPr>
          <w:rFonts w:hint="default" w:eastAsia="宋体"/>
          <w:lang w:val="en-US" w:eastAsia="zh-CN"/>
        </w:rPr>
      </w:pPr>
      <w:r>
        <w:rPr>
          <w:rFonts w:hint="eastAsia"/>
          <w:b/>
        </w:rPr>
        <w:t>4.开标时间：</w:t>
      </w:r>
      <w:r>
        <w:rPr>
          <w:rFonts w:hint="eastAsia"/>
        </w:rPr>
        <w:t>2025年</w:t>
      </w:r>
      <w:r>
        <w:rPr>
          <w:rFonts w:hint="eastAsia"/>
          <w:lang w:val="en-US" w:eastAsia="zh-CN"/>
        </w:rPr>
        <w:t>8月27日</w:t>
      </w:r>
      <w:r>
        <w:rPr>
          <w:rFonts w:hint="eastAsia"/>
        </w:rPr>
        <w:t>上午9时</w:t>
      </w:r>
      <w:r>
        <w:rPr>
          <w:rFonts w:hint="eastAsia"/>
          <w:lang w:val="en-US" w:eastAsia="zh-CN"/>
        </w:rPr>
        <w:t>00</w:t>
      </w:r>
      <w:r>
        <w:rPr>
          <w:rFonts w:hint="eastAsia"/>
        </w:rPr>
        <w:t>分</w:t>
      </w:r>
      <w:r>
        <w:rPr>
          <w:rFonts w:hint="eastAsia"/>
          <w:lang w:val="en-US" w:eastAsia="zh-CN"/>
        </w:rPr>
        <w:t>(如有变动另行通知)</w:t>
      </w:r>
    </w:p>
    <w:p w14:paraId="314C2E0B">
      <w:pPr>
        <w:pStyle w:val="2"/>
        <w:spacing w:line="360" w:lineRule="auto"/>
        <w:ind w:firstLine="422" w:firstLineChars="200"/>
        <w:rPr>
          <w:rFonts w:hint="eastAsia"/>
          <w:b/>
        </w:rPr>
      </w:pPr>
      <w:r>
        <w:rPr>
          <w:rFonts w:hint="eastAsia"/>
          <w:b/>
        </w:rPr>
        <w:t>5.开标地点：</w:t>
      </w:r>
      <w:r>
        <w:rPr>
          <w:rFonts w:hint="eastAsia"/>
        </w:rPr>
        <w:t>中国</w:t>
      </w:r>
      <w:r>
        <w:rPr>
          <w:rFonts w:hint="eastAsia"/>
          <w:lang w:val="en-US" w:eastAsia="zh-CN"/>
        </w:rPr>
        <w:t>重汽集团济宁商用车有限公司</w:t>
      </w:r>
      <w:r>
        <w:rPr>
          <w:rFonts w:hint="eastAsia"/>
        </w:rPr>
        <w:t>。</w:t>
      </w:r>
      <w:r>
        <w:t xml:space="preserve">             </w:t>
      </w:r>
    </w:p>
    <w:p w14:paraId="16303DBD">
      <w:pPr>
        <w:pStyle w:val="2"/>
        <w:spacing w:line="360" w:lineRule="auto"/>
        <w:ind w:firstLine="422" w:firstLineChars="200"/>
        <w:rPr>
          <w:rFonts w:hint="eastAsia"/>
          <w:b/>
        </w:rPr>
      </w:pPr>
      <w:r>
        <w:rPr>
          <w:rFonts w:hint="eastAsia"/>
          <w:b/>
        </w:rPr>
        <w:t>6.开标现场资质审验。</w:t>
      </w:r>
    </w:p>
    <w:p w14:paraId="494E0AA4">
      <w:pPr>
        <w:pStyle w:val="2"/>
        <w:spacing w:line="360" w:lineRule="auto"/>
        <w:ind w:firstLine="420" w:firstLineChars="200"/>
        <w:rPr>
          <w:rFonts w:hint="eastAsia"/>
        </w:rPr>
      </w:pPr>
      <w:r>
        <w:rPr>
          <w:rFonts w:hint="eastAsia"/>
        </w:rPr>
        <w:t>需提交的材料要求：详见本招标书“第二章 招标人须知”之“二、投标响应文件”之“1.</w:t>
      </w:r>
      <w:r>
        <w:rPr>
          <w:rFonts w:hint="eastAsia" w:hAnsi="宋体"/>
        </w:rPr>
        <w:t>⑴</w:t>
      </w:r>
      <w:r>
        <w:rPr>
          <w:rFonts w:hint="eastAsia"/>
        </w:rPr>
        <w:t xml:space="preserve"> 资质文件”所列示条目及要求。</w:t>
      </w:r>
    </w:p>
    <w:p w14:paraId="6144F0FE">
      <w:pPr>
        <w:pStyle w:val="2"/>
        <w:spacing w:line="360" w:lineRule="auto"/>
        <w:ind w:firstLine="422" w:firstLineChars="200"/>
        <w:rPr>
          <w:b/>
        </w:rPr>
      </w:pPr>
      <w:r>
        <w:rPr>
          <w:rFonts w:hint="eastAsia"/>
          <w:b/>
        </w:rPr>
        <w:t>7. 评标：</w:t>
      </w:r>
    </w:p>
    <w:p w14:paraId="334C16E4">
      <w:pPr>
        <w:pStyle w:val="2"/>
        <w:spacing w:line="360" w:lineRule="auto"/>
        <w:ind w:firstLine="420" w:firstLineChars="200"/>
      </w:pPr>
      <w:r>
        <w:rPr>
          <w:rFonts w:hint="eastAsia"/>
        </w:rPr>
        <w:t>需提供的材料：</w:t>
      </w:r>
    </w:p>
    <w:p w14:paraId="7F81B7E7">
      <w:pPr>
        <w:pStyle w:val="2"/>
        <w:spacing w:line="360" w:lineRule="auto"/>
        <w:ind w:firstLine="420" w:firstLineChars="200"/>
      </w:pPr>
      <w:r>
        <w:rPr>
          <w:rFonts w:hint="eastAsia"/>
        </w:rPr>
        <w:t>（1）开标一览表；</w:t>
      </w:r>
    </w:p>
    <w:p w14:paraId="21067372">
      <w:pPr>
        <w:pStyle w:val="2"/>
        <w:spacing w:line="360" w:lineRule="auto"/>
        <w:ind w:firstLine="420" w:firstLineChars="200"/>
      </w:pPr>
      <w:r>
        <w:rPr>
          <w:rFonts w:hint="eastAsia"/>
        </w:rPr>
        <w:t>（2）标书；</w:t>
      </w:r>
    </w:p>
    <w:p w14:paraId="083F34A2">
      <w:pPr>
        <w:pStyle w:val="2"/>
        <w:spacing w:line="360" w:lineRule="auto"/>
        <w:ind w:firstLine="420" w:firstLineChars="200"/>
        <w:rPr>
          <w:rFonts w:hint="eastAsia"/>
        </w:rPr>
      </w:pPr>
      <w:r>
        <w:rPr>
          <w:rFonts w:hint="eastAsia"/>
        </w:rPr>
        <w:t>（3）有统一社会信用代码的</w:t>
      </w:r>
      <w:r>
        <w:rPr>
          <w:rFonts w:hint="eastAsia" w:hAnsi="宋体"/>
        </w:rPr>
        <w:t>新版</w:t>
      </w:r>
      <w:r>
        <w:rPr>
          <w:rFonts w:hint="eastAsia"/>
        </w:rPr>
        <w:t>营业执照副本原件</w:t>
      </w:r>
      <w:r>
        <w:rPr>
          <w:rFonts w:hint="eastAsia"/>
          <w:szCs w:val="21"/>
        </w:rPr>
        <w:t>或加盖公章的复印件</w:t>
      </w:r>
      <w:r>
        <w:rPr>
          <w:rFonts w:hint="eastAsia"/>
        </w:rPr>
        <w:t>；</w:t>
      </w:r>
    </w:p>
    <w:p w14:paraId="60298306">
      <w:pPr>
        <w:pStyle w:val="2"/>
        <w:spacing w:line="360" w:lineRule="auto"/>
        <w:ind w:firstLine="420" w:firstLineChars="200"/>
        <w:rPr>
          <w:rFonts w:hint="eastAsia"/>
        </w:rPr>
      </w:pPr>
      <w:r>
        <w:rPr>
          <w:rFonts w:hint="eastAsia"/>
        </w:rPr>
        <w:t>（4）危险废物经营许可证原件</w:t>
      </w:r>
      <w:r>
        <w:rPr>
          <w:rFonts w:hint="eastAsia"/>
          <w:szCs w:val="21"/>
        </w:rPr>
        <w:t>或加盖公章的复印件</w:t>
      </w:r>
      <w:r>
        <w:rPr>
          <w:rFonts w:hint="eastAsia"/>
        </w:rPr>
        <w:t>；</w:t>
      </w:r>
    </w:p>
    <w:p w14:paraId="5998C96D">
      <w:pPr>
        <w:pStyle w:val="2"/>
        <w:spacing w:line="360" w:lineRule="auto"/>
        <w:ind w:firstLine="420" w:firstLineChars="200"/>
        <w:rPr>
          <w:rFonts w:hint="eastAsia"/>
        </w:rPr>
      </w:pPr>
      <w:r>
        <w:rPr>
          <w:rFonts w:hint="eastAsia"/>
        </w:rPr>
        <w:t>（5）危险废物</w:t>
      </w:r>
      <w:r>
        <w:rPr>
          <w:rFonts w:hint="eastAsia"/>
          <w:szCs w:val="21"/>
        </w:rPr>
        <w:t>运输单位的营业执照、危险货物道路运输经营许可证、委托运输合同和道路运输事故应急预案、运输车辆品牌及驾驶人员信息（原件或加盖公章的复印件）。</w:t>
      </w:r>
    </w:p>
    <w:p w14:paraId="56C14750">
      <w:pPr>
        <w:pStyle w:val="2"/>
        <w:spacing w:line="360" w:lineRule="auto"/>
        <w:ind w:firstLine="420" w:firstLineChars="200"/>
      </w:pPr>
      <w:r>
        <w:rPr>
          <w:rFonts w:hint="eastAsia"/>
        </w:rPr>
        <w:t>（6）投标单位的法定代表人或授权代表的身份证原件；</w:t>
      </w:r>
    </w:p>
    <w:p w14:paraId="6D9940FB">
      <w:pPr>
        <w:pStyle w:val="2"/>
        <w:spacing w:line="360" w:lineRule="auto"/>
        <w:ind w:firstLine="422" w:firstLineChars="200"/>
      </w:pPr>
      <w:r>
        <w:rPr>
          <w:rFonts w:hint="eastAsia"/>
          <w:b/>
        </w:rPr>
        <w:t>说明：</w:t>
      </w:r>
      <w:r>
        <w:rPr>
          <w:rFonts w:hint="eastAsia"/>
        </w:rPr>
        <w:t>投标人需按本招标书之“第三章 投标文件编制”之相关要求对上述投标文件进行编制密封，并于评标开始时向评标工作小组当面提交。评标开始后未到达现场或未能按规定提交相关材料的，被视为主动放弃本项目投标。</w:t>
      </w:r>
    </w:p>
    <w:p w14:paraId="18B20478">
      <w:pPr>
        <w:pStyle w:val="2"/>
        <w:spacing w:line="360" w:lineRule="auto"/>
        <w:ind w:firstLine="422" w:firstLineChars="200"/>
        <w:rPr>
          <w:b/>
        </w:rPr>
      </w:pPr>
      <w:r>
        <w:rPr>
          <w:rFonts w:hint="eastAsia"/>
          <w:b/>
        </w:rPr>
        <w:t>8.联 系 人：</w:t>
      </w:r>
    </w:p>
    <w:p w14:paraId="000F8F4F">
      <w:pPr>
        <w:pStyle w:val="2"/>
        <w:spacing w:line="360" w:lineRule="auto"/>
        <w:ind w:firstLine="420" w:firstLineChars="200"/>
        <w:rPr>
          <w:rFonts w:hint="default" w:eastAsia="宋体"/>
          <w:bCs/>
          <w:lang w:val="en-US" w:eastAsia="zh-CN"/>
        </w:rPr>
      </w:pPr>
      <w:r>
        <w:rPr>
          <w:rFonts w:hint="eastAsia"/>
          <w:bCs/>
          <w:lang w:val="en-US" w:eastAsia="zh-CN"/>
        </w:rPr>
        <w:t>崔浩然</w:t>
      </w:r>
      <w:r>
        <w:rPr>
          <w:rFonts w:hint="eastAsia"/>
          <w:bCs/>
        </w:rPr>
        <w:t xml:space="preserve"> </w:t>
      </w:r>
      <w:r>
        <w:rPr>
          <w:bCs/>
        </w:rPr>
        <w:t xml:space="preserve">   </w:t>
      </w:r>
      <w:r>
        <w:rPr>
          <w:rFonts w:hint="eastAsia"/>
          <w:bCs/>
        </w:rPr>
        <w:t>联系电话：</w:t>
      </w:r>
      <w:r>
        <w:rPr>
          <w:bCs/>
        </w:rPr>
        <w:t>1</w:t>
      </w:r>
      <w:r>
        <w:rPr>
          <w:rFonts w:hint="eastAsia"/>
          <w:bCs/>
          <w:lang w:val="en-US" w:eastAsia="zh-CN"/>
        </w:rPr>
        <w:t>8865383050</w:t>
      </w:r>
    </w:p>
    <w:p w14:paraId="0D22D14B">
      <w:pPr>
        <w:pStyle w:val="2"/>
        <w:spacing w:line="360" w:lineRule="auto"/>
        <w:ind w:firstLine="420" w:firstLineChars="200"/>
        <w:rPr>
          <w:bCs/>
        </w:rPr>
      </w:pPr>
    </w:p>
    <w:p w14:paraId="572EEE9A">
      <w:pPr>
        <w:pStyle w:val="2"/>
        <w:spacing w:line="360" w:lineRule="auto"/>
        <w:ind w:firstLine="420" w:firstLineChars="200"/>
        <w:rPr>
          <w:bCs/>
        </w:rPr>
      </w:pPr>
    </w:p>
    <w:p w14:paraId="527BC177">
      <w:pPr>
        <w:pStyle w:val="2"/>
        <w:spacing w:line="360" w:lineRule="auto"/>
        <w:ind w:firstLine="420" w:firstLineChars="200"/>
        <w:rPr>
          <w:rFonts w:hint="eastAsia"/>
          <w:bCs/>
        </w:rPr>
      </w:pPr>
    </w:p>
    <w:p w14:paraId="4304D64A">
      <w:pPr>
        <w:pStyle w:val="2"/>
        <w:spacing w:line="360" w:lineRule="auto"/>
        <w:ind w:firstLine="420" w:firstLineChars="200"/>
        <w:rPr>
          <w:rFonts w:hint="eastAsia"/>
          <w:bCs/>
        </w:rPr>
      </w:pPr>
    </w:p>
    <w:p w14:paraId="10A47FD2">
      <w:pPr>
        <w:pStyle w:val="2"/>
        <w:spacing w:line="360" w:lineRule="auto"/>
        <w:ind w:firstLine="420" w:firstLineChars="200"/>
        <w:rPr>
          <w:rFonts w:hint="eastAsia"/>
          <w:bCs/>
        </w:rPr>
      </w:pPr>
    </w:p>
    <w:p w14:paraId="1A95255E">
      <w:pPr>
        <w:pStyle w:val="2"/>
        <w:spacing w:line="360" w:lineRule="auto"/>
        <w:ind w:firstLine="420" w:firstLineChars="200"/>
        <w:rPr>
          <w:rFonts w:hint="eastAsia"/>
          <w:bCs/>
        </w:rPr>
      </w:pPr>
    </w:p>
    <w:p w14:paraId="6BDF4F28">
      <w:pPr>
        <w:pStyle w:val="2"/>
        <w:spacing w:line="360" w:lineRule="auto"/>
        <w:ind w:firstLine="420" w:firstLineChars="200"/>
        <w:rPr>
          <w:rFonts w:hint="eastAsia"/>
          <w:bCs/>
        </w:rPr>
      </w:pPr>
    </w:p>
    <w:p w14:paraId="6748BB14">
      <w:pPr>
        <w:pStyle w:val="2"/>
        <w:spacing w:line="360" w:lineRule="auto"/>
        <w:ind w:firstLine="2530" w:firstLineChars="700"/>
        <w:outlineLvl w:val="0"/>
        <w:rPr>
          <w:rFonts w:hint="eastAsia" w:ascii="黑体" w:eastAsia="黑体"/>
          <w:b/>
          <w:bCs/>
          <w:sz w:val="36"/>
          <w:szCs w:val="36"/>
        </w:rPr>
      </w:pPr>
      <w:bookmarkStart w:id="1" w:name="_Toc35956343"/>
      <w:r>
        <w:rPr>
          <w:rFonts w:hint="eastAsia" w:ascii="黑体" w:eastAsia="黑体"/>
          <w:b/>
          <w:bCs/>
          <w:sz w:val="36"/>
          <w:szCs w:val="36"/>
        </w:rPr>
        <w:t>第二章  投标人须知</w:t>
      </w:r>
      <w:bookmarkEnd w:id="1"/>
    </w:p>
    <w:p w14:paraId="1F3B5E93">
      <w:pPr>
        <w:pStyle w:val="2"/>
        <w:spacing w:line="360" w:lineRule="auto"/>
        <w:rPr>
          <w:rFonts w:ascii="黑体" w:eastAsia="黑体"/>
          <w:b/>
          <w:bCs/>
          <w:sz w:val="28"/>
        </w:rPr>
      </w:pPr>
      <w:r>
        <w:rPr>
          <w:rFonts w:hint="eastAsia" w:ascii="黑体" w:eastAsia="黑体"/>
          <w:b/>
          <w:bCs/>
          <w:sz w:val="28"/>
        </w:rPr>
        <w:t>一、合格投标人</w:t>
      </w:r>
    </w:p>
    <w:p w14:paraId="101C64E4">
      <w:pPr>
        <w:pStyle w:val="2"/>
        <w:spacing w:line="360" w:lineRule="auto"/>
        <w:ind w:firstLine="420" w:firstLineChars="200"/>
        <w:rPr>
          <w:rFonts w:hint="eastAsia"/>
        </w:rPr>
      </w:pPr>
      <w:r>
        <w:rPr>
          <w:rFonts w:hint="eastAsia"/>
        </w:rPr>
        <w:t>1.投标人须遵守《</w:t>
      </w:r>
      <w:bookmarkStart w:id="2" w:name="OLE_LINK3"/>
      <w:bookmarkStart w:id="3" w:name="OLE_LINK2"/>
      <w:r>
        <w:rPr>
          <w:rFonts w:hint="eastAsia"/>
        </w:rPr>
        <w:t>中华人民共和国招标投标法</w:t>
      </w:r>
      <w:bookmarkEnd w:id="2"/>
      <w:bookmarkEnd w:id="3"/>
      <w:r>
        <w:rPr>
          <w:rFonts w:hint="eastAsia"/>
        </w:rPr>
        <w:t>》</w:t>
      </w:r>
      <w:r>
        <w:rPr>
          <w:rFonts w:hint="eastAsia"/>
          <w:lang w:val="en-US" w:eastAsia="zh-CN"/>
        </w:rPr>
        <w:t xml:space="preserve"> </w:t>
      </w:r>
      <w:r>
        <w:rPr>
          <w:rFonts w:hint="eastAsia"/>
        </w:rPr>
        <w:t>《</w:t>
      </w:r>
      <w:bookmarkStart w:id="4" w:name="_Hlk152145476"/>
      <w:r>
        <w:rPr>
          <w:rFonts w:hint="eastAsia"/>
        </w:rPr>
        <w:t>中华人民共和国民法典</w:t>
      </w:r>
      <w:bookmarkEnd w:id="4"/>
      <w:r>
        <w:rPr>
          <w:rFonts w:hint="eastAsia"/>
        </w:rPr>
        <w:t>》及其它有关的法律和法规；为中华人民共和国境内注册的独立法人机构，具有独立承担民事责任能力；</w:t>
      </w:r>
    </w:p>
    <w:p w14:paraId="4C1E1CC8">
      <w:pPr>
        <w:pStyle w:val="2"/>
        <w:spacing w:line="360" w:lineRule="auto"/>
        <w:ind w:firstLine="420" w:firstLineChars="200"/>
        <w:rPr>
          <w:rFonts w:hint="eastAsia"/>
          <w:b/>
        </w:rPr>
      </w:pPr>
      <w:r>
        <w:rPr>
          <w:rFonts w:hint="eastAsia" w:hAnsi="宋体"/>
          <w:szCs w:val="21"/>
        </w:rPr>
        <w:t>2. 持有当地生态环境局</w:t>
      </w:r>
      <w:r>
        <w:rPr>
          <w:rFonts w:hint="eastAsia"/>
        </w:rPr>
        <w:t>(厅)核发的危险废物经营许可证，</w:t>
      </w:r>
      <w:r>
        <w:rPr>
          <w:rFonts w:hint="eastAsia"/>
          <w:b/>
        </w:rPr>
        <w:t>且危险废物经营许可证有效期涵盖整个合同期（2025年</w:t>
      </w:r>
      <w:r>
        <w:rPr>
          <w:rFonts w:hint="eastAsia"/>
          <w:b/>
          <w:lang w:val="en-US" w:eastAsia="zh-CN"/>
        </w:rPr>
        <w:t>8</w:t>
      </w:r>
      <w:r>
        <w:rPr>
          <w:rFonts w:hint="eastAsia"/>
          <w:b/>
        </w:rPr>
        <w:t>月1日-2025年12月31日）；</w:t>
      </w:r>
    </w:p>
    <w:p w14:paraId="4E906E0A">
      <w:pPr>
        <w:pStyle w:val="2"/>
        <w:spacing w:line="360" w:lineRule="auto"/>
        <w:ind w:firstLine="420" w:firstLineChars="200"/>
        <w:rPr>
          <w:rFonts w:hAnsi="宋体"/>
          <w:szCs w:val="21"/>
        </w:rPr>
      </w:pPr>
      <w:r>
        <w:rPr>
          <w:rFonts w:hint="eastAsia"/>
        </w:rPr>
        <w:t xml:space="preserve">3. </w:t>
      </w:r>
      <w:r>
        <w:rPr>
          <w:rFonts w:hint="eastAsia"/>
          <w:b/>
        </w:rPr>
        <w:t>公司成立且取得相应资质三年以上（以生态环境部门颁发危险废物许可证或生态环境部门批复准予经营的文件为准）；</w:t>
      </w:r>
      <w:r>
        <w:rPr>
          <w:rFonts w:hint="eastAsia"/>
        </w:rPr>
        <w:t>注册资金不少于3000万元人民币</w:t>
      </w:r>
      <w:r>
        <w:rPr>
          <w:rFonts w:hint="eastAsia" w:hAnsi="宋体"/>
          <w:sz w:val="24"/>
        </w:rPr>
        <w:t>；</w:t>
      </w:r>
      <w:r>
        <w:rPr>
          <w:rFonts w:hint="eastAsia" w:hAnsi="宋体"/>
          <w:szCs w:val="21"/>
        </w:rPr>
        <w:t xml:space="preserve"> </w:t>
      </w:r>
      <w:r>
        <w:rPr>
          <w:rFonts w:hint="eastAsia"/>
        </w:rPr>
        <w:t>经营范围满足招标项目需求，</w:t>
      </w:r>
      <w:r>
        <w:rPr>
          <w:rFonts w:hint="eastAsia" w:hAnsi="宋体"/>
          <w:szCs w:val="21"/>
        </w:rPr>
        <w:t>并</w:t>
      </w:r>
      <w:r>
        <w:rPr>
          <w:rFonts w:hAnsi="宋体"/>
          <w:szCs w:val="21"/>
        </w:rPr>
        <w:t>在人员、设备、资金等方面具有承担本</w:t>
      </w:r>
      <w:r>
        <w:rPr>
          <w:rFonts w:hint="eastAsia" w:hAnsi="宋体"/>
          <w:szCs w:val="21"/>
        </w:rPr>
        <w:t>项目</w:t>
      </w:r>
      <w:r>
        <w:rPr>
          <w:rFonts w:hAnsi="宋体"/>
          <w:szCs w:val="21"/>
        </w:rPr>
        <w:t>的能力</w:t>
      </w:r>
      <w:r>
        <w:rPr>
          <w:rFonts w:hint="eastAsia" w:hAnsi="宋体"/>
          <w:szCs w:val="21"/>
        </w:rPr>
        <w:t>；</w:t>
      </w:r>
    </w:p>
    <w:p w14:paraId="414D6697">
      <w:pPr>
        <w:pStyle w:val="7"/>
        <w:spacing w:line="360" w:lineRule="auto"/>
        <w:ind w:firstLine="422" w:firstLineChars="200"/>
        <w:rPr>
          <w:rFonts w:hAnsi="Courier New" w:cs="Times New Roman"/>
          <w:b/>
          <w:kern w:val="2"/>
          <w:sz w:val="21"/>
          <w:szCs w:val="20"/>
        </w:rPr>
      </w:pPr>
      <w:r>
        <w:rPr>
          <w:rFonts w:hint="eastAsia" w:hAnsi="Courier New" w:cs="Times New Roman"/>
          <w:b/>
          <w:kern w:val="2"/>
          <w:sz w:val="21"/>
          <w:szCs w:val="20"/>
        </w:rPr>
        <w:t>4.</w:t>
      </w:r>
      <w:r>
        <w:rPr>
          <w:rFonts w:hAnsi="Courier New" w:cs="Times New Roman"/>
          <w:b/>
          <w:kern w:val="2"/>
          <w:sz w:val="21"/>
          <w:szCs w:val="20"/>
        </w:rPr>
        <w:t>投标人</w:t>
      </w:r>
      <w:r>
        <w:rPr>
          <w:rFonts w:hint="eastAsia" w:hAnsi="Courier New" w:cs="Times New Roman"/>
          <w:b/>
          <w:kern w:val="2"/>
          <w:sz w:val="21"/>
          <w:szCs w:val="20"/>
        </w:rPr>
        <w:t>具有良好的商业信誉，</w:t>
      </w:r>
      <w:r>
        <w:rPr>
          <w:rFonts w:hAnsi="Courier New" w:cs="Times New Roman"/>
          <w:b/>
          <w:kern w:val="2"/>
          <w:sz w:val="21"/>
          <w:szCs w:val="20"/>
        </w:rPr>
        <w:t>未被列入</w:t>
      </w:r>
      <w:r>
        <w:rPr>
          <w:rFonts w:hint="eastAsia" w:hAnsi="Courier New" w:cs="Times New Roman"/>
          <w:b/>
          <w:kern w:val="2"/>
          <w:sz w:val="21"/>
          <w:szCs w:val="20"/>
        </w:rPr>
        <w:t>过</w:t>
      </w:r>
      <w:r>
        <w:rPr>
          <w:rFonts w:hAnsi="Courier New" w:cs="Times New Roman"/>
          <w:b/>
          <w:kern w:val="2"/>
          <w:sz w:val="21"/>
          <w:szCs w:val="20"/>
        </w:rPr>
        <w:t>经营异常名录和未曾列入严重违法失信企业名单</w:t>
      </w:r>
      <w:r>
        <w:rPr>
          <w:rFonts w:hint="eastAsia" w:hAnsi="Courier New" w:cs="Times New Roman"/>
          <w:b/>
          <w:kern w:val="2"/>
          <w:sz w:val="21"/>
          <w:szCs w:val="20"/>
        </w:rPr>
        <w:t xml:space="preserve">，未曾有过行政处罚及环境违法； 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724A2248">
      <w:pPr>
        <w:pStyle w:val="2"/>
        <w:spacing w:line="360" w:lineRule="auto"/>
        <w:ind w:firstLine="420" w:firstLineChars="200"/>
      </w:pPr>
      <w:r>
        <w:rPr>
          <w:rFonts w:hint="eastAsia"/>
        </w:rPr>
        <w:t>5.具有健全的财务会计制度，有依法缴纳税收和社会保障资金的良好记录；需提供真实的有效期内的质量、环境与职业健康等管理体系认证证书。</w:t>
      </w:r>
    </w:p>
    <w:p w14:paraId="640D1BC7">
      <w:pPr>
        <w:pStyle w:val="2"/>
        <w:spacing w:line="360" w:lineRule="auto"/>
        <w:ind w:firstLine="420" w:firstLineChars="200"/>
      </w:pPr>
      <w:r>
        <w:rPr>
          <w:rFonts w:hint="eastAsia"/>
        </w:rPr>
        <w:t>6.在危险废物处置场地、人员、设备、资金、服务、处置范围和能力方面，具备承担本项目的能力；</w:t>
      </w:r>
    </w:p>
    <w:p w14:paraId="202FA438">
      <w:pPr>
        <w:pStyle w:val="7"/>
        <w:ind w:firstLine="420" w:firstLineChars="200"/>
        <w:rPr>
          <w:rFonts w:hint="eastAsia"/>
        </w:rPr>
      </w:pPr>
      <w:r>
        <w:rPr>
          <w:rFonts w:hint="eastAsia" w:hAnsi="Courier New" w:cs="Times New Roman"/>
          <w:kern w:val="2"/>
          <w:sz w:val="21"/>
          <w:szCs w:val="20"/>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32C37E15">
      <w:pPr>
        <w:pStyle w:val="2"/>
        <w:spacing w:line="360" w:lineRule="auto"/>
        <w:ind w:firstLine="440" w:firstLineChars="200"/>
        <w:rPr>
          <w:rFonts w:ascii="Courier New" w:cs="Courier New"/>
          <w:kern w:val="0"/>
          <w:sz w:val="22"/>
        </w:rPr>
      </w:pPr>
      <w:r>
        <w:rPr>
          <w:rFonts w:ascii="Courier New" w:cs="Courier New"/>
          <w:kern w:val="0"/>
          <w:sz w:val="22"/>
        </w:rPr>
        <w:t>8</w:t>
      </w:r>
      <w:r>
        <w:rPr>
          <w:rFonts w:hint="eastAsia" w:ascii="Courier New" w:cs="Courier New"/>
          <w:kern w:val="0"/>
          <w:sz w:val="22"/>
        </w:rPr>
        <w:t>.制定环境保护、道路交通运输事故应急预案，并开展演练（投标人须提供应急预案及演练报告复印件）</w:t>
      </w:r>
    </w:p>
    <w:p w14:paraId="3D1A1967">
      <w:pPr>
        <w:pStyle w:val="2"/>
        <w:spacing w:line="360" w:lineRule="auto"/>
        <w:ind w:firstLine="420" w:firstLineChars="200"/>
      </w:pPr>
      <w:r>
        <w:t>9</w:t>
      </w:r>
      <w:r>
        <w:rPr>
          <w:rFonts w:hint="eastAsia"/>
        </w:rPr>
        <w:t>.投标人必须是最终中标并签订合同的单位，不得以任何理由将已中标项目以任何形式转包给其他单位；</w:t>
      </w:r>
    </w:p>
    <w:p w14:paraId="01C118F8">
      <w:pPr>
        <w:pStyle w:val="2"/>
        <w:spacing w:line="360" w:lineRule="auto"/>
        <w:ind w:firstLine="420" w:firstLineChars="200"/>
        <w:rPr>
          <w:rFonts w:hint="eastAsia"/>
        </w:rPr>
      </w:pPr>
      <w:r>
        <w:t>10</w:t>
      </w:r>
      <w:r>
        <w:rPr>
          <w:rFonts w:hint="eastAsia"/>
        </w:rPr>
        <w:t>.本次招标项目不接受联合体投标。</w:t>
      </w:r>
    </w:p>
    <w:p w14:paraId="7C1C7F43">
      <w:pPr>
        <w:pStyle w:val="2"/>
        <w:spacing w:line="360" w:lineRule="auto"/>
        <w:ind w:left="630" w:leftChars="200" w:hanging="210" w:hangingChars="100"/>
        <w:rPr>
          <w:rFonts w:hint="eastAsia"/>
        </w:rPr>
      </w:pPr>
      <w:r>
        <w:rPr>
          <w:rFonts w:hint="eastAsia"/>
        </w:rPr>
        <w:t>1</w:t>
      </w:r>
      <w:r>
        <w:rPr>
          <w:rFonts w:hint="eastAsia"/>
          <w:lang w:val="en-US" w:eastAsia="zh-CN"/>
        </w:rPr>
        <w:t>1.</w:t>
      </w:r>
      <w:r>
        <w:rPr>
          <w:rFonts w:hint="eastAsia"/>
        </w:rPr>
        <w:t>投标人须认可招标人的工作指令，包括节、假日能正常开展工作的要求；</w:t>
      </w:r>
    </w:p>
    <w:p w14:paraId="48C76A48">
      <w:pPr>
        <w:pStyle w:val="2"/>
        <w:spacing w:line="360" w:lineRule="auto"/>
        <w:ind w:left="630" w:leftChars="200" w:hanging="210" w:hangingChars="100"/>
        <w:rPr>
          <w:rFonts w:hint="eastAsia"/>
        </w:rPr>
      </w:pPr>
      <w:bookmarkStart w:id="5" w:name="_Hlk152146758"/>
      <w:r>
        <w:rPr>
          <w:rFonts w:hint="eastAsia"/>
        </w:rPr>
        <w:t>1</w:t>
      </w:r>
      <w:r>
        <w:rPr>
          <w:rFonts w:hint="eastAsia"/>
          <w:lang w:val="en-US" w:eastAsia="zh-CN"/>
        </w:rPr>
        <w:t>2</w:t>
      </w:r>
      <w:r>
        <w:rPr>
          <w:rFonts w:hint="eastAsia"/>
        </w:rPr>
        <w:t>供方的直接或间接股东、法定代表人、董事、监事、高管非重汽员工及其亲属。</w:t>
      </w:r>
      <w:bookmarkEnd w:id="5"/>
    </w:p>
    <w:p w14:paraId="4297CD0B">
      <w:pPr>
        <w:pStyle w:val="2"/>
        <w:spacing w:line="360" w:lineRule="auto"/>
        <w:rPr>
          <w:rFonts w:ascii="黑体" w:eastAsia="黑体"/>
          <w:b/>
          <w:bCs/>
          <w:sz w:val="28"/>
        </w:rPr>
      </w:pPr>
      <w:r>
        <w:rPr>
          <w:rFonts w:hint="eastAsia" w:ascii="黑体" w:eastAsia="黑体"/>
          <w:b/>
          <w:bCs/>
          <w:sz w:val="28"/>
        </w:rPr>
        <w:t>二、投标响应文件</w:t>
      </w:r>
    </w:p>
    <w:p w14:paraId="7271DB40">
      <w:pPr>
        <w:pStyle w:val="2"/>
        <w:spacing w:line="360" w:lineRule="auto"/>
        <w:ind w:firstLine="422" w:firstLineChars="200"/>
        <w:rPr>
          <w:b/>
        </w:rPr>
      </w:pPr>
      <w:r>
        <w:rPr>
          <w:rFonts w:hint="eastAsia"/>
          <w:b/>
        </w:rPr>
        <w:t>1.投标响应文件组成：</w:t>
      </w:r>
    </w:p>
    <w:p w14:paraId="408C4868">
      <w:pPr>
        <w:pStyle w:val="2"/>
        <w:spacing w:line="360" w:lineRule="auto"/>
        <w:ind w:firstLine="422" w:firstLineChars="200"/>
        <w:rPr>
          <w:b/>
        </w:rPr>
      </w:pPr>
      <w:r>
        <w:rPr>
          <w:rFonts w:hint="eastAsia"/>
          <w:b/>
        </w:rPr>
        <w:t>（注意：投标响应文件均需加盖投标单位公章，以下不再逐条款列示此项要求）</w:t>
      </w:r>
    </w:p>
    <w:p w14:paraId="6AB6EA6F">
      <w:pPr>
        <w:pStyle w:val="2"/>
        <w:spacing w:line="360" w:lineRule="auto"/>
        <w:ind w:firstLine="422" w:firstLineChars="200"/>
        <w:rPr>
          <w:b/>
        </w:rPr>
      </w:pPr>
      <w:bookmarkStart w:id="6" w:name="_Hlk152146831"/>
      <w:r>
        <w:rPr>
          <w:rFonts w:hint="eastAsia"/>
          <w:b/>
        </w:rPr>
        <w:t>（1）</w:t>
      </w:r>
      <w:bookmarkEnd w:id="6"/>
      <w:r>
        <w:rPr>
          <w:rFonts w:hint="eastAsia"/>
          <w:b/>
        </w:rPr>
        <w:t>资质文件</w:t>
      </w:r>
    </w:p>
    <w:p w14:paraId="5CF1BE18">
      <w:pPr>
        <w:pStyle w:val="2"/>
        <w:numPr>
          <w:ilvl w:val="0"/>
          <w:numId w:val="2"/>
        </w:numPr>
        <w:spacing w:line="360" w:lineRule="auto"/>
      </w:pPr>
      <w:r>
        <w:rPr>
          <w:rFonts w:hint="eastAsia"/>
        </w:rPr>
        <w:t>统一社会信用代码的新版营业执照副本复印件；</w:t>
      </w:r>
    </w:p>
    <w:p w14:paraId="7382A2B1">
      <w:pPr>
        <w:pStyle w:val="2"/>
        <w:numPr>
          <w:ilvl w:val="0"/>
          <w:numId w:val="2"/>
        </w:numPr>
        <w:spacing w:line="360" w:lineRule="auto"/>
        <w:rPr>
          <w:b/>
        </w:rPr>
      </w:pPr>
      <w:r>
        <w:rPr>
          <w:rFonts w:hint="eastAsia"/>
        </w:rPr>
        <w:t>危险废物经营许可证复印件</w:t>
      </w:r>
      <w:r>
        <w:rPr>
          <w:rFonts w:hint="eastAsia"/>
          <w:b/>
        </w:rPr>
        <w:t>，危险废物经营许可证有效期涵盖整个合同期（2025年</w:t>
      </w:r>
      <w:r>
        <w:rPr>
          <w:rFonts w:hint="eastAsia"/>
          <w:b/>
          <w:lang w:val="en-US" w:eastAsia="zh-CN"/>
        </w:rPr>
        <w:t>8</w:t>
      </w:r>
      <w:r>
        <w:rPr>
          <w:rFonts w:hint="eastAsia"/>
          <w:b/>
        </w:rPr>
        <w:t>月1日-2025年12月31日）；</w:t>
      </w:r>
    </w:p>
    <w:p w14:paraId="75F0261A">
      <w:pPr>
        <w:pStyle w:val="2"/>
        <w:numPr>
          <w:ilvl w:val="0"/>
          <w:numId w:val="2"/>
        </w:numPr>
        <w:spacing w:line="360" w:lineRule="auto"/>
        <w:rPr>
          <w:rFonts w:hint="eastAsia"/>
        </w:rPr>
      </w:pPr>
      <w:r>
        <w:rPr>
          <w:rFonts w:hint="eastAsia"/>
        </w:rPr>
        <w:t>投标人须提供法人授权委托书原件（在投标文件副本中可用复印件）及投标单位的法定代表人或授权代表的身份证原件及复印件（加盖公章）；</w:t>
      </w:r>
    </w:p>
    <w:p w14:paraId="4736C83C">
      <w:pPr>
        <w:pStyle w:val="2"/>
        <w:numPr>
          <w:ilvl w:val="0"/>
          <w:numId w:val="2"/>
        </w:numPr>
        <w:spacing w:line="360" w:lineRule="auto"/>
      </w:pPr>
      <w:r>
        <w:rPr>
          <w:rFonts w:hint="eastAsia"/>
        </w:rPr>
        <w:t>经会计师事务所审计且出具无保留意见的近三年（2021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w:t>
      </w:r>
      <w:r>
        <w:t>（征信报告）</w:t>
      </w:r>
      <w:r>
        <w:rPr>
          <w:rFonts w:hint="eastAsia"/>
        </w:rPr>
        <w:t>；③年度纳税信用评价信息（可从电子税务局查询截图，需加盖公章）；④企业对外担保说明（写明贵单位对外有无对外担保和质押业务，需加盖公章）。；</w:t>
      </w:r>
    </w:p>
    <w:p w14:paraId="175784BB">
      <w:pPr>
        <w:pStyle w:val="2"/>
        <w:spacing w:line="360" w:lineRule="auto"/>
        <w:ind w:firstLine="420" w:firstLineChars="200"/>
      </w:pPr>
      <w:r>
        <w:rPr>
          <w:rFonts w:hint="eastAsia"/>
        </w:rPr>
        <w:t>⑤近六个月依法缴纳税收和社会保障资金的证明材料；</w:t>
      </w:r>
    </w:p>
    <w:p w14:paraId="73F8BB9B">
      <w:pPr>
        <w:pStyle w:val="2"/>
        <w:spacing w:line="360" w:lineRule="auto"/>
        <w:ind w:firstLine="420" w:firstLineChars="200"/>
      </w:pPr>
      <w:r>
        <w:rPr>
          <w:rFonts w:hint="eastAsia" w:hAnsi="宋体"/>
        </w:rPr>
        <w:t>⑥近三年内在经营活动中</w:t>
      </w:r>
      <w:r>
        <w:rPr>
          <w:rFonts w:hint="eastAsia"/>
        </w:rPr>
        <w:t xml:space="preserve">没有违法违纪行为的声明； </w:t>
      </w:r>
    </w:p>
    <w:p w14:paraId="2202859F">
      <w:pPr>
        <w:pStyle w:val="2"/>
        <w:spacing w:line="360" w:lineRule="auto"/>
        <w:ind w:firstLine="420" w:firstLineChars="200"/>
      </w:pPr>
      <w:r>
        <w:rPr>
          <w:rFonts w:hint="eastAsia" w:hAnsi="宋体"/>
        </w:rPr>
        <w:t>⑦</w:t>
      </w:r>
      <w:r>
        <w:rPr>
          <w:rFonts w:hint="eastAsia" w:hAnsi="宋体"/>
          <w:szCs w:val="21"/>
        </w:rPr>
        <w:t>投标单位</w:t>
      </w:r>
      <w:r>
        <w:rPr>
          <w:rFonts w:ascii="Courier New" w:cs="Courier New"/>
          <w:kern w:val="0"/>
          <w:sz w:val="22"/>
        </w:rPr>
        <w:t>近三年内未被列入</w:t>
      </w:r>
      <w:r>
        <w:rPr>
          <w:rFonts w:hint="eastAsia" w:ascii="Courier New" w:cs="Courier New"/>
          <w:kern w:val="0"/>
          <w:sz w:val="22"/>
        </w:rPr>
        <w:t>过</w:t>
      </w:r>
      <w:r>
        <w:rPr>
          <w:rFonts w:ascii="Courier New" w:cs="Courier New"/>
          <w:kern w:val="0"/>
          <w:sz w:val="22"/>
        </w:rPr>
        <w:t>经营异常名录和未曾列入严重违法失信企业名单</w:t>
      </w:r>
      <w:r>
        <w:rPr>
          <w:rFonts w:hint="eastAsia" w:ascii="Courier New" w:cs="Courier New"/>
          <w:kern w:val="0"/>
          <w:sz w:val="22"/>
        </w:rPr>
        <w:t>，未曾有过</w:t>
      </w:r>
      <w:r>
        <w:rPr>
          <w:rFonts w:hint="eastAsia"/>
        </w:rPr>
        <w:t>行政处罚及环境违法。</w:t>
      </w:r>
    </w:p>
    <w:p w14:paraId="071260CD">
      <w:pPr>
        <w:pStyle w:val="2"/>
        <w:spacing w:line="360" w:lineRule="auto"/>
        <w:ind w:firstLine="420" w:firstLineChars="200"/>
      </w:pPr>
      <w:r>
        <w:rPr>
          <w:rFonts w:hint="eastAsia"/>
        </w:rPr>
        <w:t>⑧</w:t>
      </w:r>
      <w:r>
        <w:rPr>
          <w:rFonts w:hint="eastAsia" w:ascii="Courier New" w:cs="Courier New"/>
          <w:kern w:val="0"/>
          <w:sz w:val="22"/>
        </w:rPr>
        <w:t>制定环境保护、道路交通运输事故应急预案，并开展演练（投标人须提供应急预案及演练报告复印件）</w:t>
      </w:r>
    </w:p>
    <w:p w14:paraId="1CDC910A">
      <w:pPr>
        <w:pStyle w:val="2"/>
        <w:spacing w:line="360" w:lineRule="auto"/>
        <w:ind w:firstLine="527" w:firstLineChars="250"/>
        <w:rPr>
          <w:rFonts w:hAnsi="宋体"/>
        </w:rPr>
      </w:pPr>
      <w:r>
        <w:rPr>
          <w:rFonts w:hint="eastAsia"/>
          <w:b/>
        </w:rPr>
        <w:t>注：</w:t>
      </w:r>
      <w:r>
        <w:rPr>
          <w:rFonts w:hint="eastAsia"/>
        </w:rPr>
        <w:t>为防止丢失，上述资料资格审核时使用加盖单位公章的复印件，但相关原件仍需在评审现场提供，投标单位在招标现场自行登录本单位危废系统账户供招标方查验相关资质。</w:t>
      </w:r>
    </w:p>
    <w:p w14:paraId="2DB7DDCE">
      <w:pPr>
        <w:pStyle w:val="2"/>
        <w:spacing w:line="360" w:lineRule="auto"/>
        <w:ind w:firstLine="527" w:firstLineChars="250"/>
        <w:rPr>
          <w:rFonts w:hAnsi="宋体"/>
        </w:rPr>
      </w:pPr>
      <w:r>
        <w:rPr>
          <w:rFonts w:hint="eastAsia" w:hAnsi="宋体"/>
          <w:b/>
        </w:rPr>
        <w:t>重要提示：</w:t>
      </w:r>
      <w:r>
        <w:rPr>
          <w:rFonts w:hint="eastAsia" w:hAnsi="宋体"/>
        </w:rPr>
        <w:t>资格审核中，上述所列示的所有条款均属于否决项，</w:t>
      </w:r>
      <w:r>
        <w:rPr>
          <w:rFonts w:hint="eastAsia"/>
        </w:rPr>
        <w:t>对于任意一项或多项未达到资格审核要求的投标人，视为主动放弃投标，该投标人将不能进入后续的评标程序。对于未通过资格审核要求的投标人，不做任何解释。</w:t>
      </w:r>
    </w:p>
    <w:p w14:paraId="787E31F0">
      <w:pPr>
        <w:pStyle w:val="2"/>
        <w:spacing w:line="360" w:lineRule="auto"/>
        <w:ind w:firstLine="422" w:firstLineChars="200"/>
        <w:rPr>
          <w:b/>
        </w:rPr>
      </w:pPr>
      <w:r>
        <w:rPr>
          <w:rFonts w:hint="eastAsia"/>
          <w:b/>
        </w:rPr>
        <w:t>（</w:t>
      </w:r>
      <w:r>
        <w:rPr>
          <w:b/>
        </w:rPr>
        <w:t>2</w:t>
      </w:r>
      <w:r>
        <w:rPr>
          <w:rFonts w:hint="eastAsia"/>
          <w:b/>
        </w:rPr>
        <w:t>）商务文件</w:t>
      </w:r>
    </w:p>
    <w:p w14:paraId="28E65748">
      <w:pPr>
        <w:pStyle w:val="2"/>
        <w:spacing w:line="360" w:lineRule="auto"/>
        <w:ind w:left="422"/>
        <w:rPr>
          <w:b/>
        </w:rPr>
      </w:pPr>
      <w:r>
        <w:rPr>
          <w:rFonts w:hAnsi="宋体"/>
        </w:rPr>
        <w:t>①</w:t>
      </w:r>
      <w:r>
        <w:rPr>
          <w:rFonts w:hint="eastAsia"/>
        </w:rPr>
        <w:t>开标一览表（附件4，格式见“第三章 投标文件编制”）；</w:t>
      </w:r>
    </w:p>
    <w:p w14:paraId="456D8E07">
      <w:pPr>
        <w:pStyle w:val="2"/>
        <w:spacing w:line="360" w:lineRule="auto"/>
        <w:ind w:left="422"/>
        <w:rPr>
          <w:b/>
        </w:rPr>
      </w:pPr>
      <w:r>
        <w:rPr>
          <w:rFonts w:hint="eastAsia"/>
          <w:b/>
        </w:rPr>
        <w:t>（</w:t>
      </w:r>
      <w:r>
        <w:rPr>
          <w:b/>
        </w:rPr>
        <w:t>3</w:t>
      </w:r>
      <w:r>
        <w:rPr>
          <w:rFonts w:hint="eastAsia"/>
          <w:b/>
        </w:rPr>
        <w:t>）</w:t>
      </w:r>
      <w:r>
        <w:rPr>
          <w:rFonts w:hint="eastAsia"/>
          <w:b/>
          <w:lang w:val="en-US" w:eastAsia="zh-CN"/>
        </w:rPr>
        <w:t>投标</w:t>
      </w:r>
      <w:r>
        <w:rPr>
          <w:rFonts w:hint="eastAsia"/>
          <w:b/>
        </w:rPr>
        <w:t>文件</w:t>
      </w:r>
    </w:p>
    <w:p w14:paraId="6B21E233">
      <w:pPr>
        <w:pStyle w:val="2"/>
        <w:spacing w:line="360" w:lineRule="auto"/>
        <w:ind w:firstLine="420" w:firstLineChars="200"/>
        <w:rPr>
          <w:rFonts w:hint="eastAsia" w:hAnsi="宋体"/>
        </w:rPr>
      </w:pPr>
      <w:r>
        <w:rPr>
          <w:rFonts w:hAnsi="宋体"/>
        </w:rPr>
        <w:t>①</w:t>
      </w:r>
      <w:r>
        <w:rPr>
          <w:rFonts w:hint="eastAsia" w:hAnsi="宋体"/>
        </w:rPr>
        <w:t>投标函（</w:t>
      </w:r>
      <w:r>
        <w:rPr>
          <w:rFonts w:hint="eastAsia"/>
        </w:rPr>
        <w:t>附件</w:t>
      </w:r>
      <w:r>
        <w:t>3</w:t>
      </w:r>
      <w:r>
        <w:rPr>
          <w:rFonts w:hint="eastAsia"/>
        </w:rPr>
        <w:t>，格式见“第三章 投标文件编制”</w:t>
      </w:r>
      <w:r>
        <w:rPr>
          <w:rFonts w:hint="eastAsia" w:hAnsi="宋体"/>
        </w:rPr>
        <w:t>）；</w:t>
      </w:r>
    </w:p>
    <w:p w14:paraId="53A0B755">
      <w:pPr>
        <w:pStyle w:val="2"/>
        <w:numPr>
          <w:ilvl w:val="0"/>
          <w:numId w:val="3"/>
        </w:numPr>
        <w:spacing w:line="360" w:lineRule="auto"/>
        <w:rPr>
          <w:rFonts w:hAnsi="宋体"/>
        </w:rPr>
      </w:pPr>
      <w:r>
        <w:rPr>
          <w:rFonts w:hint="eastAsia" w:hAnsi="宋体"/>
        </w:rPr>
        <w:t>近三年同类项目业绩一览表（</w:t>
      </w:r>
      <w:r>
        <w:rPr>
          <w:rFonts w:hint="eastAsia"/>
        </w:rPr>
        <w:t>附件7，格式见“第三章 投标文件编制”</w:t>
      </w:r>
      <w:r>
        <w:rPr>
          <w:rFonts w:hint="eastAsia" w:hAnsi="宋体"/>
        </w:rPr>
        <w:t>）及有效合同复印件；</w:t>
      </w:r>
    </w:p>
    <w:p w14:paraId="379897C3">
      <w:pPr>
        <w:pStyle w:val="2"/>
        <w:numPr>
          <w:ilvl w:val="0"/>
          <w:numId w:val="3"/>
        </w:numPr>
        <w:spacing w:line="360" w:lineRule="auto"/>
      </w:pPr>
      <w:r>
        <w:rPr>
          <w:rFonts w:hint="eastAsia" w:hAnsi="宋体"/>
        </w:rPr>
        <w:t>相关条款偏离表</w:t>
      </w:r>
      <w:r>
        <w:rPr>
          <w:rFonts w:hint="eastAsia"/>
        </w:rPr>
        <w:t>（附件5，格式见“第三章 投标文件编制”）；</w:t>
      </w:r>
    </w:p>
    <w:p w14:paraId="3CD427A7">
      <w:pPr>
        <w:pStyle w:val="2"/>
        <w:spacing w:line="360" w:lineRule="auto"/>
        <w:ind w:firstLine="422" w:firstLineChars="200"/>
      </w:pPr>
      <w:r>
        <w:rPr>
          <w:rFonts w:hint="eastAsia" w:hAnsi="宋体"/>
          <w:b/>
        </w:rPr>
        <w:t>注：</w:t>
      </w:r>
      <w:r>
        <w:rPr>
          <w:rFonts w:hint="eastAsia" w:hAnsi="宋体"/>
        </w:rPr>
        <w:t>可做正偏离，但不允许有低于本招标文件相关要求的情况出现，否则视为</w:t>
      </w:r>
      <w:r>
        <w:rPr>
          <w:rFonts w:hint="eastAsia"/>
        </w:rPr>
        <w:t>主动放弃本项目投标</w:t>
      </w:r>
      <w:r>
        <w:rPr>
          <w:rFonts w:hint="eastAsia" w:hAnsi="宋体"/>
        </w:rPr>
        <w:t>。</w:t>
      </w:r>
    </w:p>
    <w:p w14:paraId="155B3237">
      <w:pPr>
        <w:pStyle w:val="2"/>
        <w:numPr>
          <w:ilvl w:val="0"/>
          <w:numId w:val="3"/>
        </w:numPr>
        <w:spacing w:line="360" w:lineRule="auto"/>
      </w:pPr>
      <w:r>
        <w:rPr>
          <w:rFonts w:hint="eastAsia" w:hAnsi="宋体"/>
        </w:rPr>
        <w:t>企业概况一览表：包括</w:t>
      </w:r>
      <w:r>
        <w:rPr>
          <w:rFonts w:hint="eastAsia"/>
        </w:rPr>
        <w:t>生产场地、人员、设备、处置能力、技术、专利、处置工艺等（附件6，格式见“第三章 投标文件编制”）；</w:t>
      </w:r>
    </w:p>
    <w:p w14:paraId="4F6D95D5">
      <w:pPr>
        <w:pStyle w:val="2"/>
        <w:numPr>
          <w:ilvl w:val="0"/>
          <w:numId w:val="3"/>
        </w:numPr>
        <w:spacing w:line="360" w:lineRule="auto"/>
      </w:pPr>
      <w:r>
        <w:rPr>
          <w:rFonts w:hint="eastAsia" w:hAnsi="宋体" w:cs="宋体"/>
          <w:szCs w:val="21"/>
        </w:rPr>
        <w:t>法人授权委托书（附件</w:t>
      </w:r>
      <w:r>
        <w:rPr>
          <w:rFonts w:hAnsi="宋体" w:cs="宋体"/>
          <w:szCs w:val="21"/>
        </w:rPr>
        <w:t>2</w:t>
      </w:r>
      <w:r>
        <w:rPr>
          <w:rFonts w:hint="eastAsia"/>
        </w:rPr>
        <w:t>，格式见“第三章 投标文件编制”</w:t>
      </w:r>
      <w:r>
        <w:rPr>
          <w:rFonts w:hint="eastAsia" w:hAnsi="宋体" w:cs="宋体"/>
          <w:szCs w:val="21"/>
        </w:rPr>
        <w:t>）</w:t>
      </w:r>
    </w:p>
    <w:p w14:paraId="716E880C">
      <w:pPr>
        <w:pStyle w:val="2"/>
        <w:numPr>
          <w:ilvl w:val="0"/>
          <w:numId w:val="3"/>
        </w:numPr>
        <w:spacing w:line="360" w:lineRule="auto"/>
      </w:pPr>
      <w:r>
        <w:rPr>
          <w:rFonts w:hint="eastAsia"/>
        </w:rPr>
        <w:t>投标人认为需要提交的其它文件。</w:t>
      </w:r>
    </w:p>
    <w:p w14:paraId="3EFD6505">
      <w:pPr>
        <w:pStyle w:val="2"/>
        <w:spacing w:line="360" w:lineRule="auto"/>
        <w:ind w:firstLine="422" w:firstLineChars="200"/>
        <w:rPr>
          <w:b/>
        </w:rPr>
      </w:pPr>
      <w:r>
        <w:rPr>
          <w:rFonts w:hint="eastAsia"/>
          <w:b/>
        </w:rPr>
        <w:t>2.投标文件的签署盖章、密封标记、附件格式：</w:t>
      </w:r>
    </w:p>
    <w:p w14:paraId="43AA0E7D">
      <w:pPr>
        <w:pStyle w:val="2"/>
        <w:spacing w:line="360" w:lineRule="auto"/>
        <w:ind w:firstLine="630" w:firstLineChars="300"/>
      </w:pPr>
      <w:r>
        <w:rPr>
          <w:rFonts w:hint="eastAsia"/>
        </w:rPr>
        <w:t>详见“第三章 投标文件编制”之相关要求。</w:t>
      </w:r>
    </w:p>
    <w:p w14:paraId="347A7B21">
      <w:pPr>
        <w:pStyle w:val="2"/>
        <w:spacing w:line="360" w:lineRule="auto"/>
        <w:ind w:firstLine="422" w:firstLineChars="150"/>
        <w:rPr>
          <w:rFonts w:ascii="黑体" w:hAnsi="黑体" w:eastAsia="黑体"/>
          <w:b/>
          <w:sz w:val="28"/>
          <w:szCs w:val="28"/>
        </w:rPr>
      </w:pPr>
      <w:r>
        <w:rPr>
          <w:rFonts w:hint="eastAsia" w:ascii="黑体" w:hAnsi="黑体" w:eastAsia="黑体"/>
          <w:b/>
          <w:sz w:val="28"/>
          <w:szCs w:val="28"/>
        </w:rPr>
        <w:t>三、报价</w:t>
      </w:r>
    </w:p>
    <w:p w14:paraId="293A7C7E">
      <w:pPr>
        <w:pStyle w:val="2"/>
        <w:spacing w:line="360" w:lineRule="auto"/>
        <w:ind w:firstLine="420" w:firstLineChars="200"/>
        <w:rPr>
          <w:rFonts w:hAnsi="宋体"/>
        </w:rPr>
      </w:pPr>
      <w:r>
        <w:rPr>
          <w:rFonts w:hint="eastAsia"/>
        </w:rPr>
        <w:t>1.</w:t>
      </w:r>
      <w:r>
        <w:rPr>
          <w:rFonts w:hint="eastAsia" w:hAnsi="宋体"/>
        </w:rPr>
        <w:t>原则上招标人将与中标人签订为期一年的危险废物处置协议。鉴于此，投标人应根据招标人提供的</w:t>
      </w:r>
      <w:r>
        <w:rPr>
          <w:rFonts w:hint="eastAsia"/>
        </w:rPr>
        <w:t>开标一览表（附件4，格式见“第三章 投标文件编制”）；</w:t>
      </w:r>
      <w:r>
        <w:rPr>
          <w:rFonts w:hint="eastAsia" w:hAnsi="宋体"/>
        </w:rPr>
        <w:t>酌情考虑总体的处置量，本着诚信合作的态度，向招标人提供真实、合理的投标报价。</w:t>
      </w:r>
    </w:p>
    <w:p w14:paraId="49122DF9">
      <w:pPr>
        <w:pStyle w:val="2"/>
        <w:spacing w:line="360" w:lineRule="auto"/>
        <w:ind w:firstLine="420" w:firstLineChars="200"/>
      </w:pPr>
      <w:r>
        <w:rPr>
          <w:rFonts w:hint="eastAsia" w:hAnsi="宋体"/>
        </w:rPr>
        <w:t>2.</w:t>
      </w:r>
      <w:r>
        <w:rPr>
          <w:rFonts w:hint="eastAsia"/>
        </w:rPr>
        <w:t>投标价格含合同签订的危险废物处置过程中所产生的一切费用，包括处置费、运输费及相关服务等所有费用。评标小组有权根据报价情况要求所有投标人进行澄清。</w:t>
      </w:r>
    </w:p>
    <w:p w14:paraId="1E604E47">
      <w:pPr>
        <w:pStyle w:val="2"/>
        <w:spacing w:line="360" w:lineRule="auto"/>
        <w:ind w:firstLine="420" w:firstLineChars="200"/>
      </w:pPr>
      <w:r>
        <w:rPr>
          <w:rFonts w:hint="eastAsia"/>
          <w:lang w:val="en-US" w:eastAsia="zh-CN"/>
        </w:rPr>
        <w:t>3</w:t>
      </w:r>
      <w:r>
        <w:rPr>
          <w:rFonts w:hint="eastAsia"/>
        </w:rPr>
        <w:t>.结算方式：</w:t>
      </w:r>
      <w:r>
        <w:rPr>
          <w:rFonts w:hint="eastAsia"/>
          <w:b/>
        </w:rPr>
        <w:t>半年期商业汇票支付</w:t>
      </w:r>
      <w:r>
        <w:rPr>
          <w:rFonts w:hint="eastAsia" w:hAnsi="宋体"/>
        </w:rPr>
        <w:t>（包括银行承兑汇票和商业承兑汇票）（需按招标人需求，开具相关税率的增值税专用发票）。</w:t>
      </w:r>
    </w:p>
    <w:p w14:paraId="38E2F67E">
      <w:pPr>
        <w:pStyle w:val="2"/>
        <w:spacing w:line="360" w:lineRule="auto"/>
        <w:ind w:firstLine="422" w:firstLineChars="200"/>
        <w:rPr>
          <w:rFonts w:hAnsi="宋体"/>
          <w:b/>
        </w:rPr>
      </w:pPr>
      <w:r>
        <w:rPr>
          <w:rFonts w:hint="eastAsia" w:hAnsi="宋体"/>
          <w:b/>
        </w:rPr>
        <w:t>注：</w:t>
      </w:r>
    </w:p>
    <w:p w14:paraId="0F746271">
      <w:pPr>
        <w:pStyle w:val="2"/>
        <w:spacing w:line="360" w:lineRule="auto"/>
        <w:ind w:firstLine="420" w:firstLineChars="200"/>
      </w:pPr>
      <w:r>
        <w:rPr>
          <w:rFonts w:hint="eastAsia"/>
        </w:rPr>
        <w:t>（1）如投标人不认可、不接受使用</w:t>
      </w:r>
      <w:r>
        <w:rPr>
          <w:rFonts w:hint="eastAsia"/>
          <w:b/>
        </w:rPr>
        <w:t>半年期商业汇票支付</w:t>
      </w:r>
      <w:r>
        <w:rPr>
          <w:rFonts w:hint="eastAsia"/>
        </w:rPr>
        <w:t>用于费用结算，则须在本招标书“第三章 投标文件编制”之附件4“开标一览表”中注明，招标人将视之为主动弃标；</w:t>
      </w:r>
    </w:p>
    <w:p w14:paraId="0CE160CA">
      <w:pPr>
        <w:pStyle w:val="2"/>
        <w:spacing w:line="360" w:lineRule="auto"/>
        <w:ind w:firstLine="420" w:firstLineChars="200"/>
      </w:pPr>
      <w:r>
        <w:rPr>
          <w:rFonts w:hint="eastAsia"/>
          <w:szCs w:val="22"/>
        </w:rPr>
        <w:t>（2）</w:t>
      </w:r>
      <w:r>
        <w:rPr>
          <w:rFonts w:hint="eastAsia"/>
        </w:rPr>
        <w:t>投标人应对项目内招标的全部内容进行报价，不允许挑项报价、空项报价，否则视为主动弃标。</w:t>
      </w:r>
    </w:p>
    <w:p w14:paraId="69707837">
      <w:pPr>
        <w:pStyle w:val="2"/>
        <w:spacing w:line="360" w:lineRule="auto"/>
        <w:ind w:firstLine="281" w:firstLineChars="100"/>
        <w:rPr>
          <w:rFonts w:ascii="黑体" w:hAnsi="黑体" w:eastAsia="黑体"/>
          <w:b/>
          <w:sz w:val="28"/>
          <w:szCs w:val="28"/>
        </w:rPr>
      </w:pPr>
      <w:r>
        <w:rPr>
          <w:rFonts w:hint="eastAsia" w:ascii="黑体" w:hAnsi="黑体" w:eastAsia="黑体"/>
          <w:b/>
          <w:sz w:val="28"/>
          <w:szCs w:val="28"/>
        </w:rPr>
        <w:t>四、评标流程</w:t>
      </w:r>
    </w:p>
    <w:p w14:paraId="132C721B">
      <w:pPr>
        <w:pStyle w:val="2"/>
        <w:spacing w:line="360" w:lineRule="auto"/>
        <w:ind w:firstLine="422" w:firstLineChars="200"/>
        <w:rPr>
          <w:b/>
        </w:rPr>
      </w:pPr>
      <w:r>
        <w:rPr>
          <w:rFonts w:hint="eastAsia"/>
          <w:b/>
        </w:rPr>
        <w:t>1.资格审核：</w:t>
      </w:r>
    </w:p>
    <w:p w14:paraId="7518F5E3">
      <w:pPr>
        <w:pStyle w:val="2"/>
        <w:spacing w:line="360" w:lineRule="auto"/>
        <w:ind w:firstLine="420" w:firstLineChars="200"/>
        <w:rPr>
          <w:rFonts w:hAnsi="宋体"/>
        </w:rPr>
      </w:pPr>
      <w:r>
        <w:rPr>
          <w:rFonts w:hint="eastAsia" w:hAnsi="宋体"/>
        </w:rPr>
        <w:t>⑴审核依据：“</w:t>
      </w:r>
      <w:r>
        <w:rPr>
          <w:rFonts w:hint="eastAsia"/>
        </w:rPr>
        <w:t>第二章  投标人须知</w:t>
      </w:r>
      <w:r>
        <w:rPr>
          <w:rFonts w:hint="eastAsia" w:hAnsi="宋体"/>
        </w:rPr>
        <w:t>”中以下条款中的要求</w:t>
      </w:r>
    </w:p>
    <w:p w14:paraId="2097E09B">
      <w:pPr>
        <w:pStyle w:val="2"/>
        <w:spacing w:line="360" w:lineRule="auto"/>
        <w:ind w:firstLine="420" w:firstLineChars="200"/>
      </w:pPr>
      <w:r>
        <w:rPr>
          <w:rFonts w:hint="eastAsia" w:hAnsi="宋体"/>
        </w:rPr>
        <w:t>①</w:t>
      </w:r>
      <w:r>
        <w:rPr>
          <w:rFonts w:hint="eastAsia"/>
        </w:rPr>
        <w:t>“一、合格投标人”；</w:t>
      </w:r>
    </w:p>
    <w:p w14:paraId="1F503635">
      <w:pPr>
        <w:pStyle w:val="2"/>
        <w:spacing w:line="360" w:lineRule="auto"/>
        <w:ind w:firstLine="420" w:firstLineChars="200"/>
      </w:pPr>
      <w:r>
        <w:rPr>
          <w:rFonts w:hint="eastAsia" w:hAnsi="宋体"/>
        </w:rPr>
        <w:t>②</w:t>
      </w:r>
      <w:r>
        <w:rPr>
          <w:rFonts w:hint="eastAsia"/>
        </w:rPr>
        <w:t>“二、投标响应文件要求”之“1.⑴资质文件”；</w:t>
      </w:r>
    </w:p>
    <w:p w14:paraId="5C6BFD87">
      <w:pPr>
        <w:pStyle w:val="2"/>
        <w:spacing w:line="360" w:lineRule="auto"/>
        <w:ind w:firstLine="420" w:firstLineChars="200"/>
        <w:rPr>
          <w:rFonts w:hAnsi="宋体"/>
        </w:rPr>
      </w:pPr>
      <w:r>
        <w:rPr>
          <w:rFonts w:hint="eastAsia" w:hAnsi="宋体"/>
        </w:rPr>
        <w:t>⑵审核方法：</w:t>
      </w:r>
    </w:p>
    <w:p w14:paraId="3273DDA5">
      <w:pPr>
        <w:pStyle w:val="2"/>
        <w:spacing w:line="360" w:lineRule="auto"/>
        <w:ind w:firstLine="420" w:firstLineChars="200"/>
        <w:rPr>
          <w:rFonts w:hAnsi="宋体"/>
        </w:rPr>
      </w:pPr>
      <w:r>
        <w:rPr>
          <w:rFonts w:hint="eastAsia" w:hAnsi="宋体"/>
        </w:rPr>
        <w:t>由招标人组织评标专家成立资质审核小组进行现场审核。资格审核中所列示的所有条款均属于否决项，对于任意一项或多项未达到资格审核要求的投标人，视为主动放弃投标，该投标人将不能进入后续的评标程序。对于未通过资格审核要求的投标人，不做任何解释。通知未进入商务评标资格的投标人离场，商务投标书不可带走。</w:t>
      </w:r>
    </w:p>
    <w:p w14:paraId="5E277ED9">
      <w:pPr>
        <w:pStyle w:val="2"/>
        <w:spacing w:line="360" w:lineRule="auto"/>
        <w:ind w:firstLine="422" w:firstLineChars="200"/>
        <w:rPr>
          <w:rFonts w:hAnsi="宋体"/>
          <w:szCs w:val="21"/>
        </w:rPr>
      </w:pPr>
      <w:r>
        <w:rPr>
          <w:rFonts w:hint="eastAsia"/>
          <w:b/>
        </w:rPr>
        <w:t>2.评标：</w:t>
      </w:r>
    </w:p>
    <w:p w14:paraId="14F2BFF2">
      <w:pPr>
        <w:pStyle w:val="2"/>
        <w:spacing w:line="360" w:lineRule="auto"/>
        <w:ind w:firstLine="420" w:firstLineChars="200"/>
        <w:rPr>
          <w:rFonts w:hint="eastAsia" w:hAnsi="宋体"/>
          <w:szCs w:val="21"/>
        </w:rPr>
      </w:pPr>
      <w:r>
        <w:rPr>
          <w:rFonts w:hAnsi="宋体"/>
          <w:szCs w:val="21"/>
        </w:rPr>
        <w:t>2</w:t>
      </w:r>
      <w:r>
        <w:rPr>
          <w:rFonts w:hint="eastAsia" w:hAnsi="宋体"/>
          <w:szCs w:val="21"/>
        </w:rPr>
        <w:t>.1应标资格审查：在“中国重汽e采通”应标名时，按照第二部分投标人须知文件中资格证明材料准备相关资料，上传完毕后，等待审核；</w:t>
      </w:r>
    </w:p>
    <w:p w14:paraId="63F547FE">
      <w:pPr>
        <w:pStyle w:val="2"/>
        <w:spacing w:line="360" w:lineRule="auto"/>
        <w:ind w:firstLine="420" w:firstLineChars="200"/>
        <w:rPr>
          <w:rFonts w:hAnsi="宋体"/>
          <w:szCs w:val="21"/>
        </w:rPr>
      </w:pPr>
      <w:r>
        <w:rPr>
          <w:rFonts w:hAnsi="宋体"/>
          <w:szCs w:val="21"/>
        </w:rPr>
        <w:t>2</w:t>
      </w:r>
      <w:r>
        <w:rPr>
          <w:rFonts w:hint="eastAsia" w:hAnsi="宋体"/>
          <w:szCs w:val="21"/>
        </w:rPr>
        <w:t>.2通过应标资格审查的单位进入投标环节，按照“SRM系统供应商用户手册”，在重汽e采通平台投递电子标书（包含资质标、商务标），没有通过应标资质审查的单位不能进入投标环节；</w:t>
      </w:r>
    </w:p>
    <w:p w14:paraId="4AAB240E">
      <w:pPr>
        <w:pStyle w:val="2"/>
        <w:spacing w:line="360" w:lineRule="auto"/>
        <w:ind w:firstLine="420" w:firstLineChars="200"/>
        <w:rPr>
          <w:rFonts w:hAnsi="宋体"/>
          <w:szCs w:val="21"/>
        </w:rPr>
      </w:pPr>
      <w:r>
        <w:rPr>
          <w:rFonts w:hint="eastAsia" w:hAnsi="宋体"/>
          <w:szCs w:val="21"/>
        </w:rPr>
        <w:t>2</w:t>
      </w:r>
      <w:r>
        <w:rPr>
          <w:rFonts w:hAnsi="宋体"/>
          <w:szCs w:val="21"/>
        </w:rPr>
        <w:t>.3</w:t>
      </w:r>
      <w:r>
        <w:rPr>
          <w:rFonts w:hint="eastAsia" w:hAnsi="宋体"/>
          <w:szCs w:val="21"/>
        </w:rPr>
        <w:t>由招标人为该项目依法组织的、由</w:t>
      </w:r>
      <w:r>
        <w:rPr>
          <w:rFonts w:hint="eastAsia" w:hAnsi="宋体"/>
          <w:szCs w:val="21"/>
          <w:lang w:val="en-US" w:eastAsia="zh-CN"/>
        </w:rPr>
        <w:t>三</w:t>
      </w:r>
      <w:r>
        <w:rPr>
          <w:rFonts w:hint="eastAsia" w:hAnsi="宋体"/>
          <w:szCs w:val="21"/>
        </w:rPr>
        <w:t>人及以上单数成员组成的评标工作小组负责，采用综合评分法，依据评分标准，本着公平、公正、公开、有序的原则，在最大限度地满足招标文件实质性要求的前提下，按照评审要素中的具体项目进行综合评审。</w:t>
      </w:r>
      <w:r>
        <w:rPr>
          <w:rFonts w:hAnsi="宋体"/>
          <w:szCs w:val="21"/>
        </w:rPr>
        <w:t xml:space="preserve"> </w:t>
      </w:r>
    </w:p>
    <w:p w14:paraId="1FDB94C6">
      <w:pPr>
        <w:pStyle w:val="2"/>
        <w:spacing w:line="360" w:lineRule="auto"/>
        <w:ind w:firstLine="420" w:firstLineChars="200"/>
        <w:rPr>
          <w:rFonts w:hint="eastAsia"/>
        </w:rPr>
      </w:pPr>
      <w:r>
        <w:rPr>
          <w:rFonts w:hint="eastAsia" w:hAnsi="宋体"/>
        </w:rPr>
        <w:t>⑴评标方式：</w:t>
      </w:r>
    </w:p>
    <w:p w14:paraId="2F9CB5F4">
      <w:pPr>
        <w:pStyle w:val="2"/>
        <w:spacing w:line="360" w:lineRule="auto"/>
        <w:ind w:firstLine="420" w:firstLineChars="200"/>
        <w:rPr>
          <w:rFonts w:hint="eastAsia"/>
          <w:highlight w:val="none"/>
        </w:rPr>
      </w:pPr>
      <w:r>
        <w:rPr>
          <w:rFonts w:hint="eastAsia"/>
          <w:highlight w:val="none"/>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w:t>
      </w:r>
      <w:r>
        <w:rPr>
          <w:rFonts w:hint="eastAsia"/>
          <w:highlight w:val="none"/>
          <w:lang w:val="en-US" w:eastAsia="zh-CN"/>
        </w:rPr>
        <w:t>应标人进行商务谈判</w:t>
      </w:r>
      <w:r>
        <w:rPr>
          <w:rFonts w:hint="eastAsia"/>
          <w:highlight w:val="none"/>
        </w:rPr>
        <w:t>。</w:t>
      </w:r>
    </w:p>
    <w:p w14:paraId="017B1D1F">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Ansi="宋体"/>
          <w:szCs w:val="21"/>
        </w:rPr>
      </w:pPr>
      <w:r>
        <w:rPr>
          <w:rFonts w:hint="eastAsia" w:ascii="宋体" w:eastAsia="宋体"/>
          <w:bCs/>
          <w:highlight w:val="none"/>
          <w:lang w:val="en-US" w:eastAsia="zh-CN"/>
        </w:rPr>
        <w:t>评标流程：应标资格审查： 在“中国重汽 e 采通”应标报名时，按照第二部分投标文件组成资格证明文件中的要求准备资料， 上传完毕后，等待审核；通过应标资格审查的单位进入投标环节，按照“ SRM 系统供应商用户手册”，在重汽 e 采通平台投递电子标书 ； 没有通过应标资质审查的单位不能进入投标环节</w:t>
      </w:r>
      <w:r>
        <w:rPr>
          <w:rFonts w:hint="eastAsia" w:hAnsi="宋体"/>
          <w:szCs w:val="21"/>
        </w:rPr>
        <w:t xml:space="preserve">。  </w:t>
      </w:r>
    </w:p>
    <w:p w14:paraId="6939269A">
      <w:pPr>
        <w:pStyle w:val="2"/>
        <w:spacing w:line="360" w:lineRule="auto"/>
        <w:rPr>
          <w:rFonts w:ascii="黑体" w:eastAsia="黑体"/>
          <w:b/>
          <w:bCs/>
          <w:sz w:val="28"/>
        </w:rPr>
      </w:pPr>
      <w:r>
        <w:rPr>
          <w:rFonts w:hint="eastAsia" w:ascii="黑体" w:eastAsia="黑体"/>
          <w:b/>
          <w:bCs/>
          <w:sz w:val="28"/>
        </w:rPr>
        <w:t>六、</w:t>
      </w:r>
      <w:r>
        <w:rPr>
          <w:rFonts w:hint="eastAsia" w:ascii="黑体" w:eastAsia="黑体"/>
          <w:b/>
          <w:bCs/>
          <w:sz w:val="28"/>
          <w:szCs w:val="22"/>
          <w:highlight w:val="none"/>
        </w:rPr>
        <w:t>合同签订</w:t>
      </w:r>
    </w:p>
    <w:p w14:paraId="4C3B845A">
      <w:pPr>
        <w:spacing w:line="520" w:lineRule="exact"/>
        <w:ind w:right="2" w:firstLine="420" w:firstLineChars="200"/>
        <w:rPr>
          <w:rFonts w:hint="eastAsia" w:ascii="宋体" w:hAnsi="Courier New"/>
          <w:highlight w:val="none"/>
        </w:rPr>
      </w:pPr>
      <w:r>
        <w:rPr>
          <w:rFonts w:hint="eastAsia" w:ascii="宋体" w:hAnsi="Courier New"/>
          <w:highlight w:val="none"/>
        </w:rPr>
        <w:t>1）根据评标工作小组的评标结果并按相关法律法规的规定及公司相关制度要求，确定中标人。中标人承诺无条件服从招标人针对该项目的后续所有安排。招标人不对未中标人做任何解释。</w:t>
      </w:r>
    </w:p>
    <w:p w14:paraId="19EB3575">
      <w:pPr>
        <w:spacing w:line="520" w:lineRule="exact"/>
        <w:ind w:right="2" w:firstLine="420" w:firstLineChars="200"/>
        <w:rPr>
          <w:rFonts w:hint="eastAsia" w:ascii="宋体" w:hAnsi="Courier New"/>
          <w:highlight w:val="none"/>
        </w:rPr>
      </w:pPr>
      <w:r>
        <w:rPr>
          <w:rFonts w:hint="eastAsia" w:ascii="宋体" w:hAnsi="Courier New"/>
          <w:highlight w:val="none"/>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招标人将从剩余投标人中依序重新确定中标人，或重新组织招标。</w:t>
      </w:r>
    </w:p>
    <w:p w14:paraId="415ED48E">
      <w:pPr>
        <w:spacing w:line="520" w:lineRule="exact"/>
        <w:ind w:right="2" w:firstLine="420" w:firstLineChars="200"/>
        <w:rPr>
          <w:rFonts w:hint="eastAsia" w:ascii="宋体" w:hAnsi="Courier New"/>
          <w:highlight w:val="none"/>
        </w:rPr>
      </w:pPr>
      <w:r>
        <w:rPr>
          <w:rFonts w:hint="eastAsia" w:ascii="宋体" w:hAnsi="Courier New"/>
          <w:highlight w:val="none"/>
        </w:rPr>
        <w:t>3）</w:t>
      </w:r>
      <w:r>
        <w:rPr>
          <w:rFonts w:hint="eastAsia" w:ascii="宋体" w:hAnsi="Courier New"/>
        </w:rPr>
        <w:t>中标方收到中标通知后7个工作日内完成签订合同，合同期一年。</w:t>
      </w:r>
      <w:r>
        <w:rPr>
          <w:rFonts w:hint="eastAsia" w:ascii="宋体" w:hAnsi="Courier New"/>
          <w:highlight w:val="none"/>
        </w:rPr>
        <w:t>中标人应在保证质量的前提下完成中标项目，不得将中标项目转包或分包给他人，否则视为违约，招标人有权解除合同。</w:t>
      </w:r>
    </w:p>
    <w:p w14:paraId="0484B72C">
      <w:pPr>
        <w:spacing w:line="520" w:lineRule="exact"/>
        <w:ind w:right="2" w:firstLine="420" w:firstLineChars="200"/>
        <w:rPr>
          <w:rFonts w:hint="eastAsia" w:ascii="宋体" w:hAnsi="Courier New"/>
          <w:highlight w:val="none"/>
        </w:rPr>
      </w:pPr>
      <w:r>
        <w:rPr>
          <w:rFonts w:hint="eastAsia" w:ascii="宋体" w:hAnsi="Courier New"/>
          <w:highlight w:val="none"/>
          <w:lang w:val="en-US" w:eastAsia="zh-CN"/>
        </w:rPr>
        <w:t>4</w:t>
      </w:r>
      <w:r>
        <w:rPr>
          <w:rFonts w:hint="eastAsia" w:ascii="宋体" w:hAnsi="Courier New"/>
          <w:highlight w:val="none"/>
        </w:rPr>
        <w:t>）招标人与中标人签署相关合同，具体权利义务以双方最终签署的合同为准。</w:t>
      </w:r>
    </w:p>
    <w:p w14:paraId="432BD4DE">
      <w:pPr>
        <w:shd w:val="clear" w:color="auto" w:fill="FFFFFF"/>
        <w:spacing w:line="360" w:lineRule="atLeast"/>
        <w:ind w:firstLine="480"/>
        <w:rPr>
          <w:rFonts w:hint="eastAsia" w:ascii="宋体" w:hAnsi="Courier New"/>
          <w:highlight w:val="none"/>
        </w:rPr>
      </w:pPr>
      <w:r>
        <w:rPr>
          <w:rFonts w:hint="eastAsia" w:ascii="宋体" w:hAnsi="Courier New"/>
          <w:highlight w:val="none"/>
          <w:lang w:val="en-US" w:eastAsia="zh-CN"/>
        </w:rPr>
        <w:t>5</w:t>
      </w:r>
      <w:r>
        <w:rPr>
          <w:rFonts w:hint="eastAsia" w:ascii="宋体" w:hAnsi="Courier New"/>
          <w:highlight w:val="none"/>
        </w:rPr>
        <w:t>）中标人须认可由于招标人上级集团公司政策变化引起的合同签订前终止项目的要求。</w:t>
      </w:r>
    </w:p>
    <w:p w14:paraId="1F520A84">
      <w:pPr>
        <w:pStyle w:val="2"/>
        <w:spacing w:line="360" w:lineRule="auto"/>
        <w:ind w:firstLine="420" w:firstLineChars="200"/>
        <w:jc w:val="left"/>
        <w:rPr>
          <w:rFonts w:hint="eastAsia" w:hAnsi="宋体"/>
          <w:szCs w:val="21"/>
        </w:rPr>
      </w:pPr>
      <w:r>
        <w:rPr>
          <w:rFonts w:hint="eastAsia" w:hAnsi="宋体"/>
          <w:szCs w:val="21"/>
          <w:lang w:val="en-US" w:eastAsia="zh-CN"/>
        </w:rPr>
        <w:t>6)</w:t>
      </w:r>
      <w:r>
        <w:rPr>
          <w:rFonts w:hint="eastAsia" w:hAnsi="宋体"/>
          <w:szCs w:val="21"/>
        </w:rPr>
        <w:t>中标方持有当地生态环境局(厅)核发的正式危险废物经营许可证（增项变更换证除外），并严格按照危险废物经营许可证所批准的经营危险废物类别及规模范围进行危险废物转移运输及处置。</w:t>
      </w:r>
    </w:p>
    <w:p w14:paraId="1C4DE7D5">
      <w:pPr>
        <w:autoSpaceDE w:val="0"/>
        <w:autoSpaceDN w:val="0"/>
        <w:adjustRightInd w:val="0"/>
        <w:spacing w:line="360" w:lineRule="auto"/>
        <w:ind w:firstLine="420" w:firstLineChars="200"/>
        <w:jc w:val="left"/>
        <w:rPr>
          <w:rFonts w:hint="eastAsia" w:ascii="宋体" w:hAnsi="宋体"/>
          <w:szCs w:val="21"/>
        </w:rPr>
      </w:pPr>
      <w:r>
        <w:rPr>
          <w:rFonts w:hint="eastAsia" w:ascii="宋体" w:hAnsi="宋体"/>
          <w:szCs w:val="21"/>
          <w:lang w:val="en-US" w:eastAsia="zh-CN"/>
        </w:rPr>
        <w:t>7)</w:t>
      </w:r>
      <w:r>
        <w:rPr>
          <w:rFonts w:hint="eastAsia" w:ascii="宋体" w:hAnsi="宋体"/>
          <w:szCs w:val="21"/>
        </w:rPr>
        <w:t>中标</w:t>
      </w:r>
      <w:r>
        <w:rPr>
          <w:rFonts w:hint="eastAsia" w:hAnsi="宋体"/>
          <w:szCs w:val="21"/>
        </w:rPr>
        <w:t>方</w:t>
      </w:r>
      <w:r>
        <w:rPr>
          <w:rFonts w:hint="eastAsia" w:ascii="宋体" w:hAnsi="宋体"/>
          <w:szCs w:val="21"/>
        </w:rPr>
        <w:t>负责危险废物转移运输期间的装卸车活动（招标方负责提供</w:t>
      </w:r>
      <w:r>
        <w:rPr>
          <w:rFonts w:hint="eastAsia" w:hAnsi="宋体"/>
          <w:szCs w:val="21"/>
        </w:rPr>
        <w:t>叉车、行车等机械设备并配备叉车司机及行车操作人员</w:t>
      </w:r>
      <w:r>
        <w:rPr>
          <w:rFonts w:hint="eastAsia" w:ascii="宋体" w:hAnsi="宋体"/>
          <w:szCs w:val="21"/>
        </w:rPr>
        <w:t>）。</w:t>
      </w:r>
    </w:p>
    <w:p w14:paraId="17CA8893">
      <w:pPr>
        <w:autoSpaceDE w:val="0"/>
        <w:autoSpaceDN w:val="0"/>
        <w:adjustRightInd w:val="0"/>
        <w:spacing w:line="360" w:lineRule="auto"/>
        <w:ind w:firstLine="420" w:firstLineChars="200"/>
        <w:jc w:val="left"/>
        <w:rPr>
          <w:rFonts w:hAnsi="宋体"/>
          <w:szCs w:val="21"/>
        </w:rPr>
      </w:pPr>
      <w:r>
        <w:rPr>
          <w:rFonts w:hint="eastAsia" w:ascii="Calibri" w:hAnsi="Calibri"/>
          <w:b w:val="0"/>
          <w:bCs/>
          <w:szCs w:val="21"/>
          <w:lang w:val="en-US" w:eastAsia="zh-CN"/>
        </w:rPr>
        <w:t>8）</w:t>
      </w:r>
      <w:r>
        <w:rPr>
          <w:rFonts w:hint="eastAsia" w:ascii="宋体" w:hAnsi="宋体"/>
          <w:szCs w:val="21"/>
        </w:rPr>
        <w:t>中标方</w:t>
      </w:r>
      <w:r>
        <w:rPr>
          <w:rFonts w:hint="eastAsia" w:hAnsi="宋体"/>
          <w:szCs w:val="21"/>
        </w:rPr>
        <w:t>可自行运输或委托有危险废物道路运输资质的公司负责运输危险废物，运输车辆驶出招标方厂区的所发生的任何运输风险由</w:t>
      </w:r>
      <w:r>
        <w:rPr>
          <w:rFonts w:hint="eastAsia" w:ascii="宋体" w:hAnsi="宋体"/>
          <w:szCs w:val="21"/>
        </w:rPr>
        <w:t>中标</w:t>
      </w:r>
      <w:r>
        <w:rPr>
          <w:rFonts w:hint="eastAsia" w:hAnsi="宋体"/>
          <w:szCs w:val="21"/>
        </w:rPr>
        <w:t>方承担；</w:t>
      </w:r>
    </w:p>
    <w:p w14:paraId="46A80DD0">
      <w:pPr>
        <w:autoSpaceDE w:val="0"/>
        <w:autoSpaceDN w:val="0"/>
        <w:adjustRightInd w:val="0"/>
        <w:spacing w:line="360" w:lineRule="auto"/>
        <w:ind w:firstLine="420" w:firstLineChars="200"/>
        <w:jc w:val="left"/>
        <w:rPr>
          <w:rFonts w:hAnsi="宋体"/>
          <w:szCs w:val="21"/>
        </w:rPr>
      </w:pPr>
      <w:r>
        <w:rPr>
          <w:rFonts w:hint="eastAsia" w:ascii="宋体" w:hAnsi="宋体"/>
          <w:szCs w:val="21"/>
        </w:rPr>
        <w:t>出入</w:t>
      </w:r>
      <w:r>
        <w:rPr>
          <w:rFonts w:hint="eastAsia" w:hAnsi="宋体"/>
          <w:szCs w:val="21"/>
        </w:rPr>
        <w:t>招标方厂区的危险废物运输车辆必须是中国重汽品牌车辆，厂家配备能够取得</w:t>
      </w:r>
      <w:r>
        <w:rPr>
          <w:rFonts w:hint="eastAsia" w:hAnsi="宋体"/>
          <w:szCs w:val="21"/>
          <w:lang w:val="en-US" w:eastAsia="zh-CN"/>
        </w:rPr>
        <w:t>济宁</w:t>
      </w:r>
      <w:r>
        <w:rPr>
          <w:rFonts w:hint="eastAsia" w:hAnsi="宋体"/>
          <w:szCs w:val="21"/>
        </w:rPr>
        <w:t>市区内通行证的轻型危废处置车辆；</w:t>
      </w:r>
    </w:p>
    <w:p w14:paraId="0ACE8BEF">
      <w:pPr>
        <w:autoSpaceDE w:val="0"/>
        <w:autoSpaceDN w:val="0"/>
        <w:adjustRightInd w:val="0"/>
        <w:spacing w:line="360" w:lineRule="auto"/>
        <w:ind w:firstLine="420" w:firstLineChars="200"/>
        <w:jc w:val="left"/>
        <w:rPr>
          <w:rFonts w:hint="eastAsia" w:hAnsi="宋体"/>
          <w:szCs w:val="21"/>
        </w:rPr>
      </w:pPr>
      <w:r>
        <w:rPr>
          <w:rFonts w:hint="eastAsia" w:hAnsi="宋体"/>
          <w:szCs w:val="21"/>
        </w:rPr>
        <w:t>危险废物运输过程中保证密封包装，捆扎结实，确保装车、运输过程中无泄露；</w:t>
      </w:r>
    </w:p>
    <w:p w14:paraId="56A3A1D9">
      <w:pPr>
        <w:pStyle w:val="2"/>
        <w:spacing w:line="360" w:lineRule="auto"/>
        <w:ind w:firstLine="420" w:firstLineChars="200"/>
        <w:jc w:val="left"/>
        <w:rPr>
          <w:rFonts w:hint="eastAsia" w:hAnsi="宋体"/>
          <w:szCs w:val="21"/>
        </w:rPr>
      </w:pPr>
      <w:r>
        <w:rPr>
          <w:rFonts w:hint="eastAsia" w:hAnsi="宋体"/>
          <w:szCs w:val="21"/>
        </w:rPr>
        <w:t>必须由持有危险货物运输车辆驾驶及押运资格证的人员负责运输。</w:t>
      </w:r>
    </w:p>
    <w:p w14:paraId="64777EE8">
      <w:pPr>
        <w:autoSpaceDE w:val="0"/>
        <w:autoSpaceDN w:val="0"/>
        <w:adjustRightInd w:val="0"/>
        <w:spacing w:line="360" w:lineRule="auto"/>
        <w:ind w:firstLine="422" w:firstLineChars="200"/>
        <w:jc w:val="left"/>
        <w:rPr>
          <w:rFonts w:hint="eastAsia" w:ascii="Calibri" w:hAnsi="Calibri"/>
          <w:b/>
          <w:szCs w:val="21"/>
        </w:rPr>
      </w:pPr>
      <w:r>
        <w:rPr>
          <w:rFonts w:hint="eastAsia" w:ascii="Calibri" w:hAnsi="Calibri"/>
          <w:b/>
          <w:szCs w:val="21"/>
        </w:rPr>
        <w:t>5.转移期限</w:t>
      </w:r>
    </w:p>
    <w:p w14:paraId="4B7039B1">
      <w:pPr>
        <w:autoSpaceDE w:val="0"/>
        <w:autoSpaceDN w:val="0"/>
        <w:adjustRightInd w:val="0"/>
        <w:spacing w:line="360" w:lineRule="auto"/>
        <w:ind w:firstLine="420" w:firstLineChars="200"/>
        <w:jc w:val="left"/>
        <w:rPr>
          <w:rFonts w:hint="eastAsia" w:hAnsi="宋体"/>
          <w:szCs w:val="21"/>
        </w:rPr>
      </w:pPr>
      <w:r>
        <w:rPr>
          <w:rFonts w:hint="eastAsia" w:ascii="宋体" w:hAnsi="宋体"/>
          <w:szCs w:val="21"/>
        </w:rPr>
        <w:t>⑴</w:t>
      </w:r>
      <w:r>
        <w:rPr>
          <w:rFonts w:hint="eastAsia" w:hAnsi="宋体"/>
          <w:szCs w:val="21"/>
        </w:rPr>
        <w:t>按照合同规定时间内到达产生单位进行转移运输。</w:t>
      </w:r>
    </w:p>
    <w:p w14:paraId="164873DA">
      <w:pPr>
        <w:pStyle w:val="2"/>
        <w:spacing w:line="360" w:lineRule="auto"/>
        <w:ind w:firstLine="420" w:firstLineChars="200"/>
        <w:jc w:val="left"/>
        <w:rPr>
          <w:rFonts w:hint="eastAsia" w:hAnsi="宋体"/>
          <w:szCs w:val="21"/>
        </w:rPr>
      </w:pPr>
      <w:r>
        <w:rPr>
          <w:rFonts w:hint="eastAsia" w:hAnsi="宋体"/>
          <w:szCs w:val="21"/>
        </w:rPr>
        <w:t>⑵不得以任何理由拒绝、拖延转移处置合同约定范围内的各类危险废物。</w:t>
      </w:r>
    </w:p>
    <w:p w14:paraId="6A600326">
      <w:pPr>
        <w:shd w:val="clear" w:color="auto" w:fill="FFFFFF"/>
        <w:spacing w:line="360" w:lineRule="atLeast"/>
        <w:ind w:firstLine="480"/>
        <w:rPr>
          <w:rFonts w:hint="eastAsia" w:ascii="宋体" w:hAnsi="Courier New"/>
          <w:highlight w:val="none"/>
        </w:rPr>
      </w:pPr>
    </w:p>
    <w:p w14:paraId="0A2AFEC4">
      <w:pPr>
        <w:pStyle w:val="2"/>
        <w:spacing w:line="360" w:lineRule="auto"/>
        <w:rPr>
          <w:rFonts w:ascii="黑体" w:hAnsi="黑体" w:eastAsia="黑体"/>
          <w:b/>
          <w:sz w:val="28"/>
          <w:szCs w:val="28"/>
        </w:rPr>
      </w:pPr>
      <w:r>
        <w:rPr>
          <w:rFonts w:hint="eastAsia" w:ascii="黑体" w:hAnsi="黑体" w:eastAsia="黑体"/>
          <w:b/>
          <w:sz w:val="28"/>
          <w:szCs w:val="28"/>
        </w:rPr>
        <w:t>七、中标人瑕疵滞后发现的处理原则</w:t>
      </w:r>
    </w:p>
    <w:p w14:paraId="6F66073A">
      <w:pPr>
        <w:pStyle w:val="2"/>
        <w:spacing w:line="360" w:lineRule="auto"/>
        <w:ind w:firstLine="420" w:firstLineChars="200"/>
      </w:pPr>
      <w:r>
        <w:rPr>
          <w:rFonts w:hint="eastAsia"/>
        </w:rPr>
        <w:t>无论基于何种原因，各项本应作为拒绝处理的情形即便未被及时发现而使该中标人通过了资格审核、评审或其他所有相关程序，包括已签订合同的情形，一旦中标人被拒绝或该中标人此前的评议结果被取消，相关的一切损失均由该中标人承担。</w:t>
      </w:r>
    </w:p>
    <w:p w14:paraId="229766D9">
      <w:pPr>
        <w:pStyle w:val="2"/>
        <w:spacing w:line="360" w:lineRule="auto"/>
        <w:rPr>
          <w:rFonts w:ascii="黑体" w:eastAsia="黑体"/>
          <w:b/>
          <w:bCs/>
          <w:sz w:val="28"/>
        </w:rPr>
      </w:pPr>
      <w:r>
        <w:rPr>
          <w:rFonts w:hint="eastAsia" w:ascii="黑体" w:eastAsia="黑体"/>
          <w:b/>
          <w:bCs/>
          <w:sz w:val="28"/>
        </w:rPr>
        <w:t>八、废标及终止招标</w:t>
      </w:r>
    </w:p>
    <w:p w14:paraId="391BB7A1">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E158C1F">
      <w:pPr>
        <w:spacing w:line="520" w:lineRule="exact"/>
        <w:ind w:right="2" w:firstLine="420" w:firstLineChars="200"/>
        <w:rPr>
          <w:rFonts w:hint="eastAsia" w:ascii="宋体" w:hAnsi="宋体"/>
        </w:rPr>
      </w:pPr>
      <w:r>
        <w:rPr>
          <w:rFonts w:hint="eastAsia" w:ascii="宋体" w:hAnsi="宋体"/>
        </w:rPr>
        <w:t>(1)投标人提供的有关资格、资质证明文件不合格、不真实或提供虚假投标材料；</w:t>
      </w:r>
    </w:p>
    <w:p w14:paraId="6B1617D8">
      <w:pPr>
        <w:spacing w:line="520" w:lineRule="exact"/>
        <w:ind w:right="2" w:firstLine="420" w:firstLineChars="200"/>
        <w:rPr>
          <w:rFonts w:hint="eastAsia" w:ascii="宋体" w:hAnsi="宋体"/>
        </w:rPr>
      </w:pPr>
      <w:r>
        <w:rPr>
          <w:rFonts w:hint="eastAsia" w:ascii="宋体" w:hAnsi="宋体"/>
        </w:rPr>
        <w:t>(2)符合条件、或对招标文件做实质响应的供应商不足3 家的；</w:t>
      </w:r>
    </w:p>
    <w:p w14:paraId="7AA39C70">
      <w:pPr>
        <w:spacing w:line="520" w:lineRule="exact"/>
        <w:ind w:right="2" w:firstLine="420" w:firstLineChars="200"/>
        <w:rPr>
          <w:rFonts w:hint="eastAsia" w:ascii="宋体" w:hAnsi="宋体"/>
        </w:rPr>
      </w:pPr>
      <w:r>
        <w:rPr>
          <w:rFonts w:hint="eastAsia" w:ascii="宋体" w:hAnsi="宋体"/>
        </w:rPr>
        <w:t>(3)</w:t>
      </w:r>
      <w:r>
        <w:rPr>
          <w:rFonts w:hint="eastAsia" w:ascii="宋体" w:hAnsi="宋体"/>
        </w:rPr>
        <w:tab/>
      </w:r>
      <w:r>
        <w:rPr>
          <w:rFonts w:hint="eastAsia" w:ascii="宋体" w:hAnsi="宋体"/>
        </w:rPr>
        <w:t>不同投标人的投标文件异常一致或者投标报价呈规律性差异的；</w:t>
      </w:r>
    </w:p>
    <w:p w14:paraId="6B4C54ED">
      <w:pPr>
        <w:spacing w:line="520" w:lineRule="exact"/>
        <w:ind w:right="2" w:firstLine="420" w:firstLineChars="200"/>
        <w:rPr>
          <w:rFonts w:hint="eastAsia" w:ascii="宋体" w:hAnsi="宋体"/>
        </w:rPr>
      </w:pPr>
      <w:r>
        <w:rPr>
          <w:rFonts w:hint="eastAsia" w:ascii="宋体" w:hAnsi="宋体"/>
        </w:rPr>
        <w:t>(4)投标人在报价有效期内撤回投标；</w:t>
      </w:r>
    </w:p>
    <w:p w14:paraId="6D201DDD">
      <w:pPr>
        <w:spacing w:line="520" w:lineRule="exact"/>
        <w:ind w:right="2" w:firstLine="420" w:firstLineChars="200"/>
        <w:rPr>
          <w:rFonts w:hint="eastAsia" w:ascii="宋体" w:hAnsi="宋体"/>
        </w:rPr>
      </w:pPr>
      <w:r>
        <w:rPr>
          <w:rFonts w:hint="eastAsia" w:ascii="宋体" w:hAnsi="宋体"/>
        </w:rPr>
        <w:t>(5)在整个评标过程中，投标人有企图影响评标结果公正性的任何活动；</w:t>
      </w:r>
    </w:p>
    <w:p w14:paraId="6DA32C06">
      <w:pPr>
        <w:spacing w:line="520" w:lineRule="exact"/>
        <w:ind w:right="2" w:firstLine="420" w:firstLineChars="200"/>
        <w:rPr>
          <w:rFonts w:hint="eastAsia" w:ascii="宋体" w:hAnsi="宋体"/>
        </w:rPr>
      </w:pPr>
      <w:r>
        <w:rPr>
          <w:rFonts w:hint="eastAsia" w:ascii="宋体" w:hAnsi="宋体"/>
        </w:rPr>
        <w:t>(6)投标人以任何方式诋毁其他投标人；</w:t>
      </w:r>
    </w:p>
    <w:p w14:paraId="01138C87">
      <w:pPr>
        <w:spacing w:line="520" w:lineRule="exact"/>
        <w:ind w:right="2" w:firstLine="420" w:firstLineChars="200"/>
        <w:rPr>
          <w:rFonts w:hint="eastAsia" w:ascii="宋体" w:hAnsi="宋体"/>
        </w:rPr>
      </w:pPr>
      <w:r>
        <w:rPr>
          <w:rFonts w:hint="eastAsia" w:ascii="宋体" w:hAnsi="宋体"/>
        </w:rPr>
        <w:t>(7)投标人串通投标；</w:t>
      </w:r>
    </w:p>
    <w:p w14:paraId="6A1D264F">
      <w:pPr>
        <w:spacing w:line="520" w:lineRule="exact"/>
        <w:ind w:right="2" w:firstLine="420" w:firstLineChars="200"/>
        <w:rPr>
          <w:rFonts w:hint="eastAsia" w:ascii="宋体" w:hAnsi="宋体"/>
        </w:rPr>
      </w:pPr>
      <w:r>
        <w:rPr>
          <w:rFonts w:hint="eastAsia" w:ascii="宋体" w:hAnsi="宋体"/>
        </w:rPr>
        <w:t>(8)以他人名义投标或者以其他方式弄虚作假，骗取中标的；</w:t>
      </w:r>
    </w:p>
    <w:p w14:paraId="17F9229F">
      <w:pPr>
        <w:spacing w:line="520" w:lineRule="exact"/>
        <w:ind w:right="2" w:firstLine="420" w:firstLineChars="200"/>
        <w:rPr>
          <w:rFonts w:hint="eastAsia" w:ascii="宋体" w:hAnsi="宋体"/>
        </w:rPr>
      </w:pPr>
      <w:r>
        <w:rPr>
          <w:rFonts w:hint="eastAsia" w:ascii="宋体" w:hAnsi="宋体"/>
        </w:rPr>
        <w:t>(9)中标后不按规定签订协议或合同；</w:t>
      </w:r>
    </w:p>
    <w:p w14:paraId="60CEC199">
      <w:pPr>
        <w:spacing w:line="520" w:lineRule="exact"/>
        <w:ind w:right="2" w:firstLine="420" w:firstLineChars="200"/>
        <w:rPr>
          <w:rFonts w:ascii="宋体" w:hAnsi="宋体"/>
        </w:rPr>
      </w:pPr>
      <w:r>
        <w:rPr>
          <w:rFonts w:hint="eastAsia" w:ascii="宋体" w:hAnsi="宋体"/>
        </w:rPr>
        <w:t>(10)投标人有违约违规行为或被举报，被检举的，并经招标方查实无误的；</w:t>
      </w:r>
    </w:p>
    <w:p w14:paraId="02E91FD6">
      <w:pPr>
        <w:spacing w:line="520" w:lineRule="exact"/>
        <w:ind w:right="2" w:firstLine="420" w:firstLineChars="200"/>
        <w:rPr>
          <w:rFonts w:hint="eastAsia" w:ascii="宋体" w:hAnsi="Courier New"/>
        </w:rPr>
      </w:pPr>
      <w:r>
        <w:rPr>
          <w:rFonts w:hint="eastAsia" w:ascii="宋体" w:hAnsi="Courier New"/>
        </w:rPr>
        <w:t>(</w:t>
      </w:r>
      <w:r>
        <w:rPr>
          <w:rFonts w:ascii="宋体" w:hAnsi="Courier New"/>
        </w:rPr>
        <w:t>11</w:t>
      </w:r>
      <w:r>
        <w:rPr>
          <w:rFonts w:hint="eastAsia" w:ascii="宋体" w:hAnsi="Courier New"/>
        </w:rPr>
        <w:t>)投标人负责人为同一人或者存在控股、管理关系的不同单位。</w:t>
      </w:r>
    </w:p>
    <w:p w14:paraId="239151E1">
      <w:pPr>
        <w:spacing w:line="520" w:lineRule="exact"/>
        <w:ind w:right="2" w:firstLine="420" w:firstLineChars="200"/>
        <w:rPr>
          <w:rFonts w:ascii="宋体" w:hAnsi="Courier New"/>
        </w:rPr>
      </w:pPr>
      <w:bookmarkStart w:id="7" w:name="_Hlk152147310"/>
      <w:r>
        <w:rPr>
          <w:rFonts w:hint="eastAsia" w:ascii="宋体" w:hAnsi="Courier New"/>
        </w:rPr>
        <w:t>(</w:t>
      </w:r>
      <w:r>
        <w:rPr>
          <w:rFonts w:ascii="宋体" w:hAnsi="Courier New"/>
        </w:rPr>
        <w:t>12</w:t>
      </w:r>
      <w:r>
        <w:rPr>
          <w:rFonts w:hint="eastAsia" w:ascii="宋体" w:hAnsi="Courier New"/>
        </w:rPr>
        <w:t>) 投标人报价均超过投标限价的；</w:t>
      </w:r>
    </w:p>
    <w:p w14:paraId="2F41659B">
      <w:pPr>
        <w:spacing w:line="520" w:lineRule="exact"/>
        <w:ind w:right="2" w:firstLine="420" w:firstLineChars="200"/>
        <w:rPr>
          <w:rFonts w:ascii="宋体" w:hAnsi="宋体"/>
        </w:rPr>
      </w:pPr>
      <w:r>
        <w:rPr>
          <w:rFonts w:hint="eastAsia" w:ascii="宋体" w:hAnsi="宋体"/>
        </w:rPr>
        <w:t>(1</w:t>
      </w:r>
      <w:r>
        <w:rPr>
          <w:rFonts w:ascii="宋体" w:hAnsi="宋体"/>
        </w:rPr>
        <w:t>3</w:t>
      </w:r>
      <w:r>
        <w:rPr>
          <w:rFonts w:hint="eastAsia" w:ascii="宋体" w:hAnsi="宋体"/>
        </w:rPr>
        <w:t>)法律、法规规定的其他情况。</w:t>
      </w:r>
    </w:p>
    <w:bookmarkEnd w:id="7"/>
    <w:p w14:paraId="09C59017">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519B5493">
      <w:pPr>
        <w:spacing w:line="520" w:lineRule="exact"/>
        <w:ind w:right="2" w:firstLine="420" w:firstLineChars="200"/>
        <w:rPr>
          <w:rFonts w:hint="eastAsia" w:ascii="宋体" w:hAnsi="Courier New"/>
        </w:rPr>
      </w:pPr>
      <w:r>
        <w:rPr>
          <w:rFonts w:hint="eastAsia" w:ascii="宋体" w:hAnsi="Courier New"/>
        </w:rPr>
        <w:t>(1)出现影响采购公正的违法、违规行为的；</w:t>
      </w:r>
    </w:p>
    <w:p w14:paraId="4BA6CAD7">
      <w:pPr>
        <w:spacing w:line="520" w:lineRule="exact"/>
        <w:ind w:right="2" w:firstLine="420" w:firstLineChars="200"/>
        <w:rPr>
          <w:rFonts w:hint="eastAsia" w:ascii="宋体" w:hAnsi="Courier New"/>
        </w:rPr>
      </w:pPr>
      <w:r>
        <w:rPr>
          <w:rFonts w:hint="eastAsia" w:ascii="宋体" w:hAnsi="Courier New"/>
        </w:rPr>
        <w:t>(2)评标委员会经评审，认为所有投标都不符合招标文件要求的；</w:t>
      </w:r>
    </w:p>
    <w:p w14:paraId="22C1BA98">
      <w:pPr>
        <w:spacing w:line="520" w:lineRule="exact"/>
        <w:ind w:right="2" w:firstLine="420" w:firstLineChars="200"/>
        <w:rPr>
          <w:rFonts w:hint="eastAsia" w:ascii="宋体" w:hAnsi="Courier New"/>
        </w:rPr>
      </w:pPr>
      <w:r>
        <w:rPr>
          <w:rFonts w:hint="eastAsia" w:ascii="宋体" w:hAnsi="Courier New"/>
        </w:rPr>
        <w:t>(3)因重大变故，采购任务取消的；</w:t>
      </w:r>
    </w:p>
    <w:p w14:paraId="7E66F3F0">
      <w:pPr>
        <w:spacing w:line="520" w:lineRule="exact"/>
        <w:ind w:left="420" w:leftChars="200" w:right="2" w:firstLine="0" w:firstLineChars="0"/>
        <w:rPr>
          <w:rFonts w:hint="eastAsia" w:ascii="宋体" w:hAnsi="Courier New"/>
        </w:rPr>
      </w:pPr>
      <w:r>
        <w:rPr>
          <w:rFonts w:hint="eastAsia" w:ascii="宋体" w:hAnsi="Courier New"/>
        </w:rPr>
        <w:t>(4)招标人认为其他应终止招标的情形。</w:t>
      </w:r>
      <w:bookmarkStart w:id="8" w:name="_Hlk152147375"/>
      <w:r>
        <w:br w:type="textWrapping"/>
      </w:r>
      <w:r>
        <w:rPr>
          <w:rFonts w:hint="eastAsia"/>
        </w:rPr>
        <w:t>(</w:t>
      </w:r>
      <w:r>
        <w:rPr>
          <w:rFonts w:hint="eastAsia"/>
          <w:lang w:val="en-US" w:eastAsia="zh-CN"/>
        </w:rPr>
        <w:t>5</w:t>
      </w:r>
      <w:r>
        <w:t>)投标人承诺并同意因招标人公司政策变化引起的随时终止项目的情形，并自行承担由此带来的一切损失。</w:t>
      </w:r>
    </w:p>
    <w:bookmarkEnd w:id="8"/>
    <w:p w14:paraId="122B882E">
      <w:pPr>
        <w:spacing w:line="520" w:lineRule="exact"/>
        <w:ind w:right="2"/>
        <w:rPr>
          <w:rFonts w:ascii="黑体" w:hAnsi="黑体" w:eastAsia="黑体"/>
          <w:b/>
          <w:sz w:val="28"/>
          <w:szCs w:val="28"/>
        </w:rPr>
      </w:pPr>
      <w:r>
        <w:rPr>
          <w:rFonts w:hint="eastAsia" w:ascii="黑体" w:hAnsi="黑体" w:eastAsia="黑体"/>
          <w:b/>
          <w:sz w:val="28"/>
          <w:szCs w:val="28"/>
        </w:rPr>
        <w:t>九、其他</w:t>
      </w:r>
    </w:p>
    <w:p w14:paraId="2A0CA923">
      <w:pPr>
        <w:spacing w:line="360" w:lineRule="auto"/>
        <w:ind w:right="2" w:firstLine="420" w:firstLineChars="200"/>
        <w:rPr>
          <w:rFonts w:ascii="宋体" w:hAnsi="Courier New"/>
        </w:rPr>
      </w:pPr>
      <w:r>
        <w:rPr>
          <w:rFonts w:hint="eastAsia" w:ascii="宋体" w:hAnsi="Courier New"/>
        </w:rPr>
        <w:t>1.其余未尽事宜均以协议（或合同）约定为准。</w:t>
      </w:r>
    </w:p>
    <w:p w14:paraId="1A05BD64">
      <w:pPr>
        <w:pStyle w:val="2"/>
        <w:spacing w:line="360" w:lineRule="auto"/>
        <w:ind w:firstLine="420" w:firstLineChars="200"/>
      </w:pPr>
      <w:r>
        <w:rPr>
          <w:rFonts w:hint="eastAsia"/>
        </w:rPr>
        <w:t>2.要求招标人或相关合同签订单位提供的配合，在标书文件中说明。</w:t>
      </w:r>
    </w:p>
    <w:p w14:paraId="581A1511">
      <w:pPr>
        <w:spacing w:line="360" w:lineRule="auto"/>
        <w:ind w:right="2" w:firstLine="420" w:firstLineChars="200"/>
        <w:rPr>
          <w:spacing w:val="-4"/>
        </w:rPr>
      </w:pPr>
      <w:r>
        <w:rPr>
          <w:rFonts w:hint="eastAsia" w:ascii="宋体" w:hAnsi="Courier New"/>
        </w:rPr>
        <w:t>3.凡对本次</w:t>
      </w:r>
      <w:r>
        <w:rPr>
          <w:rFonts w:hint="eastAsia"/>
          <w:spacing w:val="-4"/>
        </w:rPr>
        <w:t>招标提出的问询，均以招标人的书面答复为准。招标人的任何工作人员对投标人所作的任何口头解释、介绍、答复，对招标人和投标人均无任何约束力。</w:t>
      </w:r>
    </w:p>
    <w:p w14:paraId="056A0182">
      <w:pPr>
        <w:spacing w:line="360" w:lineRule="auto"/>
        <w:ind w:right="2" w:firstLine="420" w:firstLineChars="200"/>
        <w:rPr>
          <w:rFonts w:ascii="宋体" w:hAnsi="Courier New"/>
        </w:rPr>
      </w:pPr>
      <w:r>
        <w:rPr>
          <w:rFonts w:hint="eastAsia" w:ascii="宋体" w:hAnsi="Courier New"/>
        </w:rPr>
        <w:t>4.投标人应承担所有与准备和参加投标有关的全部费用，包含但不限于危险废物取样化验或投标过程中的产生的其他各项费用，招标人在任何情况下均无义务和责任承担此费用。</w:t>
      </w:r>
    </w:p>
    <w:p w14:paraId="0E39C6CC">
      <w:pPr>
        <w:rPr>
          <w:rFonts w:hint="eastAsia" w:ascii="黑体" w:eastAsia="黑体"/>
          <w:b/>
          <w:bCs/>
          <w:sz w:val="28"/>
        </w:rPr>
      </w:pPr>
      <w:r>
        <w:rPr>
          <w:rFonts w:hint="eastAsia" w:ascii="黑体" w:eastAsia="黑体"/>
          <w:b/>
          <w:bCs/>
          <w:sz w:val="28"/>
        </w:rPr>
        <w:t>十、本次招标最终解释权归</w:t>
      </w:r>
      <w:r>
        <w:rPr>
          <w:rFonts w:hint="eastAsia" w:ascii="黑体" w:eastAsia="黑体"/>
          <w:b/>
          <w:bCs/>
          <w:sz w:val="28"/>
          <w:lang w:val="en-US" w:eastAsia="zh-CN"/>
        </w:rPr>
        <w:t>中国重汽集团济宁商用车有限公司</w:t>
      </w:r>
      <w:r>
        <w:rPr>
          <w:rFonts w:hint="eastAsia" w:ascii="黑体" w:eastAsia="黑体"/>
          <w:b/>
          <w:bCs/>
          <w:sz w:val="28"/>
        </w:rPr>
        <w:t>。</w:t>
      </w:r>
    </w:p>
    <w:p w14:paraId="68E190B7">
      <w:pPr>
        <w:spacing w:before="156" w:beforeLines="50" w:after="312" w:afterLines="100"/>
        <w:jc w:val="center"/>
        <w:outlineLvl w:val="0"/>
        <w:rPr>
          <w:rFonts w:eastAsia="黑体"/>
          <w:b/>
          <w:bCs/>
          <w:sz w:val="36"/>
          <w:szCs w:val="36"/>
        </w:rPr>
      </w:pPr>
      <w:r>
        <w:rPr>
          <w:rFonts w:hint="eastAsia" w:eastAsia="黑体"/>
          <w:b/>
          <w:bCs/>
          <w:sz w:val="36"/>
          <w:szCs w:val="36"/>
        </w:rPr>
        <w:t>第三章  投标文件编制</w:t>
      </w:r>
    </w:p>
    <w:p w14:paraId="08CFB866">
      <w:pPr>
        <w:pStyle w:val="2"/>
        <w:spacing w:line="360" w:lineRule="auto"/>
        <w:rPr>
          <w:rFonts w:ascii="黑体" w:hAnsi="黑体" w:eastAsia="黑体"/>
          <w:b/>
          <w:bCs/>
          <w:sz w:val="28"/>
          <w:szCs w:val="28"/>
        </w:rPr>
      </w:pPr>
      <w:r>
        <w:rPr>
          <w:rFonts w:hint="eastAsia" w:ascii="黑体" w:hAnsi="黑体" w:eastAsia="黑体"/>
          <w:b/>
          <w:bCs/>
          <w:sz w:val="28"/>
          <w:szCs w:val="28"/>
        </w:rPr>
        <w:t>一、投标文件的签署盖章</w:t>
      </w:r>
    </w:p>
    <w:p w14:paraId="03F4D7FC">
      <w:pPr>
        <w:pStyle w:val="2"/>
        <w:spacing w:line="360" w:lineRule="auto"/>
        <w:ind w:firstLine="420" w:firstLineChars="200"/>
        <w:rPr>
          <w:rFonts w:hAnsi="宋体"/>
        </w:rPr>
      </w:pPr>
      <w:r>
        <w:rPr>
          <w:rFonts w:hint="eastAsia" w:hAnsi="宋体"/>
        </w:rPr>
        <w:t>1.法定代表人或投标人授权代表必须按招标文件的规定在所有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并加盖公章。</w:t>
      </w:r>
    </w:p>
    <w:p w14:paraId="3B15DE92">
      <w:pPr>
        <w:pStyle w:val="2"/>
        <w:spacing w:line="360" w:lineRule="auto"/>
        <w:ind w:firstLine="420" w:firstLineChars="200"/>
        <w:rPr>
          <w:rFonts w:hAnsi="宋体"/>
        </w:rPr>
      </w:pPr>
      <w:r>
        <w:rPr>
          <w:rFonts w:hint="eastAsia" w:hAnsi="宋体"/>
        </w:rPr>
        <w:t>2.任何行间插字、涂改和增删，必须由投标人的法定代表人或授权代表签字并加盖公章后才有效。</w:t>
      </w:r>
    </w:p>
    <w:p w14:paraId="555E8421">
      <w:pPr>
        <w:pStyle w:val="2"/>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、投标文件附件格式</w:t>
      </w:r>
    </w:p>
    <w:p w14:paraId="0A3C4924">
      <w:pPr>
        <w:pStyle w:val="2"/>
        <w:spacing w:line="360" w:lineRule="auto"/>
        <w:rPr>
          <w:rFonts w:hint="eastAsia" w:hAnsi="宋体" w:eastAsia="宋体"/>
          <w:lang w:eastAsia="zh-CN"/>
        </w:rPr>
      </w:pPr>
      <w:r>
        <w:rPr>
          <w:rFonts w:hint="eastAsia" w:ascii="黑体" w:hAnsi="黑体" w:eastAsia="黑体"/>
          <w:b/>
          <w:bCs/>
          <w:sz w:val="28"/>
          <w:szCs w:val="28"/>
        </w:rPr>
        <w:t xml:space="preserve">   </w:t>
      </w:r>
      <w:r>
        <w:rPr>
          <w:rFonts w:hint="eastAsia" w:hAnsi="宋体"/>
        </w:rPr>
        <w:t>具体格式见附件1～附件</w:t>
      </w:r>
      <w:r>
        <w:rPr>
          <w:rFonts w:hint="eastAsia" w:hAnsi="宋体"/>
          <w:lang w:val="en-US" w:eastAsia="zh-CN"/>
        </w:rPr>
        <w:t>8</w:t>
      </w:r>
    </w:p>
    <w:p w14:paraId="423D3A14">
      <w:pPr>
        <w:pStyle w:val="2"/>
        <w:spacing w:line="360" w:lineRule="auto"/>
        <w:rPr>
          <w:rFonts w:ascii="黑体" w:eastAsia="黑体"/>
          <w:b/>
          <w:bCs/>
          <w:sz w:val="28"/>
        </w:rPr>
      </w:pPr>
    </w:p>
    <w:p w14:paraId="020FEF97">
      <w:pPr>
        <w:rPr>
          <w:rFonts w:hint="eastAsia" w:eastAsia="黑体"/>
          <w:b/>
          <w:bCs/>
          <w:sz w:val="28"/>
        </w:rPr>
      </w:pPr>
      <w:r>
        <w:rPr>
          <w:rFonts w:hint="eastAsia" w:eastAsia="黑体"/>
          <w:b/>
          <w:bCs/>
          <w:sz w:val="28"/>
        </w:rPr>
        <w:t>附件1</w:t>
      </w:r>
    </w:p>
    <w:p w14:paraId="35123B71">
      <w:pPr>
        <w:jc w:val="center"/>
        <w:rPr>
          <w:rFonts w:eastAsia="黑体"/>
          <w:b/>
          <w:bCs/>
          <w:sz w:val="28"/>
        </w:rPr>
      </w:pPr>
      <w:r>
        <w:rPr>
          <w:rFonts w:hint="eastAsia" w:eastAsia="黑体"/>
          <w:b/>
          <w:bCs/>
          <w:sz w:val="28"/>
        </w:rPr>
        <w:t>投标报名表</w:t>
      </w:r>
    </w:p>
    <w:p w14:paraId="5EB67CC9">
      <w:pPr>
        <w:ind w:firstLine="120" w:firstLineChars="50"/>
        <w:rPr>
          <w:sz w:val="24"/>
        </w:rPr>
      </w:pPr>
      <w:r>
        <w:rPr>
          <w:rFonts w:hint="eastAsia"/>
          <w:sz w:val="24"/>
        </w:rPr>
        <w:t>公章：</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98B0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14:paraId="0335BB59">
            <w:pPr>
              <w:jc w:val="center"/>
              <w:rPr>
                <w:sz w:val="24"/>
                <w:szCs w:val="24"/>
              </w:rPr>
            </w:pPr>
            <w:r>
              <w:rPr>
                <w:rFonts w:hint="eastAsia"/>
                <w:sz w:val="24"/>
                <w:szCs w:val="24"/>
              </w:rPr>
              <w:t>项目名称</w:t>
            </w:r>
          </w:p>
        </w:tc>
        <w:tc>
          <w:tcPr>
            <w:tcW w:w="7123" w:type="dxa"/>
            <w:gridSpan w:val="3"/>
            <w:noWrap w:val="0"/>
            <w:vAlign w:val="center"/>
          </w:tcPr>
          <w:p w14:paraId="1944669D">
            <w:pPr>
              <w:jc w:val="center"/>
              <w:rPr>
                <w:rFonts w:ascii="宋体" w:hAnsi="Courier New"/>
              </w:rPr>
            </w:pPr>
            <w:r>
              <w:rPr>
                <w:rFonts w:hint="eastAsia"/>
                <w:sz w:val="24"/>
                <w:szCs w:val="24"/>
              </w:rPr>
              <w:t>《</w:t>
            </w:r>
            <w:r>
              <w:rPr>
                <w:rFonts w:hint="eastAsia"/>
                <w:sz w:val="24"/>
                <w:szCs w:val="24"/>
                <w:lang w:val="en-US" w:eastAsia="zh-CN"/>
              </w:rPr>
              <w:t>中国重汽集团济宁商用车有限公司危废处置服务项目</w:t>
            </w:r>
            <w:r>
              <w:rPr>
                <w:rFonts w:hint="eastAsia"/>
                <w:sz w:val="24"/>
                <w:szCs w:val="24"/>
              </w:rPr>
              <w:t>》</w:t>
            </w:r>
          </w:p>
        </w:tc>
      </w:tr>
      <w:tr w14:paraId="7FD8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14:paraId="32BA743D">
            <w:pPr>
              <w:jc w:val="center"/>
              <w:rPr>
                <w:sz w:val="24"/>
                <w:szCs w:val="24"/>
              </w:rPr>
            </w:pPr>
            <w:r>
              <w:rPr>
                <w:rFonts w:hint="eastAsia"/>
                <w:sz w:val="24"/>
                <w:szCs w:val="24"/>
              </w:rPr>
              <w:t>投标单位</w:t>
            </w:r>
          </w:p>
          <w:p w14:paraId="68776093">
            <w:pPr>
              <w:jc w:val="center"/>
              <w:rPr>
                <w:sz w:val="24"/>
                <w:szCs w:val="24"/>
              </w:rPr>
            </w:pPr>
            <w:r>
              <w:rPr>
                <w:rFonts w:hint="eastAsia"/>
                <w:sz w:val="24"/>
                <w:szCs w:val="24"/>
              </w:rPr>
              <w:t>（全称）</w:t>
            </w:r>
          </w:p>
        </w:tc>
        <w:tc>
          <w:tcPr>
            <w:tcW w:w="7123" w:type="dxa"/>
            <w:gridSpan w:val="3"/>
            <w:noWrap w:val="0"/>
            <w:vAlign w:val="center"/>
          </w:tcPr>
          <w:p w14:paraId="382530B2">
            <w:pPr>
              <w:jc w:val="center"/>
              <w:rPr>
                <w:sz w:val="24"/>
                <w:szCs w:val="24"/>
              </w:rPr>
            </w:pPr>
          </w:p>
        </w:tc>
      </w:tr>
      <w:tr w14:paraId="5462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14:paraId="7C537E87">
            <w:pPr>
              <w:jc w:val="center"/>
              <w:rPr>
                <w:sz w:val="24"/>
                <w:szCs w:val="24"/>
              </w:rPr>
            </w:pPr>
            <w:r>
              <w:rPr>
                <w:rFonts w:hint="eastAsia"/>
                <w:sz w:val="24"/>
                <w:szCs w:val="24"/>
              </w:rPr>
              <w:t>项目负责人</w:t>
            </w:r>
          </w:p>
        </w:tc>
        <w:tc>
          <w:tcPr>
            <w:tcW w:w="2526" w:type="dxa"/>
            <w:noWrap w:val="0"/>
            <w:vAlign w:val="center"/>
          </w:tcPr>
          <w:p w14:paraId="1256C565">
            <w:pPr>
              <w:jc w:val="center"/>
              <w:rPr>
                <w:sz w:val="24"/>
                <w:szCs w:val="24"/>
              </w:rPr>
            </w:pPr>
          </w:p>
        </w:tc>
        <w:tc>
          <w:tcPr>
            <w:tcW w:w="2272" w:type="dxa"/>
            <w:noWrap w:val="0"/>
            <w:vAlign w:val="center"/>
          </w:tcPr>
          <w:p w14:paraId="244C2CB5">
            <w:pPr>
              <w:jc w:val="center"/>
              <w:rPr>
                <w:sz w:val="24"/>
                <w:szCs w:val="24"/>
              </w:rPr>
            </w:pPr>
            <w:r>
              <w:rPr>
                <w:rFonts w:hint="eastAsia"/>
                <w:sz w:val="24"/>
                <w:szCs w:val="24"/>
              </w:rPr>
              <w:t>联系电话</w:t>
            </w:r>
          </w:p>
        </w:tc>
        <w:tc>
          <w:tcPr>
            <w:tcW w:w="2325" w:type="dxa"/>
            <w:noWrap w:val="0"/>
            <w:vAlign w:val="center"/>
          </w:tcPr>
          <w:p w14:paraId="132ADF4A">
            <w:pPr>
              <w:jc w:val="center"/>
              <w:rPr>
                <w:sz w:val="24"/>
                <w:szCs w:val="24"/>
              </w:rPr>
            </w:pPr>
          </w:p>
        </w:tc>
      </w:tr>
      <w:tr w14:paraId="58BE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14:paraId="7B74B255">
            <w:pPr>
              <w:jc w:val="center"/>
              <w:rPr>
                <w:sz w:val="24"/>
                <w:szCs w:val="24"/>
              </w:rPr>
            </w:pPr>
            <w:r>
              <w:rPr>
                <w:rFonts w:hint="eastAsia"/>
                <w:sz w:val="24"/>
                <w:szCs w:val="24"/>
              </w:rPr>
              <w:t>公司电话</w:t>
            </w:r>
          </w:p>
        </w:tc>
        <w:tc>
          <w:tcPr>
            <w:tcW w:w="2526" w:type="dxa"/>
            <w:noWrap w:val="0"/>
            <w:vAlign w:val="center"/>
          </w:tcPr>
          <w:p w14:paraId="1D0C06B3">
            <w:pPr>
              <w:jc w:val="center"/>
              <w:rPr>
                <w:sz w:val="24"/>
                <w:szCs w:val="24"/>
              </w:rPr>
            </w:pPr>
          </w:p>
        </w:tc>
        <w:tc>
          <w:tcPr>
            <w:tcW w:w="2272" w:type="dxa"/>
            <w:noWrap w:val="0"/>
            <w:vAlign w:val="center"/>
          </w:tcPr>
          <w:p w14:paraId="5E267C04">
            <w:pPr>
              <w:jc w:val="center"/>
              <w:rPr>
                <w:sz w:val="24"/>
                <w:szCs w:val="24"/>
              </w:rPr>
            </w:pPr>
            <w:r>
              <w:rPr>
                <w:rFonts w:hint="eastAsia"/>
                <w:sz w:val="24"/>
                <w:szCs w:val="24"/>
              </w:rPr>
              <w:t>传真</w:t>
            </w:r>
          </w:p>
        </w:tc>
        <w:tc>
          <w:tcPr>
            <w:tcW w:w="2325" w:type="dxa"/>
            <w:noWrap w:val="0"/>
            <w:vAlign w:val="center"/>
          </w:tcPr>
          <w:p w14:paraId="6C926AFE">
            <w:pPr>
              <w:jc w:val="center"/>
              <w:rPr>
                <w:sz w:val="24"/>
                <w:szCs w:val="24"/>
              </w:rPr>
            </w:pPr>
          </w:p>
        </w:tc>
      </w:tr>
      <w:tr w14:paraId="5247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14:paraId="543C75FF">
            <w:pPr>
              <w:jc w:val="center"/>
              <w:rPr>
                <w:sz w:val="24"/>
                <w:szCs w:val="24"/>
              </w:rPr>
            </w:pPr>
            <w:r>
              <w:rPr>
                <w:rFonts w:hint="eastAsia"/>
                <w:sz w:val="24"/>
                <w:szCs w:val="24"/>
              </w:rPr>
              <w:t>E-mail</w:t>
            </w:r>
          </w:p>
        </w:tc>
        <w:tc>
          <w:tcPr>
            <w:tcW w:w="7123" w:type="dxa"/>
            <w:gridSpan w:val="3"/>
            <w:noWrap w:val="0"/>
            <w:vAlign w:val="center"/>
          </w:tcPr>
          <w:p w14:paraId="5CA8F2DF">
            <w:pPr>
              <w:jc w:val="center"/>
              <w:rPr>
                <w:sz w:val="24"/>
                <w:szCs w:val="24"/>
              </w:rPr>
            </w:pPr>
          </w:p>
        </w:tc>
      </w:tr>
      <w:tr w14:paraId="3120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14:paraId="2B1062F5">
            <w:pPr>
              <w:jc w:val="center"/>
              <w:rPr>
                <w:sz w:val="24"/>
                <w:szCs w:val="24"/>
              </w:rPr>
            </w:pPr>
            <w:r>
              <w:rPr>
                <w:rFonts w:hint="eastAsia"/>
                <w:sz w:val="24"/>
                <w:szCs w:val="24"/>
              </w:rPr>
              <w:t>报名时间</w:t>
            </w:r>
          </w:p>
        </w:tc>
        <w:tc>
          <w:tcPr>
            <w:tcW w:w="7123" w:type="dxa"/>
            <w:gridSpan w:val="3"/>
            <w:noWrap w:val="0"/>
            <w:vAlign w:val="center"/>
          </w:tcPr>
          <w:p w14:paraId="0549E219">
            <w:pPr>
              <w:jc w:val="center"/>
              <w:rPr>
                <w:sz w:val="24"/>
                <w:szCs w:val="24"/>
              </w:rPr>
            </w:pPr>
            <w:r>
              <w:rPr>
                <w:rFonts w:hint="eastAsia"/>
                <w:sz w:val="24"/>
                <w:szCs w:val="24"/>
              </w:rPr>
              <w:t>年    月    日</w:t>
            </w:r>
          </w:p>
        </w:tc>
      </w:tr>
    </w:tbl>
    <w:p w14:paraId="0F837566">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09BE8732">
      <w:pPr>
        <w:ind w:firstLine="240" w:firstLineChars="100"/>
        <w:rPr>
          <w:rFonts w:hint="eastAsia" w:ascii="宋体" w:hAnsi="宋体"/>
          <w:sz w:val="24"/>
        </w:rPr>
      </w:pPr>
      <w:r>
        <w:rPr>
          <w:rFonts w:hint="eastAsia" w:ascii="宋体" w:hAnsi="宋体"/>
          <w:sz w:val="24"/>
        </w:rPr>
        <w:t>联系人：</w:t>
      </w:r>
      <w:r>
        <w:rPr>
          <w:rFonts w:hint="eastAsia" w:ascii="宋体" w:hAnsi="宋体"/>
          <w:sz w:val="24"/>
          <w:lang w:val="en-US" w:eastAsia="zh-CN"/>
        </w:rPr>
        <w:t>崔浩然</w:t>
      </w:r>
      <w:r>
        <w:rPr>
          <w:rFonts w:hint="eastAsia" w:ascii="宋体" w:hAnsi="宋体"/>
          <w:sz w:val="24"/>
        </w:rPr>
        <w:t xml:space="preserve">     联系电话：</w:t>
      </w:r>
      <w:r>
        <w:rPr>
          <w:rFonts w:hint="eastAsia" w:ascii="宋体" w:hAnsi="宋体"/>
          <w:sz w:val="24"/>
          <w:lang w:val="en-US" w:eastAsia="zh-CN"/>
        </w:rPr>
        <w:t>18865383050</w:t>
      </w:r>
      <w:r>
        <w:rPr>
          <w:rFonts w:hint="eastAsia" w:ascii="宋体" w:hAnsi="宋体"/>
          <w:sz w:val="24"/>
        </w:rPr>
        <w:t xml:space="preserve">     </w:t>
      </w:r>
    </w:p>
    <w:p w14:paraId="7E7E4DCE">
      <w:pPr>
        <w:ind w:firstLine="240" w:firstLineChars="100"/>
        <w:rPr>
          <w:rFonts w:hint="eastAsia" w:ascii="宋体" w:hAnsi="宋体"/>
          <w:sz w:val="24"/>
        </w:rPr>
      </w:pPr>
    </w:p>
    <w:p w14:paraId="44247C43">
      <w:pPr>
        <w:ind w:firstLine="240" w:firstLineChars="100"/>
        <w:rPr>
          <w:rFonts w:hint="eastAsia" w:ascii="宋体" w:hAnsi="宋体"/>
          <w:sz w:val="24"/>
        </w:rPr>
      </w:pPr>
    </w:p>
    <w:p w14:paraId="1FC56ADF">
      <w:pPr>
        <w:ind w:firstLine="240" w:firstLineChars="100"/>
        <w:rPr>
          <w:rFonts w:hint="eastAsia" w:ascii="宋体" w:hAnsi="宋体"/>
          <w:sz w:val="24"/>
        </w:rPr>
      </w:pPr>
    </w:p>
    <w:p w14:paraId="6EB1E2AB">
      <w:pPr>
        <w:rPr>
          <w:rFonts w:eastAsia="黑体"/>
          <w:b/>
          <w:bCs/>
          <w:sz w:val="28"/>
        </w:rPr>
      </w:pPr>
      <w:r>
        <w:rPr>
          <w:rFonts w:hint="eastAsia" w:eastAsia="黑体"/>
          <w:b/>
          <w:bCs/>
          <w:sz w:val="28"/>
        </w:rPr>
        <w:t>附件2</w:t>
      </w:r>
    </w:p>
    <w:p w14:paraId="1D5FB32C">
      <w:pPr>
        <w:rPr>
          <w:sz w:val="24"/>
          <w:szCs w:val="24"/>
        </w:rPr>
      </w:pPr>
      <w:r>
        <w:rPr>
          <w:rFonts w:hint="eastAsia" w:ascii="宋体" w:hAnsi="宋体"/>
        </w:rPr>
        <w:t>项目名称：</w:t>
      </w:r>
      <w:r>
        <w:rPr>
          <w:rFonts w:hint="eastAsia"/>
          <w:sz w:val="24"/>
          <w:szCs w:val="24"/>
        </w:rPr>
        <w:t>《</w:t>
      </w:r>
      <w:r>
        <w:rPr>
          <w:rFonts w:hint="eastAsia"/>
          <w:sz w:val="24"/>
          <w:szCs w:val="24"/>
          <w:lang w:val="en-US" w:eastAsia="zh-CN"/>
        </w:rPr>
        <w:t>中国重汽集团济宁商用车有限公司危废处置服务项目</w:t>
      </w:r>
      <w:r>
        <w:rPr>
          <w:rFonts w:hint="eastAsia"/>
          <w:sz w:val="24"/>
          <w:szCs w:val="24"/>
        </w:rPr>
        <w:t>》</w:t>
      </w:r>
    </w:p>
    <w:p w14:paraId="00F01405">
      <w:pPr>
        <w:rPr>
          <w:rFonts w:hint="eastAsia"/>
          <w:sz w:val="24"/>
          <w:szCs w:val="24"/>
        </w:rPr>
      </w:pPr>
    </w:p>
    <w:p w14:paraId="4AA4DFB0">
      <w:pPr>
        <w:pStyle w:val="2"/>
        <w:spacing w:line="360" w:lineRule="auto"/>
        <w:rPr>
          <w:rFonts w:hAnsi="宋体"/>
          <w:szCs w:val="21"/>
        </w:rPr>
      </w:pPr>
      <w:r>
        <w:rPr>
          <w:rFonts w:hint="eastAsia" w:hAnsi="宋体"/>
          <w:szCs w:val="21"/>
        </w:rPr>
        <w:t>日期：  年   月   日</w:t>
      </w:r>
    </w:p>
    <w:p w14:paraId="3DF349FB">
      <w:pPr>
        <w:jc w:val="center"/>
        <w:rPr>
          <w:rFonts w:eastAsia="黑体"/>
          <w:b/>
          <w:bCs/>
          <w:sz w:val="28"/>
        </w:rPr>
      </w:pPr>
      <w:r>
        <w:rPr>
          <w:rFonts w:hint="eastAsia" w:eastAsia="黑体"/>
          <w:b/>
          <w:bCs/>
          <w:sz w:val="28"/>
        </w:rPr>
        <w:t>法人授权委托书</w:t>
      </w:r>
    </w:p>
    <w:p w14:paraId="1625329C">
      <w:pPr>
        <w:rPr>
          <w:rFonts w:ascii="宋体" w:hAnsi="宋体"/>
          <w:u w:val="single"/>
        </w:rPr>
      </w:pPr>
      <w:r>
        <w:rPr>
          <w:rFonts w:hint="eastAsia" w:ascii="宋体" w:hAnsi="宋体"/>
          <w:u w:val="single"/>
          <w:lang w:val="en-US" w:eastAsia="zh-CN"/>
        </w:rPr>
        <w:t>中国重汽集团济宁商用车有限公司</w:t>
      </w:r>
      <w:r>
        <w:rPr>
          <w:rFonts w:hint="eastAsia" w:ascii="宋体" w:hAnsi="宋体"/>
          <w:u w:val="single"/>
        </w:rPr>
        <w:t>：</w:t>
      </w:r>
    </w:p>
    <w:p w14:paraId="676D29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 xml:space="preserve">《中国重汽集团济宁商用车有限公司危废处置服务项目》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A72804B">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D186948">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3BB0C4CB">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3CD00576">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8A4A2D3">
      <w:pPr>
        <w:spacing w:line="360" w:lineRule="auto"/>
        <w:ind w:firstLine="420" w:firstLineChars="200"/>
        <w:rPr>
          <w:rFonts w:ascii="宋体"/>
          <w:kern w:val="0"/>
          <w:szCs w:val="21"/>
        </w:rPr>
      </w:pPr>
      <w:r>
        <w:rPr>
          <w:rFonts w:hint="eastAsia" w:ascii="宋体" w:hAnsi="宋体"/>
          <w:kern w:val="0"/>
          <w:szCs w:val="21"/>
        </w:rPr>
        <w:t>投标人名称：（盖单位公章）</w:t>
      </w:r>
    </w:p>
    <w:p w14:paraId="06411DE4">
      <w:pPr>
        <w:spacing w:line="360" w:lineRule="auto"/>
        <w:ind w:firstLine="420" w:firstLineChars="200"/>
        <w:rPr>
          <w:rFonts w:ascii="宋体"/>
          <w:kern w:val="0"/>
          <w:szCs w:val="21"/>
        </w:rPr>
      </w:pPr>
      <w:r>
        <w:rPr>
          <w:rFonts w:hint="eastAsia" w:ascii="宋体" w:hAnsi="宋体"/>
          <w:kern w:val="0"/>
          <w:szCs w:val="21"/>
        </w:rPr>
        <w:t>法定代表人：（签字）</w:t>
      </w:r>
    </w:p>
    <w:p w14:paraId="36A0AF60">
      <w:pPr>
        <w:spacing w:line="360" w:lineRule="auto"/>
        <w:rPr>
          <w:rFonts w:ascii="宋体"/>
          <w:kern w:val="0"/>
          <w:szCs w:val="21"/>
        </w:rPr>
      </w:pPr>
    </w:p>
    <w:p w14:paraId="40E71FB8">
      <w:pPr>
        <w:rPr>
          <w:rFonts w:eastAsia="黑体"/>
          <w:b/>
          <w:bCs/>
          <w:sz w:val="28"/>
        </w:rPr>
      </w:pPr>
      <w:r>
        <w:rPr>
          <w:rFonts w:hint="eastAsia" w:ascii="宋体" w:hAnsi="宋体"/>
          <w:b/>
          <w:kern w:val="0"/>
          <w:szCs w:val="21"/>
        </w:rPr>
        <w:t>附法人代表及被授权人（授权代表）有效的身份证正反两面</w:t>
      </w:r>
    </w:p>
    <w:p w14:paraId="08C6D3F3">
      <w:pPr>
        <w:rPr>
          <w:rFonts w:eastAsia="黑体"/>
          <w:b/>
          <w:bCs/>
          <w:sz w:val="28"/>
        </w:rPr>
      </w:pPr>
    </w:p>
    <w:p w14:paraId="75169513">
      <w:pPr>
        <w:rPr>
          <w:rFonts w:hint="eastAsia" w:eastAsia="黑体"/>
          <w:b/>
          <w:bCs/>
          <w:sz w:val="28"/>
        </w:rPr>
      </w:pPr>
    </w:p>
    <w:p w14:paraId="5293D1BB">
      <w:pPr>
        <w:rPr>
          <w:rFonts w:hint="eastAsia" w:eastAsia="黑体"/>
          <w:b/>
          <w:bCs/>
          <w:sz w:val="28"/>
        </w:rPr>
      </w:pPr>
      <w:r>
        <w:rPr>
          <w:rFonts w:hint="eastAsia" w:eastAsia="黑体"/>
          <w:b/>
          <w:bCs/>
          <w:sz w:val="28"/>
        </w:rPr>
        <w:t>附件</w:t>
      </w:r>
      <w:r>
        <w:rPr>
          <w:rFonts w:eastAsia="黑体"/>
          <w:b/>
          <w:bCs/>
          <w:sz w:val="28"/>
        </w:rPr>
        <w:t>3</w:t>
      </w:r>
    </w:p>
    <w:p w14:paraId="31B6C8EB">
      <w:pPr>
        <w:rPr>
          <w:rFonts w:hint="eastAsia" w:ascii="宋体" w:hAnsi="宋体"/>
        </w:rPr>
      </w:pPr>
    </w:p>
    <w:p w14:paraId="19657C8C">
      <w:pPr>
        <w:rPr>
          <w:u w:val="single"/>
        </w:rPr>
      </w:pPr>
      <w:r>
        <w:rPr>
          <w:rFonts w:hint="eastAsia" w:ascii="宋体" w:hAnsi="宋体"/>
        </w:rPr>
        <w:t>项目名称：</w:t>
      </w:r>
      <w:r>
        <w:rPr>
          <w:rFonts w:hint="eastAsia"/>
          <w:u w:val="single"/>
        </w:rPr>
        <w:t>《中国重汽集团济宁商用车有限公司危废处置服务项目》</w:t>
      </w:r>
    </w:p>
    <w:p w14:paraId="031D0D7E">
      <w:pPr>
        <w:jc w:val="center"/>
        <w:rPr>
          <w:rFonts w:eastAsia="黑体"/>
          <w:b/>
          <w:bCs/>
          <w:sz w:val="28"/>
        </w:rPr>
      </w:pPr>
      <w:r>
        <w:rPr>
          <w:rFonts w:hint="eastAsia" w:eastAsia="黑体"/>
          <w:b/>
          <w:bCs/>
          <w:sz w:val="28"/>
        </w:rPr>
        <w:t>投标函</w:t>
      </w:r>
    </w:p>
    <w:p w14:paraId="229B0C9F">
      <w:pPr>
        <w:rPr>
          <w:rFonts w:ascii="宋体" w:hAnsi="宋体"/>
          <w:u w:val="single"/>
        </w:rPr>
      </w:pPr>
      <w:r>
        <w:rPr>
          <w:rFonts w:hint="eastAsia" w:ascii="宋体" w:hAnsi="宋体"/>
        </w:rPr>
        <w:t>致</w:t>
      </w:r>
      <w:r>
        <w:rPr>
          <w:rFonts w:hint="eastAsia" w:ascii="宋体" w:hAnsi="宋体"/>
          <w:u w:val="single"/>
        </w:rPr>
        <w:t>（招标人名称）                            ：</w:t>
      </w:r>
    </w:p>
    <w:p w14:paraId="4E601153">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4761DB9E">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3AA5B77B">
      <w:pPr>
        <w:rPr>
          <w:rFonts w:ascii="宋体" w:hAnsi="宋体"/>
        </w:rPr>
      </w:pPr>
      <w:r>
        <w:rPr>
          <w:rFonts w:hint="eastAsia" w:ascii="宋体" w:hAnsi="宋体"/>
          <w:b/>
        </w:rPr>
        <w:t>开标一览表</w:t>
      </w:r>
      <w:r>
        <w:rPr>
          <w:rFonts w:hint="eastAsia" w:ascii="宋体" w:hAnsi="宋体"/>
        </w:rPr>
        <w:t>（2份）</w:t>
      </w:r>
    </w:p>
    <w:p w14:paraId="32543990">
      <w:pPr>
        <w:rPr>
          <w:rFonts w:ascii="宋体" w:hAnsi="宋体"/>
        </w:rPr>
      </w:pPr>
      <w:r>
        <w:rPr>
          <w:rFonts w:hint="eastAsia" w:ascii="宋体" w:hAnsi="宋体"/>
          <w:b/>
        </w:rPr>
        <w:t>资质证明文件</w:t>
      </w:r>
      <w:r>
        <w:rPr>
          <w:rFonts w:hint="eastAsia" w:ascii="宋体" w:hAnsi="宋体"/>
        </w:rPr>
        <w:t>（2份）</w:t>
      </w:r>
    </w:p>
    <w:p w14:paraId="790E58D5">
      <w:pPr>
        <w:rPr>
          <w:rFonts w:ascii="宋体" w:hAnsi="宋体"/>
        </w:rPr>
      </w:pPr>
      <w:r>
        <w:rPr>
          <w:rFonts w:hint="eastAsia" w:ascii="宋体" w:hAnsi="宋体"/>
        </w:rPr>
        <w:t>据此，签字代表宣布同意如下：</w:t>
      </w:r>
    </w:p>
    <w:p w14:paraId="5D3E0D78">
      <w:pPr>
        <w:numPr>
          <w:ilvl w:val="0"/>
          <w:numId w:val="4"/>
        </w:numPr>
        <w:rPr>
          <w:rFonts w:ascii="宋体" w:hAnsi="宋体"/>
        </w:rPr>
      </w:pPr>
      <w:r>
        <w:rPr>
          <w:rFonts w:hint="eastAsia" w:ascii="宋体" w:hAnsi="宋体"/>
        </w:rPr>
        <w:t>投标人将按招标文件的规定履行合同责任和义务。</w:t>
      </w:r>
    </w:p>
    <w:p w14:paraId="5C523AC4">
      <w:pPr>
        <w:numPr>
          <w:ilvl w:val="0"/>
          <w:numId w:val="4"/>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B15192E">
      <w:pPr>
        <w:numPr>
          <w:ilvl w:val="0"/>
          <w:numId w:val="4"/>
        </w:numPr>
        <w:rPr>
          <w:rFonts w:ascii="宋体" w:hAnsi="宋体"/>
        </w:rPr>
      </w:pPr>
      <w:r>
        <w:rPr>
          <w:rFonts w:hint="eastAsia"/>
          <w:szCs w:val="21"/>
        </w:rPr>
        <w:t>投标有效期：自投标截止之日起90个自然天内有效</w:t>
      </w:r>
      <w:r>
        <w:rPr>
          <w:rFonts w:hint="eastAsia" w:ascii="宋体" w:hAnsi="宋体"/>
          <w:szCs w:val="21"/>
        </w:rPr>
        <w:t>。</w:t>
      </w:r>
    </w:p>
    <w:p w14:paraId="1FCC3AB8">
      <w:pPr>
        <w:numPr>
          <w:ilvl w:val="0"/>
          <w:numId w:val="4"/>
        </w:numPr>
        <w:rPr>
          <w:rFonts w:ascii="宋体" w:hAnsi="宋体"/>
        </w:rPr>
      </w:pPr>
      <w:r>
        <w:rPr>
          <w:rFonts w:hint="eastAsia" w:ascii="宋体" w:hAnsi="宋体"/>
        </w:rPr>
        <w:t>投标人同意提供贵方要求的可能与投标有关的一切数据和资料。</w:t>
      </w:r>
    </w:p>
    <w:p w14:paraId="48A6CF72">
      <w:pPr>
        <w:numPr>
          <w:ilvl w:val="0"/>
          <w:numId w:val="4"/>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07BCC54A">
      <w:pPr>
        <w:numPr>
          <w:ilvl w:val="0"/>
          <w:numId w:val="4"/>
        </w:numPr>
        <w:rPr>
          <w:rFonts w:ascii="宋体" w:hAnsi="宋体"/>
        </w:rPr>
      </w:pPr>
      <w:r>
        <w:rPr>
          <w:rFonts w:hint="eastAsia" w:ascii="宋体" w:hAnsi="宋体"/>
        </w:rPr>
        <w:t>与本投标有关的一切正式往来通讯请寄：</w:t>
      </w:r>
    </w:p>
    <w:p w14:paraId="48897E7F">
      <w:pPr>
        <w:ind w:left="795"/>
        <w:rPr>
          <w:rFonts w:ascii="宋体" w:hAnsi="宋体"/>
        </w:rPr>
      </w:pPr>
      <w:r>
        <w:rPr>
          <w:rFonts w:hint="eastAsia" w:ascii="宋体" w:hAnsi="宋体"/>
        </w:rPr>
        <w:t>地址：                                   邮编：</w:t>
      </w:r>
    </w:p>
    <w:p w14:paraId="3AFA0BE3">
      <w:pPr>
        <w:ind w:left="795"/>
        <w:rPr>
          <w:rFonts w:ascii="宋体" w:hAnsi="宋体"/>
        </w:rPr>
      </w:pPr>
      <w:r>
        <w:rPr>
          <w:rFonts w:hint="eastAsia" w:ascii="宋体" w:hAnsi="宋体"/>
        </w:rPr>
        <w:t>电话：                                   传真：</w:t>
      </w:r>
    </w:p>
    <w:p w14:paraId="71285D3A">
      <w:pPr>
        <w:ind w:left="795"/>
      </w:pPr>
    </w:p>
    <w:p w14:paraId="40C414F4">
      <w:pPr>
        <w:ind w:left="795"/>
      </w:pPr>
    </w:p>
    <w:p w14:paraId="2381371B">
      <w:pPr>
        <w:ind w:left="795"/>
      </w:pPr>
      <w:r>
        <w:rPr>
          <w:rFonts w:hint="eastAsia"/>
        </w:rPr>
        <w:t>投标人授权代表签字：                 职务：                 日期：</w:t>
      </w:r>
    </w:p>
    <w:p w14:paraId="1C6F0545">
      <w:pPr>
        <w:ind w:left="795"/>
      </w:pPr>
      <w:r>
        <w:rPr>
          <w:rFonts w:hint="eastAsia"/>
        </w:rPr>
        <w:t>投标人授权代表姓名、职务（印刷体）：</w:t>
      </w:r>
    </w:p>
    <w:p w14:paraId="1C8F3E9B">
      <w:pPr>
        <w:ind w:left="795"/>
      </w:pPr>
      <w:r>
        <w:rPr>
          <w:rFonts w:hint="eastAsia"/>
        </w:rPr>
        <w:t>投标人名称（及公章）：</w:t>
      </w:r>
    </w:p>
    <w:p w14:paraId="0B366B27">
      <w:pPr>
        <w:ind w:left="795"/>
      </w:pPr>
      <w:r>
        <w:rPr>
          <w:rFonts w:hint="eastAsia"/>
        </w:rPr>
        <w:t>日期：        年       月       日</w:t>
      </w:r>
    </w:p>
    <w:p w14:paraId="7293B53D">
      <w:pPr>
        <w:rPr>
          <w:rFonts w:ascii="黑体" w:eastAsia="黑体"/>
          <w:sz w:val="30"/>
        </w:rPr>
      </w:pPr>
    </w:p>
    <w:p w14:paraId="53386BFD">
      <w:pPr>
        <w:rPr>
          <w:rFonts w:ascii="黑体" w:eastAsia="黑体"/>
          <w:sz w:val="30"/>
        </w:rPr>
      </w:pPr>
    </w:p>
    <w:p w14:paraId="35122C55">
      <w:pPr>
        <w:rPr>
          <w:rFonts w:hint="eastAsia" w:ascii="黑体" w:eastAsia="黑体"/>
          <w:sz w:val="30"/>
        </w:rPr>
      </w:pPr>
    </w:p>
    <w:p w14:paraId="1FF042D5">
      <w:pPr>
        <w:rPr>
          <w:rFonts w:hint="eastAsia" w:ascii="黑体" w:eastAsia="黑体"/>
          <w:sz w:val="30"/>
        </w:rPr>
      </w:pPr>
    </w:p>
    <w:p w14:paraId="6DE54DF1">
      <w:pPr>
        <w:rPr>
          <w:rFonts w:hint="eastAsia" w:ascii="黑体" w:eastAsia="黑体"/>
          <w:sz w:val="30"/>
        </w:rPr>
      </w:pPr>
    </w:p>
    <w:p w14:paraId="075DAC1E">
      <w:pPr>
        <w:rPr>
          <w:rFonts w:hint="eastAsia" w:ascii="黑体" w:eastAsia="黑体"/>
          <w:sz w:val="30"/>
        </w:rPr>
      </w:pPr>
    </w:p>
    <w:p w14:paraId="16FD9A8C">
      <w:pPr>
        <w:rPr>
          <w:rFonts w:hint="eastAsia" w:ascii="黑体" w:eastAsia="黑体"/>
          <w:sz w:val="30"/>
        </w:rPr>
      </w:pPr>
    </w:p>
    <w:p w14:paraId="302919FC">
      <w:pPr>
        <w:rPr>
          <w:rFonts w:eastAsia="黑体"/>
          <w:b/>
          <w:bCs/>
          <w:sz w:val="28"/>
        </w:rPr>
      </w:pPr>
      <w:r>
        <w:rPr>
          <w:rFonts w:hint="eastAsia" w:eastAsia="黑体"/>
          <w:b/>
          <w:bCs/>
          <w:sz w:val="28"/>
        </w:rPr>
        <w:t>格式</w:t>
      </w:r>
    </w:p>
    <w:p w14:paraId="080D5E95">
      <w:r>
        <w:rPr>
          <w:rFonts w:hint="eastAsia" w:ascii="宋体" w:hAnsi="宋体"/>
        </w:rPr>
        <w:t>项目名称：</w:t>
      </w:r>
      <w:r>
        <w:rPr>
          <w:rFonts w:hint="eastAsia"/>
          <w:u w:val="single"/>
        </w:rPr>
        <w:t>《中国重汽集团济宁商用车有限公司危废处置服务项目》</w:t>
      </w:r>
    </w:p>
    <w:p w14:paraId="002A7182">
      <w:pPr>
        <w:rPr>
          <w:rFonts w:ascii="宋体" w:hAnsi="宋体"/>
        </w:rPr>
      </w:pPr>
    </w:p>
    <w:p w14:paraId="26D0399B">
      <w:pPr>
        <w:rPr>
          <w:rFonts w:ascii="宋体" w:hAnsi="宋体"/>
          <w:szCs w:val="21"/>
        </w:rPr>
      </w:pPr>
      <w:r>
        <w:rPr>
          <w:rFonts w:hint="eastAsia" w:ascii="宋体" w:hAnsi="宋体"/>
          <w:szCs w:val="21"/>
        </w:rPr>
        <w:t>日期：  年   月   日</w:t>
      </w:r>
    </w:p>
    <w:p w14:paraId="6486A48B">
      <w:pPr>
        <w:jc w:val="center"/>
        <w:rPr>
          <w:rFonts w:ascii="黑体" w:eastAsia="黑体"/>
          <w:sz w:val="30"/>
        </w:rPr>
      </w:pPr>
      <w:r>
        <w:rPr>
          <w:rFonts w:hint="eastAsia" w:ascii="黑体" w:eastAsia="黑体"/>
          <w:sz w:val="30"/>
        </w:rPr>
        <w:t>投标文件目录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26D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64BF75">
            <w:pPr>
              <w:jc w:val="center"/>
              <w:rPr>
                <w:szCs w:val="21"/>
              </w:rPr>
            </w:pPr>
            <w:r>
              <w:rPr>
                <w:rFonts w:hint="eastAsia"/>
                <w:szCs w:val="21"/>
              </w:rPr>
              <w:t>序号</w:t>
            </w:r>
          </w:p>
        </w:tc>
        <w:tc>
          <w:tcPr>
            <w:tcW w:w="6520" w:type="dxa"/>
            <w:noWrap w:val="0"/>
            <w:vAlign w:val="center"/>
          </w:tcPr>
          <w:p w14:paraId="53C57C19">
            <w:pPr>
              <w:jc w:val="center"/>
              <w:rPr>
                <w:szCs w:val="21"/>
              </w:rPr>
            </w:pPr>
            <w:r>
              <w:rPr>
                <w:rFonts w:hint="eastAsia"/>
                <w:szCs w:val="21"/>
              </w:rPr>
              <w:t>主要内容</w:t>
            </w:r>
          </w:p>
        </w:tc>
        <w:tc>
          <w:tcPr>
            <w:tcW w:w="1276" w:type="dxa"/>
            <w:noWrap w:val="0"/>
            <w:vAlign w:val="center"/>
          </w:tcPr>
          <w:p w14:paraId="49BC5D9B">
            <w:pPr>
              <w:jc w:val="center"/>
              <w:rPr>
                <w:szCs w:val="21"/>
              </w:rPr>
            </w:pPr>
            <w:r>
              <w:rPr>
                <w:rFonts w:hint="eastAsia"/>
                <w:szCs w:val="21"/>
              </w:rPr>
              <w:t>索引</w:t>
            </w:r>
          </w:p>
        </w:tc>
      </w:tr>
      <w:tr w14:paraId="5FCC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193E0E1">
            <w:pPr>
              <w:jc w:val="center"/>
            </w:pPr>
          </w:p>
        </w:tc>
        <w:tc>
          <w:tcPr>
            <w:tcW w:w="6520" w:type="dxa"/>
            <w:noWrap w:val="0"/>
            <w:vAlign w:val="center"/>
          </w:tcPr>
          <w:p w14:paraId="260F2C4F">
            <w:pPr>
              <w:jc w:val="center"/>
            </w:pPr>
          </w:p>
        </w:tc>
        <w:tc>
          <w:tcPr>
            <w:tcW w:w="1276" w:type="dxa"/>
            <w:noWrap w:val="0"/>
            <w:vAlign w:val="center"/>
          </w:tcPr>
          <w:p w14:paraId="71F1E27C">
            <w:pPr>
              <w:jc w:val="center"/>
            </w:pPr>
          </w:p>
        </w:tc>
      </w:tr>
      <w:tr w14:paraId="5B5CA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08E0CA">
            <w:pPr>
              <w:jc w:val="center"/>
            </w:pPr>
          </w:p>
        </w:tc>
        <w:tc>
          <w:tcPr>
            <w:tcW w:w="6520" w:type="dxa"/>
            <w:noWrap w:val="0"/>
            <w:vAlign w:val="center"/>
          </w:tcPr>
          <w:p w14:paraId="3348A819">
            <w:pPr>
              <w:jc w:val="center"/>
            </w:pPr>
          </w:p>
        </w:tc>
        <w:tc>
          <w:tcPr>
            <w:tcW w:w="1276" w:type="dxa"/>
            <w:noWrap w:val="0"/>
            <w:vAlign w:val="center"/>
          </w:tcPr>
          <w:p w14:paraId="27CC3174">
            <w:pPr>
              <w:jc w:val="center"/>
            </w:pPr>
          </w:p>
        </w:tc>
      </w:tr>
      <w:tr w14:paraId="08A6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1901BBC">
            <w:pPr>
              <w:jc w:val="center"/>
            </w:pPr>
          </w:p>
        </w:tc>
        <w:tc>
          <w:tcPr>
            <w:tcW w:w="6520" w:type="dxa"/>
            <w:noWrap w:val="0"/>
            <w:vAlign w:val="center"/>
          </w:tcPr>
          <w:p w14:paraId="766D8E2F">
            <w:pPr>
              <w:jc w:val="center"/>
            </w:pPr>
          </w:p>
        </w:tc>
        <w:tc>
          <w:tcPr>
            <w:tcW w:w="1276" w:type="dxa"/>
            <w:noWrap w:val="0"/>
            <w:vAlign w:val="center"/>
          </w:tcPr>
          <w:p w14:paraId="120ADA43">
            <w:pPr>
              <w:jc w:val="center"/>
            </w:pPr>
          </w:p>
        </w:tc>
      </w:tr>
      <w:tr w14:paraId="62A7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50CE07">
            <w:pPr>
              <w:jc w:val="center"/>
            </w:pPr>
          </w:p>
        </w:tc>
        <w:tc>
          <w:tcPr>
            <w:tcW w:w="6520" w:type="dxa"/>
            <w:noWrap w:val="0"/>
            <w:vAlign w:val="center"/>
          </w:tcPr>
          <w:p w14:paraId="7501F241">
            <w:pPr>
              <w:jc w:val="center"/>
            </w:pPr>
          </w:p>
        </w:tc>
        <w:tc>
          <w:tcPr>
            <w:tcW w:w="1276" w:type="dxa"/>
            <w:noWrap w:val="0"/>
            <w:vAlign w:val="center"/>
          </w:tcPr>
          <w:p w14:paraId="06493FD3">
            <w:pPr>
              <w:jc w:val="center"/>
            </w:pPr>
          </w:p>
        </w:tc>
      </w:tr>
      <w:tr w14:paraId="27C3F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A54AFC2">
            <w:pPr>
              <w:jc w:val="center"/>
            </w:pPr>
          </w:p>
        </w:tc>
        <w:tc>
          <w:tcPr>
            <w:tcW w:w="6520" w:type="dxa"/>
            <w:noWrap w:val="0"/>
            <w:vAlign w:val="center"/>
          </w:tcPr>
          <w:p w14:paraId="3153E7C9">
            <w:pPr>
              <w:jc w:val="center"/>
            </w:pPr>
          </w:p>
        </w:tc>
        <w:tc>
          <w:tcPr>
            <w:tcW w:w="1276" w:type="dxa"/>
            <w:noWrap w:val="0"/>
            <w:vAlign w:val="center"/>
          </w:tcPr>
          <w:p w14:paraId="1215717E">
            <w:pPr>
              <w:jc w:val="center"/>
            </w:pPr>
          </w:p>
        </w:tc>
      </w:tr>
      <w:tr w14:paraId="752F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E713153">
            <w:pPr>
              <w:jc w:val="center"/>
            </w:pPr>
          </w:p>
        </w:tc>
        <w:tc>
          <w:tcPr>
            <w:tcW w:w="6520" w:type="dxa"/>
            <w:noWrap w:val="0"/>
            <w:vAlign w:val="center"/>
          </w:tcPr>
          <w:p w14:paraId="1832378D">
            <w:pPr>
              <w:jc w:val="center"/>
            </w:pPr>
          </w:p>
        </w:tc>
        <w:tc>
          <w:tcPr>
            <w:tcW w:w="1276" w:type="dxa"/>
            <w:noWrap w:val="0"/>
            <w:vAlign w:val="center"/>
          </w:tcPr>
          <w:p w14:paraId="05966B2E">
            <w:pPr>
              <w:jc w:val="center"/>
            </w:pPr>
          </w:p>
        </w:tc>
      </w:tr>
      <w:tr w14:paraId="74E0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E766A8E">
            <w:pPr>
              <w:jc w:val="center"/>
            </w:pPr>
          </w:p>
        </w:tc>
        <w:tc>
          <w:tcPr>
            <w:tcW w:w="6520" w:type="dxa"/>
            <w:noWrap w:val="0"/>
            <w:vAlign w:val="center"/>
          </w:tcPr>
          <w:p w14:paraId="2CA88CE3">
            <w:pPr>
              <w:jc w:val="center"/>
            </w:pPr>
          </w:p>
        </w:tc>
        <w:tc>
          <w:tcPr>
            <w:tcW w:w="1276" w:type="dxa"/>
            <w:noWrap w:val="0"/>
            <w:vAlign w:val="center"/>
          </w:tcPr>
          <w:p w14:paraId="5B1DB675">
            <w:pPr>
              <w:jc w:val="center"/>
            </w:pPr>
          </w:p>
        </w:tc>
      </w:tr>
      <w:tr w14:paraId="0DCD0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5BF0795">
            <w:pPr>
              <w:jc w:val="center"/>
            </w:pPr>
          </w:p>
        </w:tc>
        <w:tc>
          <w:tcPr>
            <w:tcW w:w="6520" w:type="dxa"/>
            <w:noWrap w:val="0"/>
            <w:vAlign w:val="center"/>
          </w:tcPr>
          <w:p w14:paraId="42D04A50">
            <w:pPr>
              <w:jc w:val="center"/>
            </w:pPr>
          </w:p>
        </w:tc>
        <w:tc>
          <w:tcPr>
            <w:tcW w:w="1276" w:type="dxa"/>
            <w:noWrap w:val="0"/>
            <w:vAlign w:val="center"/>
          </w:tcPr>
          <w:p w14:paraId="73B9D11D">
            <w:pPr>
              <w:jc w:val="center"/>
            </w:pPr>
          </w:p>
        </w:tc>
      </w:tr>
      <w:tr w14:paraId="7556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noWrap w:val="0"/>
            <w:vAlign w:val="center"/>
          </w:tcPr>
          <w:p w14:paraId="6DF1A38E">
            <w:pPr>
              <w:jc w:val="center"/>
            </w:pPr>
          </w:p>
        </w:tc>
        <w:tc>
          <w:tcPr>
            <w:tcW w:w="6520" w:type="dxa"/>
            <w:noWrap w:val="0"/>
            <w:vAlign w:val="center"/>
          </w:tcPr>
          <w:p w14:paraId="7A7399A9">
            <w:pPr>
              <w:jc w:val="center"/>
            </w:pPr>
          </w:p>
        </w:tc>
        <w:tc>
          <w:tcPr>
            <w:tcW w:w="1276" w:type="dxa"/>
            <w:noWrap w:val="0"/>
            <w:vAlign w:val="center"/>
          </w:tcPr>
          <w:p w14:paraId="259BDC3D">
            <w:pPr>
              <w:jc w:val="center"/>
            </w:pPr>
          </w:p>
        </w:tc>
      </w:tr>
      <w:tr w14:paraId="2668F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BE88EB4">
            <w:pPr>
              <w:jc w:val="center"/>
            </w:pPr>
          </w:p>
        </w:tc>
        <w:tc>
          <w:tcPr>
            <w:tcW w:w="6520" w:type="dxa"/>
            <w:noWrap w:val="0"/>
            <w:vAlign w:val="center"/>
          </w:tcPr>
          <w:p w14:paraId="5140043D">
            <w:pPr>
              <w:jc w:val="center"/>
            </w:pPr>
          </w:p>
        </w:tc>
        <w:tc>
          <w:tcPr>
            <w:tcW w:w="1276" w:type="dxa"/>
            <w:noWrap w:val="0"/>
            <w:vAlign w:val="center"/>
          </w:tcPr>
          <w:p w14:paraId="07233DAC">
            <w:pPr>
              <w:jc w:val="center"/>
            </w:pPr>
          </w:p>
        </w:tc>
      </w:tr>
      <w:tr w14:paraId="66C8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14F988">
            <w:pPr>
              <w:jc w:val="center"/>
            </w:pPr>
          </w:p>
        </w:tc>
        <w:tc>
          <w:tcPr>
            <w:tcW w:w="6520" w:type="dxa"/>
            <w:noWrap w:val="0"/>
            <w:vAlign w:val="center"/>
          </w:tcPr>
          <w:p w14:paraId="163ED242">
            <w:pPr>
              <w:jc w:val="center"/>
            </w:pPr>
          </w:p>
        </w:tc>
        <w:tc>
          <w:tcPr>
            <w:tcW w:w="1276" w:type="dxa"/>
            <w:noWrap w:val="0"/>
            <w:vAlign w:val="center"/>
          </w:tcPr>
          <w:p w14:paraId="0B28CBDD">
            <w:pPr>
              <w:jc w:val="center"/>
            </w:pPr>
          </w:p>
        </w:tc>
      </w:tr>
      <w:tr w14:paraId="27DB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E95F51">
            <w:pPr>
              <w:jc w:val="center"/>
            </w:pPr>
          </w:p>
        </w:tc>
        <w:tc>
          <w:tcPr>
            <w:tcW w:w="6520" w:type="dxa"/>
            <w:noWrap w:val="0"/>
            <w:vAlign w:val="center"/>
          </w:tcPr>
          <w:p w14:paraId="459F201F">
            <w:pPr>
              <w:jc w:val="center"/>
            </w:pPr>
          </w:p>
        </w:tc>
        <w:tc>
          <w:tcPr>
            <w:tcW w:w="1276" w:type="dxa"/>
            <w:noWrap w:val="0"/>
            <w:vAlign w:val="center"/>
          </w:tcPr>
          <w:p w14:paraId="62EACD34">
            <w:pPr>
              <w:jc w:val="center"/>
            </w:pPr>
          </w:p>
        </w:tc>
      </w:tr>
    </w:tbl>
    <w:p w14:paraId="3EFD8146">
      <w:pPr>
        <w:rPr>
          <w:rFonts w:ascii="宋体" w:hAnsi="宋体"/>
          <w:sz w:val="24"/>
          <w:szCs w:val="24"/>
        </w:rPr>
      </w:pPr>
    </w:p>
    <w:p w14:paraId="317B4A79">
      <w:pPr>
        <w:rPr>
          <w:rFonts w:ascii="宋体" w:hAnsi="宋体"/>
          <w:szCs w:val="21"/>
        </w:rPr>
      </w:pPr>
      <w:r>
        <w:rPr>
          <w:rFonts w:hint="eastAsia" w:ascii="宋体" w:hAnsi="宋体"/>
          <w:szCs w:val="21"/>
        </w:rPr>
        <w:t>投标人名称（盖章）：              法定代表人或授权代表签字：</w:t>
      </w:r>
    </w:p>
    <w:p w14:paraId="16E1A13E">
      <w:pPr>
        <w:rPr>
          <w:rFonts w:ascii="宋体" w:hAnsi="宋体"/>
          <w:sz w:val="24"/>
        </w:rPr>
      </w:pPr>
    </w:p>
    <w:p w14:paraId="41FF30CB">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3A5AAE77">
      <w:pPr>
        <w:ind w:firstLine="480"/>
        <w:rPr>
          <w:rFonts w:hint="eastAsia" w:ascii="宋体" w:hAnsi="宋体"/>
          <w:szCs w:val="21"/>
        </w:rPr>
      </w:pPr>
      <w:r>
        <w:rPr>
          <w:rFonts w:hint="eastAsia" w:ascii="宋体" w:hAnsi="宋体"/>
          <w:szCs w:val="21"/>
        </w:rPr>
        <w:t>2．“索引”一栏填写该主要内容对应于投标文件的“条款号/页号”。</w:t>
      </w:r>
    </w:p>
    <w:p w14:paraId="7062564F">
      <w:pPr>
        <w:ind w:firstLine="480"/>
        <w:rPr>
          <w:rFonts w:hint="eastAsia" w:ascii="宋体" w:hAnsi="宋体"/>
          <w:szCs w:val="21"/>
        </w:rPr>
      </w:pPr>
    </w:p>
    <w:p w14:paraId="2199EB8A">
      <w:pPr>
        <w:ind w:firstLine="480"/>
        <w:rPr>
          <w:rFonts w:ascii="宋体" w:hAnsi="宋体"/>
          <w:szCs w:val="21"/>
        </w:rPr>
      </w:pPr>
    </w:p>
    <w:p w14:paraId="46ABF589">
      <w:pPr>
        <w:rPr>
          <w:rFonts w:hint="eastAsia" w:eastAsia="黑体"/>
          <w:b/>
          <w:bCs/>
          <w:sz w:val="28"/>
        </w:rPr>
      </w:pPr>
      <w:r>
        <w:rPr>
          <w:rFonts w:hint="eastAsia" w:eastAsia="黑体"/>
          <w:b/>
          <w:bCs/>
          <w:sz w:val="28"/>
        </w:rPr>
        <w:t>附件4</w:t>
      </w:r>
    </w:p>
    <w:p w14:paraId="6B704F0A">
      <w:pPr>
        <w:rPr>
          <w:rFonts w:hint="eastAsia"/>
          <w:u w:val="single"/>
        </w:rPr>
      </w:pPr>
      <w:r>
        <w:rPr>
          <w:rFonts w:hint="eastAsia" w:ascii="宋体" w:hAnsi="宋体"/>
        </w:rPr>
        <w:t>项目名称：</w:t>
      </w:r>
      <w:r>
        <w:rPr>
          <w:rFonts w:hint="eastAsia"/>
          <w:u w:val="single"/>
        </w:rPr>
        <w:t>《中国重汽集团济宁商用车有限公司危废处置服务项目》</w:t>
      </w:r>
    </w:p>
    <w:p w14:paraId="5EE6E406">
      <w:pPr>
        <w:rPr>
          <w:rFonts w:ascii="宋体" w:hAnsi="宋体"/>
          <w:szCs w:val="21"/>
        </w:rPr>
      </w:pPr>
      <w:r>
        <w:rPr>
          <w:rFonts w:hint="eastAsia" w:ascii="宋体" w:hAnsi="宋体"/>
          <w:szCs w:val="21"/>
        </w:rPr>
        <w:t>日期：  年   月   日</w:t>
      </w:r>
    </w:p>
    <w:p w14:paraId="4C206CC5">
      <w:pPr>
        <w:jc w:val="center"/>
        <w:rPr>
          <w:rFonts w:ascii="黑体" w:eastAsia="黑体"/>
          <w:sz w:val="30"/>
        </w:rPr>
      </w:pPr>
      <w:r>
        <w:rPr>
          <w:rFonts w:hint="eastAsia" w:ascii="黑体" w:eastAsia="黑体"/>
          <w:sz w:val="30"/>
        </w:rPr>
        <w:t>开标一览表</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412"/>
        <w:gridCol w:w="636"/>
        <w:gridCol w:w="94"/>
        <w:gridCol w:w="615"/>
        <w:gridCol w:w="137"/>
        <w:gridCol w:w="1139"/>
        <w:gridCol w:w="1126"/>
        <w:gridCol w:w="1056"/>
        <w:gridCol w:w="1056"/>
        <w:gridCol w:w="589"/>
      </w:tblGrid>
      <w:tr w14:paraId="6EC1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restart"/>
            <w:noWrap w:val="0"/>
            <w:vAlign w:val="center"/>
          </w:tcPr>
          <w:p w14:paraId="7F5F449D">
            <w:pPr>
              <w:jc w:val="center"/>
              <w:rPr>
                <w:rFonts w:ascii="宋体" w:hAnsi="宋体"/>
                <w:szCs w:val="21"/>
              </w:rPr>
            </w:pPr>
            <w:r>
              <w:rPr>
                <w:rFonts w:hint="eastAsia" w:ascii="宋体" w:hAnsi="宋体"/>
                <w:szCs w:val="21"/>
              </w:rPr>
              <w:t>价格承诺</w:t>
            </w:r>
          </w:p>
        </w:tc>
        <w:tc>
          <w:tcPr>
            <w:tcW w:w="1317" w:type="pct"/>
            <w:noWrap w:val="0"/>
            <w:vAlign w:val="center"/>
          </w:tcPr>
          <w:p w14:paraId="300960A9">
            <w:pPr>
              <w:jc w:val="center"/>
              <w:rPr>
                <w:rFonts w:ascii="黑体" w:eastAsia="黑体"/>
                <w:szCs w:val="21"/>
              </w:rPr>
            </w:pPr>
            <w:r>
              <w:rPr>
                <w:rFonts w:hint="eastAsia" w:ascii="宋体" w:hAnsi="宋体"/>
              </w:rPr>
              <w:t>危废名称</w:t>
            </w:r>
          </w:p>
        </w:tc>
        <w:tc>
          <w:tcPr>
            <w:tcW w:w="342" w:type="pct"/>
            <w:noWrap w:val="0"/>
            <w:vAlign w:val="center"/>
          </w:tcPr>
          <w:p w14:paraId="3ADB8EC6">
            <w:pPr>
              <w:spacing w:line="360" w:lineRule="auto"/>
              <w:jc w:val="center"/>
              <w:rPr>
                <w:rFonts w:hint="eastAsia" w:ascii="宋体" w:hAnsi="宋体"/>
              </w:rPr>
            </w:pPr>
            <w:r>
              <w:rPr>
                <w:rFonts w:hint="eastAsia" w:ascii="宋体" w:hAnsi="宋体"/>
              </w:rPr>
              <w:t>危废编号</w:t>
            </w:r>
          </w:p>
        </w:tc>
        <w:tc>
          <w:tcPr>
            <w:tcW w:w="457" w:type="pct"/>
            <w:gridSpan w:val="3"/>
            <w:noWrap w:val="0"/>
            <w:vAlign w:val="top"/>
          </w:tcPr>
          <w:p w14:paraId="7D0EBAEC">
            <w:pPr>
              <w:jc w:val="center"/>
              <w:rPr>
                <w:rFonts w:hint="eastAsia" w:ascii="宋体" w:hAnsi="宋体"/>
                <w:szCs w:val="21"/>
              </w:rPr>
            </w:pPr>
            <w:r>
              <w:rPr>
                <w:rFonts w:hint="eastAsia" w:ascii="宋体" w:hAnsi="宋体"/>
                <w:szCs w:val="21"/>
              </w:rPr>
              <w:t>2025年预测产生量（吨）</w:t>
            </w:r>
          </w:p>
        </w:tc>
        <w:tc>
          <w:tcPr>
            <w:tcW w:w="668" w:type="pct"/>
            <w:noWrap w:val="0"/>
            <w:vAlign w:val="center"/>
          </w:tcPr>
          <w:p w14:paraId="584279F3">
            <w:pPr>
              <w:jc w:val="center"/>
              <w:rPr>
                <w:rFonts w:ascii="宋体" w:hAnsi="宋体"/>
                <w:szCs w:val="21"/>
              </w:rPr>
            </w:pPr>
            <w:r>
              <w:rPr>
                <w:rFonts w:hint="eastAsia" w:ascii="宋体" w:hAnsi="宋体"/>
                <w:szCs w:val="21"/>
              </w:rPr>
              <w:t>单价</w:t>
            </w:r>
          </w:p>
          <w:p w14:paraId="313F62A7">
            <w:pPr>
              <w:jc w:val="center"/>
              <w:rPr>
                <w:rFonts w:ascii="宋体" w:hAnsi="宋体"/>
                <w:szCs w:val="21"/>
              </w:rPr>
            </w:pPr>
            <w:r>
              <w:rPr>
                <w:rFonts w:hint="eastAsia" w:ascii="宋体" w:hAnsi="宋体"/>
                <w:szCs w:val="21"/>
              </w:rPr>
              <w:t>（元/吨），含税价</w:t>
            </w:r>
          </w:p>
        </w:tc>
        <w:tc>
          <w:tcPr>
            <w:tcW w:w="625" w:type="pct"/>
            <w:noWrap w:val="0"/>
            <w:vAlign w:val="top"/>
          </w:tcPr>
          <w:p w14:paraId="5C56B46A">
            <w:pPr>
              <w:jc w:val="center"/>
              <w:rPr>
                <w:rFonts w:ascii="宋体" w:hAnsi="宋体"/>
                <w:szCs w:val="21"/>
              </w:rPr>
            </w:pPr>
            <w:r>
              <w:rPr>
                <w:rFonts w:hint="eastAsia" w:ascii="宋体" w:hAnsi="宋体"/>
                <w:szCs w:val="21"/>
              </w:rPr>
              <w:t>单价</w:t>
            </w:r>
          </w:p>
          <w:p w14:paraId="645CF809">
            <w:pPr>
              <w:jc w:val="center"/>
              <w:rPr>
                <w:rFonts w:hint="eastAsia" w:ascii="宋体" w:hAnsi="宋体"/>
                <w:szCs w:val="21"/>
              </w:rPr>
            </w:pPr>
            <w:r>
              <w:rPr>
                <w:rFonts w:hint="eastAsia" w:ascii="宋体" w:hAnsi="宋体"/>
                <w:szCs w:val="21"/>
              </w:rPr>
              <w:t>（元/吨），未税价</w:t>
            </w:r>
          </w:p>
        </w:tc>
        <w:tc>
          <w:tcPr>
            <w:tcW w:w="512" w:type="pct"/>
            <w:noWrap w:val="0"/>
            <w:vAlign w:val="center"/>
          </w:tcPr>
          <w:p w14:paraId="620DE3DF">
            <w:pPr>
              <w:jc w:val="center"/>
              <w:rPr>
                <w:rFonts w:ascii="宋体" w:hAnsi="宋体"/>
                <w:szCs w:val="21"/>
              </w:rPr>
            </w:pPr>
            <w:r>
              <w:rPr>
                <w:rFonts w:hint="eastAsia" w:ascii="宋体" w:hAnsi="宋体"/>
                <w:szCs w:val="21"/>
              </w:rPr>
              <w:t>总价</w:t>
            </w:r>
          </w:p>
          <w:p w14:paraId="245F1C0B">
            <w:pPr>
              <w:jc w:val="center"/>
              <w:rPr>
                <w:rFonts w:hint="eastAsia" w:ascii="宋体" w:hAnsi="宋体"/>
                <w:szCs w:val="21"/>
              </w:rPr>
            </w:pPr>
            <w:r>
              <w:rPr>
                <w:rFonts w:hint="eastAsia" w:ascii="宋体" w:hAnsi="宋体"/>
                <w:szCs w:val="21"/>
              </w:rPr>
              <w:t>（元），含税价</w:t>
            </w:r>
          </w:p>
        </w:tc>
        <w:tc>
          <w:tcPr>
            <w:tcW w:w="512" w:type="pct"/>
            <w:noWrap w:val="0"/>
            <w:vAlign w:val="top"/>
          </w:tcPr>
          <w:p w14:paraId="55E82FBD">
            <w:pPr>
              <w:jc w:val="center"/>
              <w:rPr>
                <w:rFonts w:ascii="宋体" w:hAnsi="宋体"/>
                <w:szCs w:val="21"/>
              </w:rPr>
            </w:pPr>
            <w:r>
              <w:rPr>
                <w:rFonts w:hint="eastAsia" w:ascii="宋体" w:hAnsi="宋体"/>
                <w:szCs w:val="21"/>
              </w:rPr>
              <w:t>总价</w:t>
            </w:r>
          </w:p>
          <w:p w14:paraId="0A45C715">
            <w:pPr>
              <w:jc w:val="center"/>
              <w:rPr>
                <w:rFonts w:hint="eastAsia" w:ascii="宋体" w:hAnsi="宋体"/>
                <w:szCs w:val="21"/>
              </w:rPr>
            </w:pPr>
            <w:r>
              <w:rPr>
                <w:rFonts w:hint="eastAsia" w:ascii="宋体" w:hAnsi="宋体"/>
                <w:szCs w:val="21"/>
              </w:rPr>
              <w:t>（元），未税价</w:t>
            </w:r>
          </w:p>
        </w:tc>
        <w:tc>
          <w:tcPr>
            <w:tcW w:w="335" w:type="pct"/>
            <w:noWrap w:val="0"/>
            <w:vAlign w:val="top"/>
          </w:tcPr>
          <w:p w14:paraId="048EB95D">
            <w:pPr>
              <w:jc w:val="center"/>
              <w:rPr>
                <w:rFonts w:hint="eastAsia" w:ascii="宋体" w:hAnsi="宋体"/>
                <w:szCs w:val="21"/>
              </w:rPr>
            </w:pPr>
          </w:p>
          <w:p w14:paraId="256585F4">
            <w:pPr>
              <w:jc w:val="center"/>
              <w:rPr>
                <w:rFonts w:hint="eastAsia" w:ascii="宋体" w:hAnsi="宋体"/>
                <w:szCs w:val="21"/>
              </w:rPr>
            </w:pPr>
            <w:r>
              <w:rPr>
                <w:rFonts w:hint="eastAsia" w:ascii="宋体" w:hAnsi="宋体"/>
                <w:szCs w:val="21"/>
              </w:rPr>
              <w:t>税率</w:t>
            </w:r>
          </w:p>
        </w:tc>
      </w:tr>
      <w:tr w14:paraId="08E1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51CC8A84">
            <w:pPr>
              <w:jc w:val="center"/>
              <w:rPr>
                <w:rFonts w:hint="eastAsia" w:ascii="宋体" w:hAnsi="宋体"/>
                <w:szCs w:val="21"/>
              </w:rPr>
            </w:pPr>
          </w:p>
        </w:tc>
        <w:tc>
          <w:tcPr>
            <w:tcW w:w="1317" w:type="pct"/>
            <w:noWrap w:val="0"/>
            <w:vAlign w:val="center"/>
          </w:tcPr>
          <w:p w14:paraId="264383A0">
            <w:pPr>
              <w:spacing w:line="360" w:lineRule="auto"/>
              <w:jc w:val="center"/>
              <w:rPr>
                <w:rFonts w:hint="eastAsia" w:ascii="宋体" w:hAnsi="宋体"/>
                <w:szCs w:val="21"/>
              </w:rPr>
            </w:pPr>
            <w:r>
              <w:rPr>
                <w:rFonts w:ascii="宋体" w:hAnsi="宋体"/>
                <w:szCs w:val="21"/>
              </w:rPr>
              <w:t>染料、涂料废物</w:t>
            </w:r>
            <w:r>
              <w:rPr>
                <w:rFonts w:hint="eastAsia" w:ascii="宋体" w:hAnsi="宋体"/>
                <w:szCs w:val="21"/>
              </w:rPr>
              <w:t>（漆渣）</w:t>
            </w:r>
          </w:p>
        </w:tc>
        <w:tc>
          <w:tcPr>
            <w:tcW w:w="342" w:type="pct"/>
            <w:noWrap w:val="0"/>
            <w:vAlign w:val="center"/>
          </w:tcPr>
          <w:p w14:paraId="5EC784A8">
            <w:pPr>
              <w:spacing w:line="360" w:lineRule="auto"/>
              <w:jc w:val="center"/>
              <w:rPr>
                <w:rFonts w:hint="default" w:ascii="宋体" w:hAnsi="宋体" w:eastAsia="宋体"/>
                <w:szCs w:val="21"/>
                <w:lang w:val="en-US" w:eastAsia="zh-CN"/>
              </w:rPr>
            </w:pPr>
            <w:r>
              <w:rPr>
                <w:rFonts w:hint="eastAsia" w:ascii="宋体" w:hAnsi="宋体"/>
                <w:szCs w:val="21"/>
              </w:rPr>
              <w:t>HW</w:t>
            </w:r>
            <w:r>
              <w:rPr>
                <w:rFonts w:hint="eastAsia" w:ascii="宋体" w:hAnsi="宋体"/>
                <w:szCs w:val="21"/>
                <w:lang w:val="en-US" w:eastAsia="zh-CN"/>
              </w:rPr>
              <w:t>12</w:t>
            </w:r>
          </w:p>
        </w:tc>
        <w:tc>
          <w:tcPr>
            <w:tcW w:w="457" w:type="pct"/>
            <w:gridSpan w:val="3"/>
            <w:noWrap w:val="0"/>
            <w:vAlign w:val="center"/>
          </w:tcPr>
          <w:p w14:paraId="28D665A7">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80</w:t>
            </w:r>
          </w:p>
        </w:tc>
        <w:tc>
          <w:tcPr>
            <w:tcW w:w="668" w:type="pct"/>
            <w:noWrap w:val="0"/>
            <w:vAlign w:val="center"/>
          </w:tcPr>
          <w:p w14:paraId="185F42DA">
            <w:pPr>
              <w:jc w:val="center"/>
              <w:rPr>
                <w:rFonts w:hint="eastAsia" w:ascii="宋体" w:hAnsi="宋体"/>
                <w:szCs w:val="21"/>
              </w:rPr>
            </w:pPr>
          </w:p>
        </w:tc>
        <w:tc>
          <w:tcPr>
            <w:tcW w:w="625" w:type="pct"/>
            <w:noWrap w:val="0"/>
            <w:vAlign w:val="top"/>
          </w:tcPr>
          <w:p w14:paraId="0D3A42D2">
            <w:pPr>
              <w:jc w:val="center"/>
              <w:rPr>
                <w:rFonts w:hint="eastAsia" w:ascii="宋体" w:hAnsi="宋体"/>
                <w:szCs w:val="21"/>
              </w:rPr>
            </w:pPr>
          </w:p>
        </w:tc>
        <w:tc>
          <w:tcPr>
            <w:tcW w:w="512" w:type="pct"/>
            <w:noWrap w:val="0"/>
            <w:vAlign w:val="top"/>
          </w:tcPr>
          <w:p w14:paraId="21561EEC">
            <w:pPr>
              <w:jc w:val="center"/>
              <w:rPr>
                <w:rFonts w:hint="eastAsia" w:ascii="宋体" w:hAnsi="宋体"/>
                <w:szCs w:val="21"/>
              </w:rPr>
            </w:pPr>
          </w:p>
        </w:tc>
        <w:tc>
          <w:tcPr>
            <w:tcW w:w="512" w:type="pct"/>
            <w:noWrap w:val="0"/>
            <w:vAlign w:val="top"/>
          </w:tcPr>
          <w:p w14:paraId="5D953AFF">
            <w:pPr>
              <w:jc w:val="center"/>
              <w:rPr>
                <w:rFonts w:hint="eastAsia" w:ascii="宋体" w:hAnsi="宋体"/>
                <w:szCs w:val="21"/>
              </w:rPr>
            </w:pPr>
          </w:p>
        </w:tc>
        <w:tc>
          <w:tcPr>
            <w:tcW w:w="335" w:type="pct"/>
            <w:noWrap w:val="0"/>
            <w:vAlign w:val="top"/>
          </w:tcPr>
          <w:p w14:paraId="5405C839">
            <w:pPr>
              <w:jc w:val="center"/>
              <w:rPr>
                <w:rFonts w:hint="eastAsia" w:ascii="宋体" w:hAnsi="宋体"/>
                <w:szCs w:val="21"/>
              </w:rPr>
            </w:pPr>
          </w:p>
        </w:tc>
      </w:tr>
      <w:tr w14:paraId="35E8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0DB41A62">
            <w:pPr>
              <w:jc w:val="center"/>
              <w:rPr>
                <w:rFonts w:hint="eastAsia" w:ascii="宋体" w:hAnsi="宋体"/>
                <w:szCs w:val="21"/>
              </w:rPr>
            </w:pPr>
          </w:p>
        </w:tc>
        <w:tc>
          <w:tcPr>
            <w:tcW w:w="1317" w:type="pct"/>
            <w:noWrap w:val="0"/>
            <w:vAlign w:val="center"/>
          </w:tcPr>
          <w:p w14:paraId="77CA239B">
            <w:pPr>
              <w:spacing w:line="360" w:lineRule="auto"/>
              <w:jc w:val="center"/>
              <w:rPr>
                <w:rFonts w:hint="eastAsia" w:ascii="宋体" w:hAnsi="宋体"/>
                <w:szCs w:val="21"/>
              </w:rPr>
            </w:pPr>
            <w:r>
              <w:rPr>
                <w:rFonts w:ascii="宋体" w:hAnsi="宋体"/>
                <w:szCs w:val="21"/>
              </w:rPr>
              <w:t>表面处理废物</w:t>
            </w:r>
            <w:r>
              <w:rPr>
                <w:rFonts w:hint="eastAsia" w:ascii="宋体" w:hAnsi="宋体"/>
                <w:szCs w:val="21"/>
              </w:rPr>
              <w:t>（磷化渣、污泥）</w:t>
            </w:r>
          </w:p>
        </w:tc>
        <w:tc>
          <w:tcPr>
            <w:tcW w:w="342" w:type="pct"/>
            <w:noWrap w:val="0"/>
            <w:vAlign w:val="center"/>
          </w:tcPr>
          <w:p w14:paraId="2DC38B16">
            <w:pPr>
              <w:spacing w:line="360" w:lineRule="auto"/>
              <w:jc w:val="center"/>
              <w:rPr>
                <w:rFonts w:hint="default" w:ascii="宋体" w:hAnsi="宋体"/>
                <w:szCs w:val="21"/>
                <w:lang w:val="en-US"/>
              </w:rPr>
            </w:pPr>
            <w:r>
              <w:rPr>
                <w:rFonts w:hint="eastAsia" w:ascii="宋体" w:hAnsi="宋体"/>
                <w:szCs w:val="21"/>
              </w:rPr>
              <w:t>HW</w:t>
            </w:r>
            <w:r>
              <w:rPr>
                <w:rFonts w:hint="eastAsia" w:ascii="宋体" w:hAnsi="宋体"/>
                <w:szCs w:val="21"/>
                <w:lang w:val="en-US" w:eastAsia="zh-CN"/>
              </w:rPr>
              <w:t>17</w:t>
            </w:r>
          </w:p>
        </w:tc>
        <w:tc>
          <w:tcPr>
            <w:tcW w:w="457" w:type="pct"/>
            <w:gridSpan w:val="3"/>
            <w:noWrap w:val="0"/>
            <w:vAlign w:val="center"/>
          </w:tcPr>
          <w:p w14:paraId="1BAF7C5E">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100</w:t>
            </w:r>
          </w:p>
        </w:tc>
        <w:tc>
          <w:tcPr>
            <w:tcW w:w="668" w:type="pct"/>
            <w:noWrap w:val="0"/>
            <w:vAlign w:val="center"/>
          </w:tcPr>
          <w:p w14:paraId="1B25CDB1">
            <w:pPr>
              <w:jc w:val="center"/>
              <w:rPr>
                <w:rFonts w:hint="eastAsia" w:ascii="宋体" w:hAnsi="宋体"/>
                <w:szCs w:val="21"/>
              </w:rPr>
            </w:pPr>
          </w:p>
        </w:tc>
        <w:tc>
          <w:tcPr>
            <w:tcW w:w="625" w:type="pct"/>
            <w:noWrap w:val="0"/>
            <w:vAlign w:val="top"/>
          </w:tcPr>
          <w:p w14:paraId="0A70E233">
            <w:pPr>
              <w:jc w:val="center"/>
              <w:rPr>
                <w:rFonts w:hint="eastAsia" w:ascii="宋体" w:hAnsi="宋体"/>
                <w:szCs w:val="21"/>
              </w:rPr>
            </w:pPr>
          </w:p>
        </w:tc>
        <w:tc>
          <w:tcPr>
            <w:tcW w:w="512" w:type="pct"/>
            <w:noWrap w:val="0"/>
            <w:vAlign w:val="top"/>
          </w:tcPr>
          <w:p w14:paraId="2E8757E2">
            <w:pPr>
              <w:jc w:val="center"/>
              <w:rPr>
                <w:rFonts w:hint="eastAsia" w:ascii="宋体" w:hAnsi="宋体"/>
                <w:szCs w:val="21"/>
              </w:rPr>
            </w:pPr>
          </w:p>
        </w:tc>
        <w:tc>
          <w:tcPr>
            <w:tcW w:w="512" w:type="pct"/>
            <w:noWrap w:val="0"/>
            <w:vAlign w:val="top"/>
          </w:tcPr>
          <w:p w14:paraId="5BFC17B7">
            <w:pPr>
              <w:jc w:val="center"/>
              <w:rPr>
                <w:rFonts w:hint="eastAsia" w:ascii="宋体" w:hAnsi="宋体"/>
                <w:szCs w:val="21"/>
              </w:rPr>
            </w:pPr>
          </w:p>
        </w:tc>
        <w:tc>
          <w:tcPr>
            <w:tcW w:w="335" w:type="pct"/>
            <w:noWrap w:val="0"/>
            <w:vAlign w:val="top"/>
          </w:tcPr>
          <w:p w14:paraId="2D4A2D13">
            <w:pPr>
              <w:jc w:val="center"/>
              <w:rPr>
                <w:rFonts w:hint="eastAsia" w:ascii="宋体" w:hAnsi="宋体"/>
                <w:szCs w:val="21"/>
              </w:rPr>
            </w:pPr>
          </w:p>
        </w:tc>
      </w:tr>
      <w:tr w14:paraId="5937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noWrap w:val="0"/>
            <w:vAlign w:val="center"/>
          </w:tcPr>
          <w:p w14:paraId="18259440">
            <w:pPr>
              <w:jc w:val="center"/>
              <w:rPr>
                <w:rFonts w:hint="eastAsia" w:ascii="宋体" w:hAnsi="宋体"/>
                <w:szCs w:val="21"/>
              </w:rPr>
            </w:pPr>
          </w:p>
        </w:tc>
        <w:tc>
          <w:tcPr>
            <w:tcW w:w="1317" w:type="pct"/>
            <w:noWrap w:val="0"/>
            <w:vAlign w:val="center"/>
          </w:tcPr>
          <w:p w14:paraId="326410AF">
            <w:pPr>
              <w:spacing w:line="360" w:lineRule="auto"/>
              <w:jc w:val="center"/>
              <w:rPr>
                <w:rFonts w:hint="eastAsia" w:ascii="宋体" w:hAnsi="宋体"/>
                <w:szCs w:val="21"/>
              </w:rPr>
            </w:pPr>
            <w:r>
              <w:rPr>
                <w:rFonts w:ascii="宋体" w:hAnsi="宋体"/>
                <w:szCs w:val="21"/>
              </w:rPr>
              <w:t>其他废物</w:t>
            </w:r>
            <w:r>
              <w:rPr>
                <w:rFonts w:hint="eastAsia" w:ascii="宋体" w:hAnsi="宋体"/>
                <w:szCs w:val="21"/>
              </w:rPr>
              <w:t>（废活性炭废滤布废铅酸电池等）</w:t>
            </w:r>
          </w:p>
        </w:tc>
        <w:tc>
          <w:tcPr>
            <w:tcW w:w="342" w:type="pct"/>
            <w:noWrap w:val="0"/>
            <w:vAlign w:val="center"/>
          </w:tcPr>
          <w:p w14:paraId="52AEEDCE">
            <w:pPr>
              <w:spacing w:line="360" w:lineRule="auto"/>
              <w:jc w:val="center"/>
              <w:rPr>
                <w:rFonts w:hint="default" w:ascii="宋体" w:hAnsi="宋体" w:eastAsia="宋体"/>
                <w:szCs w:val="21"/>
                <w:lang w:val="en-US" w:eastAsia="zh-CN"/>
              </w:rPr>
            </w:pPr>
            <w:r>
              <w:rPr>
                <w:rFonts w:hint="eastAsia" w:ascii="宋体" w:hAnsi="宋体"/>
                <w:szCs w:val="21"/>
              </w:rPr>
              <w:t>HW</w:t>
            </w:r>
            <w:r>
              <w:rPr>
                <w:rFonts w:hint="eastAsia" w:ascii="宋体" w:hAnsi="宋体"/>
                <w:szCs w:val="21"/>
                <w:lang w:val="en-US" w:eastAsia="zh-CN"/>
              </w:rPr>
              <w:t>49</w:t>
            </w:r>
          </w:p>
        </w:tc>
        <w:tc>
          <w:tcPr>
            <w:tcW w:w="457" w:type="pct"/>
            <w:gridSpan w:val="3"/>
            <w:noWrap w:val="0"/>
            <w:vAlign w:val="center"/>
          </w:tcPr>
          <w:p w14:paraId="093F4A10">
            <w:pPr>
              <w:jc w:val="center"/>
              <w:rPr>
                <w:rFonts w:hint="default" w:ascii="宋体" w:hAnsi="宋体" w:eastAsia="宋体"/>
                <w:szCs w:val="21"/>
                <w:lang w:val="en-US" w:eastAsia="zh-CN"/>
              </w:rPr>
            </w:pPr>
            <w:r>
              <w:rPr>
                <w:rFonts w:hint="eastAsia" w:ascii="微软雅黑" w:hAnsi="微软雅黑" w:eastAsia="微软雅黑" w:cs="宋体"/>
                <w:kern w:val="0"/>
                <w:sz w:val="22"/>
                <w:lang w:val="en-US" w:eastAsia="zh-CN"/>
              </w:rPr>
              <w:t>50</w:t>
            </w:r>
          </w:p>
        </w:tc>
        <w:tc>
          <w:tcPr>
            <w:tcW w:w="668" w:type="pct"/>
            <w:noWrap w:val="0"/>
            <w:vAlign w:val="center"/>
          </w:tcPr>
          <w:p w14:paraId="02749BFF">
            <w:pPr>
              <w:jc w:val="center"/>
              <w:rPr>
                <w:rFonts w:hint="eastAsia" w:ascii="宋体" w:hAnsi="宋体"/>
                <w:szCs w:val="21"/>
              </w:rPr>
            </w:pPr>
          </w:p>
        </w:tc>
        <w:tc>
          <w:tcPr>
            <w:tcW w:w="625" w:type="pct"/>
            <w:noWrap w:val="0"/>
            <w:vAlign w:val="top"/>
          </w:tcPr>
          <w:p w14:paraId="23E08C67">
            <w:pPr>
              <w:jc w:val="center"/>
              <w:rPr>
                <w:rFonts w:hint="eastAsia" w:ascii="宋体" w:hAnsi="宋体"/>
                <w:szCs w:val="21"/>
              </w:rPr>
            </w:pPr>
          </w:p>
        </w:tc>
        <w:tc>
          <w:tcPr>
            <w:tcW w:w="512" w:type="pct"/>
            <w:noWrap w:val="0"/>
            <w:vAlign w:val="top"/>
          </w:tcPr>
          <w:p w14:paraId="4FAF149E">
            <w:pPr>
              <w:jc w:val="center"/>
              <w:rPr>
                <w:rFonts w:hint="eastAsia" w:ascii="宋体" w:hAnsi="宋体"/>
                <w:szCs w:val="21"/>
              </w:rPr>
            </w:pPr>
          </w:p>
        </w:tc>
        <w:tc>
          <w:tcPr>
            <w:tcW w:w="512" w:type="pct"/>
            <w:noWrap w:val="0"/>
            <w:vAlign w:val="top"/>
          </w:tcPr>
          <w:p w14:paraId="55FECD1C">
            <w:pPr>
              <w:jc w:val="center"/>
              <w:rPr>
                <w:rFonts w:hint="eastAsia" w:ascii="宋体" w:hAnsi="宋体"/>
                <w:szCs w:val="21"/>
              </w:rPr>
            </w:pPr>
          </w:p>
        </w:tc>
        <w:tc>
          <w:tcPr>
            <w:tcW w:w="335" w:type="pct"/>
            <w:noWrap w:val="0"/>
            <w:vAlign w:val="top"/>
          </w:tcPr>
          <w:p w14:paraId="0EE89517">
            <w:pPr>
              <w:jc w:val="center"/>
              <w:rPr>
                <w:rFonts w:hint="eastAsia" w:ascii="宋体" w:hAnsi="宋体"/>
                <w:szCs w:val="21"/>
              </w:rPr>
            </w:pPr>
          </w:p>
        </w:tc>
      </w:tr>
      <w:tr w14:paraId="0853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noWrap w:val="0"/>
            <w:vAlign w:val="center"/>
          </w:tcPr>
          <w:p w14:paraId="7BEB9940">
            <w:pPr>
              <w:jc w:val="center"/>
              <w:rPr>
                <w:rFonts w:ascii="黑体" w:eastAsia="黑体"/>
                <w:sz w:val="30"/>
              </w:rPr>
            </w:pPr>
            <w:r>
              <w:rPr>
                <w:rFonts w:hint="eastAsia" w:ascii="宋体" w:hAnsi="宋体"/>
                <w:szCs w:val="21"/>
              </w:rPr>
              <w:t>结算承诺</w:t>
            </w:r>
          </w:p>
        </w:tc>
        <w:tc>
          <w:tcPr>
            <w:tcW w:w="1317" w:type="pct"/>
            <w:noWrap w:val="0"/>
            <w:vAlign w:val="center"/>
          </w:tcPr>
          <w:p w14:paraId="163F82FF">
            <w:pPr>
              <w:jc w:val="center"/>
              <w:rPr>
                <w:rFonts w:ascii="宋体" w:hAnsi="宋体"/>
                <w:szCs w:val="21"/>
              </w:rPr>
            </w:pPr>
            <w:r>
              <w:rPr>
                <w:rFonts w:hint="eastAsia" w:ascii="宋体" w:hAnsi="宋体"/>
                <w:szCs w:val="21"/>
              </w:rPr>
              <w:t>是否接受半年期商业汇票</w:t>
            </w:r>
          </w:p>
        </w:tc>
        <w:tc>
          <w:tcPr>
            <w:tcW w:w="342" w:type="pct"/>
            <w:noWrap w:val="0"/>
            <w:vAlign w:val="center"/>
          </w:tcPr>
          <w:p w14:paraId="481F4193">
            <w:pPr>
              <w:jc w:val="center"/>
              <w:rPr>
                <w:rFonts w:ascii="宋体" w:hAnsi="宋体"/>
                <w:szCs w:val="21"/>
              </w:rPr>
            </w:pPr>
            <w:r>
              <w:rPr>
                <w:rFonts w:hint="eastAsia" w:ascii="宋体" w:hAnsi="宋体"/>
                <w:szCs w:val="21"/>
              </w:rPr>
              <w:t>是□</w:t>
            </w:r>
          </w:p>
        </w:tc>
        <w:tc>
          <w:tcPr>
            <w:tcW w:w="457" w:type="pct"/>
            <w:gridSpan w:val="3"/>
            <w:noWrap w:val="0"/>
            <w:vAlign w:val="center"/>
          </w:tcPr>
          <w:p w14:paraId="4F1551C7">
            <w:pPr>
              <w:jc w:val="center"/>
              <w:rPr>
                <w:rFonts w:hint="eastAsia" w:ascii="宋体" w:hAnsi="宋体"/>
                <w:szCs w:val="21"/>
              </w:rPr>
            </w:pPr>
          </w:p>
        </w:tc>
        <w:tc>
          <w:tcPr>
            <w:tcW w:w="668" w:type="pct"/>
            <w:noWrap w:val="0"/>
            <w:vAlign w:val="center"/>
          </w:tcPr>
          <w:p w14:paraId="31016174">
            <w:pPr>
              <w:jc w:val="center"/>
              <w:rPr>
                <w:rFonts w:ascii="宋体" w:hAnsi="宋体"/>
                <w:szCs w:val="21"/>
              </w:rPr>
            </w:pPr>
            <w:r>
              <w:rPr>
                <w:rFonts w:hint="eastAsia" w:ascii="宋体" w:hAnsi="宋体"/>
                <w:szCs w:val="21"/>
              </w:rPr>
              <w:t>否□</w:t>
            </w:r>
          </w:p>
        </w:tc>
        <w:tc>
          <w:tcPr>
            <w:tcW w:w="625" w:type="pct"/>
            <w:noWrap w:val="0"/>
            <w:vAlign w:val="top"/>
          </w:tcPr>
          <w:p w14:paraId="495BA00B">
            <w:pPr>
              <w:jc w:val="center"/>
              <w:rPr>
                <w:rFonts w:hint="eastAsia" w:ascii="宋体" w:hAnsi="宋体"/>
                <w:szCs w:val="21"/>
              </w:rPr>
            </w:pPr>
          </w:p>
        </w:tc>
        <w:tc>
          <w:tcPr>
            <w:tcW w:w="512" w:type="pct"/>
            <w:noWrap w:val="0"/>
            <w:vAlign w:val="top"/>
          </w:tcPr>
          <w:p w14:paraId="524C3554">
            <w:pPr>
              <w:jc w:val="center"/>
              <w:rPr>
                <w:rFonts w:hint="eastAsia" w:ascii="宋体" w:hAnsi="宋体"/>
                <w:szCs w:val="21"/>
              </w:rPr>
            </w:pPr>
          </w:p>
        </w:tc>
        <w:tc>
          <w:tcPr>
            <w:tcW w:w="512" w:type="pct"/>
            <w:noWrap w:val="0"/>
            <w:vAlign w:val="top"/>
          </w:tcPr>
          <w:p w14:paraId="4A1C693A">
            <w:pPr>
              <w:jc w:val="center"/>
              <w:rPr>
                <w:rFonts w:hint="eastAsia" w:ascii="宋体" w:hAnsi="宋体"/>
                <w:szCs w:val="21"/>
              </w:rPr>
            </w:pPr>
          </w:p>
        </w:tc>
        <w:tc>
          <w:tcPr>
            <w:tcW w:w="335" w:type="pct"/>
            <w:noWrap w:val="0"/>
            <w:vAlign w:val="top"/>
          </w:tcPr>
          <w:p w14:paraId="4E272ABF">
            <w:pPr>
              <w:jc w:val="center"/>
              <w:rPr>
                <w:rFonts w:hint="eastAsia" w:ascii="宋体" w:hAnsi="宋体"/>
                <w:szCs w:val="21"/>
              </w:rPr>
            </w:pPr>
          </w:p>
        </w:tc>
      </w:tr>
      <w:tr w14:paraId="6006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29" w:type="pct"/>
            <w:noWrap w:val="0"/>
            <w:vAlign w:val="center"/>
          </w:tcPr>
          <w:p w14:paraId="744150B5">
            <w:pPr>
              <w:jc w:val="center"/>
              <w:rPr>
                <w:rFonts w:ascii="黑体" w:eastAsia="黑体"/>
                <w:sz w:val="30"/>
              </w:rPr>
            </w:pPr>
            <w:r>
              <w:rPr>
                <w:rFonts w:hint="eastAsia" w:ascii="宋体" w:hAnsi="宋体"/>
                <w:szCs w:val="21"/>
              </w:rPr>
              <w:t>商务承诺</w:t>
            </w:r>
          </w:p>
        </w:tc>
        <w:tc>
          <w:tcPr>
            <w:tcW w:w="1317" w:type="pct"/>
            <w:noWrap w:val="0"/>
            <w:vAlign w:val="center"/>
          </w:tcPr>
          <w:p w14:paraId="2E9B46D1">
            <w:pPr>
              <w:jc w:val="center"/>
              <w:rPr>
                <w:rFonts w:ascii="宋体" w:hAnsi="宋体"/>
                <w:szCs w:val="21"/>
              </w:rPr>
            </w:pPr>
            <w:r>
              <w:rPr>
                <w:rFonts w:hint="eastAsia" w:ascii="宋体" w:hAnsi="宋体"/>
                <w:szCs w:val="21"/>
              </w:rPr>
              <w:t>转移期限承诺（天）</w:t>
            </w:r>
          </w:p>
        </w:tc>
        <w:tc>
          <w:tcPr>
            <w:tcW w:w="393" w:type="pct"/>
            <w:gridSpan w:val="2"/>
            <w:noWrap w:val="0"/>
            <w:vAlign w:val="top"/>
          </w:tcPr>
          <w:p w14:paraId="3DDA153F">
            <w:pPr>
              <w:jc w:val="center"/>
              <w:rPr>
                <w:rFonts w:hint="eastAsia" w:ascii="宋体" w:hAnsi="宋体"/>
                <w:szCs w:val="21"/>
              </w:rPr>
            </w:pPr>
          </w:p>
        </w:tc>
        <w:tc>
          <w:tcPr>
            <w:tcW w:w="332" w:type="pct"/>
            <w:noWrap w:val="0"/>
            <w:vAlign w:val="top"/>
          </w:tcPr>
          <w:p w14:paraId="3709F6E5">
            <w:pPr>
              <w:jc w:val="center"/>
              <w:rPr>
                <w:rFonts w:hint="eastAsia" w:ascii="宋体" w:hAnsi="宋体"/>
                <w:szCs w:val="21"/>
              </w:rPr>
            </w:pPr>
          </w:p>
        </w:tc>
        <w:tc>
          <w:tcPr>
            <w:tcW w:w="2727" w:type="pct"/>
            <w:gridSpan w:val="6"/>
            <w:noWrap w:val="0"/>
            <w:vAlign w:val="center"/>
          </w:tcPr>
          <w:p w14:paraId="12C8C2C3">
            <w:pPr>
              <w:jc w:val="center"/>
              <w:rPr>
                <w:rFonts w:hint="eastAsia" w:ascii="宋体" w:hAnsi="宋体"/>
                <w:szCs w:val="21"/>
              </w:rPr>
            </w:pPr>
            <w:r>
              <w:rPr>
                <w:rFonts w:hint="eastAsia" w:ascii="宋体" w:hAnsi="宋体"/>
                <w:szCs w:val="21"/>
              </w:rPr>
              <w:t>危险废物产生单位电话或书面通知后（  ）个工作日内转移完毕。</w:t>
            </w:r>
          </w:p>
        </w:tc>
      </w:tr>
      <w:tr w14:paraId="5A12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restart"/>
            <w:noWrap w:val="0"/>
            <w:vAlign w:val="center"/>
          </w:tcPr>
          <w:p w14:paraId="512197A9">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1312" behindDoc="0" locked="0" layoutInCell="1" allowOverlap="1">
                      <wp:simplePos x="0" y="0"/>
                      <wp:positionH relativeFrom="column">
                        <wp:posOffset>273685</wp:posOffset>
                      </wp:positionH>
                      <wp:positionV relativeFrom="paragraph">
                        <wp:posOffset>-8548370</wp:posOffset>
                      </wp:positionV>
                      <wp:extent cx="1943100" cy="9525"/>
                      <wp:effectExtent l="0" t="0" r="0" b="0"/>
                      <wp:wrapNone/>
                      <wp:docPr id="15" name="直接箭头连接符 15"/>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1312;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&#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LpigNoAAAAOAQAADwAAAAAAAAABACAAAAAiAAAA&#10;ZHJzL2Rvd25yZXYueG1sUEsBAhQAFAAAAAgAh07iQBsRNxwFAgAA+wMAAA4AAAAAAAAAAQAgAAAA&#10;KQEAAGRycy9lMm9Eb2MueG1sUEsFBgAAAAAGAAYAWQEAAKA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-8576945</wp:posOffset>
                      </wp:positionV>
                      <wp:extent cx="1991995" cy="19050"/>
                      <wp:effectExtent l="0" t="4445" r="8255" b="5080"/>
                      <wp:wrapNone/>
                      <wp:docPr id="14" name="直接箭头连接符 14"/>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0288;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BFGTc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59264" behindDoc="0" locked="0" layoutInCell="1" allowOverlap="1">
                      <wp:simplePos x="0" y="0"/>
                      <wp:positionH relativeFrom="column">
                        <wp:posOffset>272415</wp:posOffset>
                      </wp:positionH>
                      <wp:positionV relativeFrom="paragraph">
                        <wp:posOffset>-8562975</wp:posOffset>
                      </wp:positionV>
                      <wp:extent cx="1943100" cy="9525"/>
                      <wp:effectExtent l="0" t="0" r="0" b="0"/>
                      <wp:wrapNone/>
                      <wp:docPr id="16" name="直接箭头连接符 16"/>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59264;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D/sPaAAAADgEAAA8AAAAAAAAAAQAgAAAAIgAAAGRycy9kb3du&#10;cmV2LnhtbFBLAQIUABQAAAAIAIdO4kDCr82K/QEAAPEDAAAOAAAAAAAAAAEAIAAAACkBAABkcnMv&#10;ZTJvRG9jLnhtbFBLBQYAAAAABgAGAFkBAACYBQAAAAA=&#10;">
                      <v:fill on="f" focussize="0,0"/>
                      <v:stroke color="#000000" joinstyle="round"/>
                      <v:imagedata o:title=""/>
                      <o:lock v:ext="edit" aspectratio="f"/>
                    </v:shape>
                  </w:pict>
                </mc:Fallback>
              </mc:AlternateContent>
            </w:r>
            <w:r>
              <w:rPr>
                <w:rFonts w:hint="eastAsia" w:ascii="宋体" w:hAnsi="宋体"/>
                <w:szCs w:val="21"/>
              </w:rPr>
              <w:t>务承诺</w:t>
            </w:r>
          </w:p>
        </w:tc>
        <w:tc>
          <w:tcPr>
            <w:tcW w:w="1317" w:type="pct"/>
            <w:vMerge w:val="restart"/>
            <w:noWrap w:val="0"/>
            <w:vAlign w:val="center"/>
          </w:tcPr>
          <w:p w14:paraId="64338584">
            <w:pPr>
              <w:jc w:val="center"/>
              <w:rPr>
                <w:rFonts w:ascii="黑体" w:eastAsia="黑体"/>
                <w:szCs w:val="21"/>
              </w:rPr>
            </w:pPr>
            <w:r>
              <w:rPr>
                <w:rFonts w:hint="eastAsia" w:ascii="宋体" w:hAnsi="宋体"/>
                <w:szCs w:val="21"/>
              </w:rPr>
              <w:t>服务保障</w:t>
            </w:r>
          </w:p>
        </w:tc>
        <w:tc>
          <w:tcPr>
            <w:tcW w:w="393" w:type="pct"/>
            <w:gridSpan w:val="2"/>
            <w:noWrap w:val="0"/>
            <w:vAlign w:val="top"/>
          </w:tcPr>
          <w:p w14:paraId="392DB949">
            <w:pPr>
              <w:jc w:val="left"/>
              <w:rPr>
                <w:rFonts w:hint="eastAsia" w:ascii="宋体" w:hAnsi="宋体"/>
                <w:sz w:val="24"/>
              </w:rPr>
            </w:pPr>
          </w:p>
        </w:tc>
        <w:tc>
          <w:tcPr>
            <w:tcW w:w="332" w:type="pct"/>
            <w:noWrap w:val="0"/>
            <w:vAlign w:val="top"/>
          </w:tcPr>
          <w:p w14:paraId="5649C361">
            <w:pPr>
              <w:jc w:val="left"/>
              <w:rPr>
                <w:rFonts w:hint="eastAsia" w:ascii="宋体" w:hAnsi="宋体"/>
                <w:sz w:val="24"/>
              </w:rPr>
            </w:pPr>
          </w:p>
        </w:tc>
        <w:tc>
          <w:tcPr>
            <w:tcW w:w="2727" w:type="pct"/>
            <w:gridSpan w:val="6"/>
            <w:noWrap w:val="0"/>
            <w:vAlign w:val="top"/>
          </w:tcPr>
          <w:p w14:paraId="1D0DDD6D">
            <w:pPr>
              <w:jc w:val="left"/>
              <w:rPr>
                <w:rFonts w:hint="eastAsia" w:ascii="宋体" w:hAnsi="宋体"/>
                <w:sz w:val="24"/>
              </w:rPr>
            </w:pPr>
            <w:r>
              <w:rPr>
                <w:rFonts w:hint="eastAsia" w:ascii="宋体" w:hAnsi="宋体"/>
                <w:sz w:val="24"/>
              </w:rPr>
              <w:t>1.处置现场工作人员  （名）</w:t>
            </w:r>
          </w:p>
        </w:tc>
      </w:tr>
      <w:tr w14:paraId="5134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7C57FE1">
            <w:pPr>
              <w:jc w:val="center"/>
              <w:rPr>
                <w:rFonts w:ascii="宋体" w:hAnsi="宋体"/>
                <w:szCs w:val="21"/>
              </w:rPr>
            </w:pPr>
          </w:p>
        </w:tc>
        <w:tc>
          <w:tcPr>
            <w:tcW w:w="1317" w:type="pct"/>
            <w:vMerge w:val="continue"/>
            <w:noWrap w:val="0"/>
            <w:vAlign w:val="center"/>
          </w:tcPr>
          <w:p w14:paraId="0A105783">
            <w:pPr>
              <w:jc w:val="center"/>
              <w:rPr>
                <w:rFonts w:ascii="宋体" w:hAnsi="宋体"/>
                <w:szCs w:val="21"/>
              </w:rPr>
            </w:pPr>
          </w:p>
        </w:tc>
        <w:tc>
          <w:tcPr>
            <w:tcW w:w="393" w:type="pct"/>
            <w:gridSpan w:val="2"/>
            <w:noWrap w:val="0"/>
            <w:vAlign w:val="top"/>
          </w:tcPr>
          <w:p w14:paraId="52C2E518">
            <w:pPr>
              <w:jc w:val="left"/>
              <w:rPr>
                <w:rFonts w:hint="eastAsia" w:ascii="宋体" w:hAnsi="宋体"/>
                <w:sz w:val="24"/>
              </w:rPr>
            </w:pPr>
          </w:p>
        </w:tc>
        <w:tc>
          <w:tcPr>
            <w:tcW w:w="332" w:type="pct"/>
            <w:noWrap w:val="0"/>
            <w:vAlign w:val="top"/>
          </w:tcPr>
          <w:p w14:paraId="4009E8E9">
            <w:pPr>
              <w:jc w:val="left"/>
              <w:rPr>
                <w:rFonts w:hint="eastAsia" w:ascii="宋体" w:hAnsi="宋体"/>
                <w:sz w:val="24"/>
              </w:rPr>
            </w:pPr>
          </w:p>
        </w:tc>
        <w:tc>
          <w:tcPr>
            <w:tcW w:w="2727" w:type="pct"/>
            <w:gridSpan w:val="6"/>
            <w:noWrap w:val="0"/>
            <w:vAlign w:val="top"/>
          </w:tcPr>
          <w:p w14:paraId="02705BDB">
            <w:pPr>
              <w:jc w:val="left"/>
              <w:rPr>
                <w:rFonts w:hint="eastAsia" w:ascii="宋体" w:hAnsi="宋体"/>
                <w:sz w:val="24"/>
              </w:rPr>
            </w:pPr>
            <w:r>
              <w:rPr>
                <w:rFonts w:hint="eastAsia" w:ascii="宋体" w:hAnsi="宋体"/>
                <w:sz w:val="24"/>
              </w:rPr>
              <w:t>2.转移运输人员  （名）</w:t>
            </w:r>
          </w:p>
        </w:tc>
      </w:tr>
      <w:tr w14:paraId="2D68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4BD14C0B">
            <w:pPr>
              <w:jc w:val="center"/>
              <w:rPr>
                <w:rFonts w:ascii="宋体" w:hAnsi="宋体"/>
                <w:szCs w:val="21"/>
              </w:rPr>
            </w:pPr>
          </w:p>
        </w:tc>
        <w:tc>
          <w:tcPr>
            <w:tcW w:w="1317" w:type="pct"/>
            <w:vMerge w:val="continue"/>
            <w:noWrap w:val="0"/>
            <w:vAlign w:val="center"/>
          </w:tcPr>
          <w:p w14:paraId="4D274FF8">
            <w:pPr>
              <w:jc w:val="center"/>
              <w:rPr>
                <w:rFonts w:ascii="宋体" w:hAnsi="宋体"/>
                <w:szCs w:val="21"/>
              </w:rPr>
            </w:pPr>
          </w:p>
        </w:tc>
        <w:tc>
          <w:tcPr>
            <w:tcW w:w="393" w:type="pct"/>
            <w:gridSpan w:val="2"/>
            <w:noWrap w:val="0"/>
            <w:vAlign w:val="top"/>
          </w:tcPr>
          <w:p w14:paraId="64EB0FF3">
            <w:pPr>
              <w:jc w:val="left"/>
              <w:rPr>
                <w:rFonts w:hint="eastAsia" w:ascii="宋体" w:hAnsi="宋体"/>
                <w:sz w:val="24"/>
              </w:rPr>
            </w:pPr>
          </w:p>
        </w:tc>
        <w:tc>
          <w:tcPr>
            <w:tcW w:w="332" w:type="pct"/>
            <w:noWrap w:val="0"/>
            <w:vAlign w:val="top"/>
          </w:tcPr>
          <w:p w14:paraId="502CF122">
            <w:pPr>
              <w:jc w:val="left"/>
              <w:rPr>
                <w:rFonts w:hint="eastAsia" w:ascii="宋体" w:hAnsi="宋体"/>
                <w:sz w:val="24"/>
              </w:rPr>
            </w:pPr>
          </w:p>
        </w:tc>
        <w:tc>
          <w:tcPr>
            <w:tcW w:w="2727" w:type="pct"/>
            <w:gridSpan w:val="6"/>
            <w:noWrap w:val="0"/>
            <w:vAlign w:val="top"/>
          </w:tcPr>
          <w:p w14:paraId="42C94A67">
            <w:pPr>
              <w:jc w:val="left"/>
              <w:rPr>
                <w:rFonts w:hint="eastAsia" w:ascii="宋体" w:hAnsi="宋体"/>
                <w:sz w:val="24"/>
              </w:rPr>
            </w:pPr>
            <w:r>
              <w:rPr>
                <w:rFonts w:hint="eastAsia" w:ascii="宋体" w:hAnsi="宋体"/>
                <w:sz w:val="24"/>
              </w:rPr>
              <w:t>3.现场服务人员  （名）</w:t>
            </w:r>
          </w:p>
        </w:tc>
      </w:tr>
      <w:tr w14:paraId="4C01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3B317F57">
            <w:pPr>
              <w:jc w:val="center"/>
              <w:rPr>
                <w:rFonts w:ascii="宋体" w:hAnsi="宋体"/>
                <w:szCs w:val="21"/>
              </w:rPr>
            </w:pPr>
          </w:p>
        </w:tc>
        <w:tc>
          <w:tcPr>
            <w:tcW w:w="1317" w:type="pct"/>
            <w:vMerge w:val="continue"/>
            <w:noWrap w:val="0"/>
            <w:vAlign w:val="center"/>
          </w:tcPr>
          <w:p w14:paraId="79BC600E">
            <w:pPr>
              <w:jc w:val="center"/>
              <w:rPr>
                <w:rFonts w:ascii="宋体" w:hAnsi="宋体"/>
                <w:szCs w:val="21"/>
              </w:rPr>
            </w:pPr>
          </w:p>
        </w:tc>
        <w:tc>
          <w:tcPr>
            <w:tcW w:w="393" w:type="pct"/>
            <w:gridSpan w:val="2"/>
            <w:noWrap w:val="0"/>
            <w:vAlign w:val="top"/>
          </w:tcPr>
          <w:p w14:paraId="39C14B21">
            <w:pPr>
              <w:jc w:val="left"/>
              <w:rPr>
                <w:rFonts w:hint="eastAsia" w:ascii="宋体" w:hAnsi="宋体"/>
                <w:sz w:val="24"/>
              </w:rPr>
            </w:pPr>
          </w:p>
        </w:tc>
        <w:tc>
          <w:tcPr>
            <w:tcW w:w="332" w:type="pct"/>
            <w:noWrap w:val="0"/>
            <w:vAlign w:val="top"/>
          </w:tcPr>
          <w:p w14:paraId="10405E72">
            <w:pPr>
              <w:jc w:val="left"/>
              <w:rPr>
                <w:rFonts w:hint="eastAsia" w:ascii="宋体" w:hAnsi="宋体"/>
                <w:sz w:val="24"/>
              </w:rPr>
            </w:pPr>
          </w:p>
        </w:tc>
        <w:tc>
          <w:tcPr>
            <w:tcW w:w="2727" w:type="pct"/>
            <w:gridSpan w:val="6"/>
            <w:noWrap w:val="0"/>
            <w:vAlign w:val="top"/>
          </w:tcPr>
          <w:p w14:paraId="72B5923D">
            <w:pPr>
              <w:jc w:val="left"/>
              <w:rPr>
                <w:rFonts w:hint="eastAsia" w:ascii="宋体" w:hAnsi="宋体"/>
                <w:sz w:val="24"/>
              </w:rPr>
            </w:pPr>
            <w:r>
              <w:rPr>
                <w:rFonts w:hint="eastAsia" w:ascii="宋体" w:hAnsi="宋体"/>
                <w:sz w:val="24"/>
              </w:rPr>
              <w:t>4.处置设备（功能、型号、数量）</w:t>
            </w:r>
          </w:p>
        </w:tc>
      </w:tr>
      <w:tr w14:paraId="77C17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2C8D97C">
            <w:pPr>
              <w:jc w:val="center"/>
              <w:rPr>
                <w:rFonts w:ascii="宋体" w:hAnsi="宋体"/>
                <w:szCs w:val="21"/>
              </w:rPr>
            </w:pPr>
          </w:p>
        </w:tc>
        <w:tc>
          <w:tcPr>
            <w:tcW w:w="1317" w:type="pct"/>
            <w:vMerge w:val="continue"/>
            <w:noWrap w:val="0"/>
            <w:vAlign w:val="center"/>
          </w:tcPr>
          <w:p w14:paraId="6E1C1D28">
            <w:pPr>
              <w:jc w:val="center"/>
              <w:rPr>
                <w:rFonts w:ascii="宋体" w:hAnsi="宋体"/>
                <w:szCs w:val="21"/>
              </w:rPr>
            </w:pPr>
          </w:p>
        </w:tc>
        <w:tc>
          <w:tcPr>
            <w:tcW w:w="393" w:type="pct"/>
            <w:gridSpan w:val="2"/>
            <w:noWrap w:val="0"/>
            <w:vAlign w:val="top"/>
          </w:tcPr>
          <w:p w14:paraId="781DC5CF">
            <w:pPr>
              <w:jc w:val="left"/>
              <w:rPr>
                <w:rFonts w:hint="eastAsia" w:ascii="宋体" w:hAnsi="宋体"/>
                <w:szCs w:val="21"/>
              </w:rPr>
            </w:pPr>
          </w:p>
        </w:tc>
        <w:tc>
          <w:tcPr>
            <w:tcW w:w="332" w:type="pct"/>
            <w:noWrap w:val="0"/>
            <w:vAlign w:val="top"/>
          </w:tcPr>
          <w:p w14:paraId="7801BA91">
            <w:pPr>
              <w:jc w:val="left"/>
              <w:rPr>
                <w:rFonts w:hint="eastAsia" w:ascii="宋体" w:hAnsi="宋体"/>
                <w:szCs w:val="21"/>
              </w:rPr>
            </w:pPr>
          </w:p>
        </w:tc>
        <w:tc>
          <w:tcPr>
            <w:tcW w:w="2727" w:type="pct"/>
            <w:gridSpan w:val="6"/>
            <w:noWrap w:val="0"/>
            <w:vAlign w:val="top"/>
          </w:tcPr>
          <w:p w14:paraId="3E72CA23">
            <w:pPr>
              <w:jc w:val="left"/>
              <w:rPr>
                <w:rFonts w:hint="eastAsia" w:ascii="宋体" w:hAnsi="宋体"/>
                <w:szCs w:val="21"/>
              </w:rPr>
            </w:pPr>
            <w:r>
              <w:rPr>
                <w:rFonts w:hint="eastAsia" w:ascii="宋体" w:hAnsi="宋体"/>
                <w:szCs w:val="21"/>
              </w:rPr>
              <w:t>5.其它：</w:t>
            </w:r>
          </w:p>
        </w:tc>
      </w:tr>
      <w:tr w14:paraId="08BB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7D3E1A79">
            <w:pPr>
              <w:jc w:val="center"/>
              <w:rPr>
                <w:rFonts w:hint="eastAsia" w:ascii="宋体" w:hAnsi="宋体"/>
                <w:szCs w:val="21"/>
              </w:rPr>
            </w:pPr>
          </w:p>
        </w:tc>
        <w:tc>
          <w:tcPr>
            <w:tcW w:w="1317" w:type="pct"/>
            <w:noWrap w:val="0"/>
            <w:vAlign w:val="center"/>
          </w:tcPr>
          <w:p w14:paraId="242FF00A">
            <w:pPr>
              <w:jc w:val="center"/>
              <w:rPr>
                <w:rFonts w:hint="eastAsia" w:ascii="宋体" w:hAnsi="宋体"/>
                <w:szCs w:val="21"/>
              </w:rPr>
            </w:pPr>
            <w:r>
              <w:rPr>
                <w:rFonts w:hint="eastAsia" w:ascii="宋体" w:hAnsi="宋体"/>
                <w:szCs w:val="21"/>
              </w:rPr>
              <w:t>危险废物装卸</w:t>
            </w:r>
          </w:p>
        </w:tc>
        <w:tc>
          <w:tcPr>
            <w:tcW w:w="393" w:type="pct"/>
            <w:gridSpan w:val="2"/>
            <w:noWrap w:val="0"/>
            <w:vAlign w:val="top"/>
          </w:tcPr>
          <w:p w14:paraId="4B6E310D">
            <w:pPr>
              <w:rPr>
                <w:rFonts w:hint="eastAsia" w:ascii="宋体" w:hAnsi="宋体"/>
                <w:szCs w:val="21"/>
              </w:rPr>
            </w:pPr>
          </w:p>
        </w:tc>
        <w:tc>
          <w:tcPr>
            <w:tcW w:w="332" w:type="pct"/>
            <w:noWrap w:val="0"/>
            <w:vAlign w:val="top"/>
          </w:tcPr>
          <w:p w14:paraId="0FD2753D">
            <w:pPr>
              <w:rPr>
                <w:rFonts w:hint="eastAsia" w:ascii="宋体" w:hAnsi="宋体"/>
                <w:szCs w:val="21"/>
              </w:rPr>
            </w:pPr>
          </w:p>
        </w:tc>
        <w:tc>
          <w:tcPr>
            <w:tcW w:w="2727" w:type="pct"/>
            <w:gridSpan w:val="6"/>
            <w:noWrap w:val="0"/>
            <w:vAlign w:val="top"/>
          </w:tcPr>
          <w:p w14:paraId="19AD4D9D">
            <w:pPr>
              <w:rPr>
                <w:rFonts w:hint="eastAsia" w:ascii="宋体" w:hAnsi="宋体"/>
                <w:b/>
                <w:szCs w:val="21"/>
              </w:rPr>
            </w:pPr>
            <w:r>
              <w:rPr>
                <w:rFonts w:hint="eastAsia" w:ascii="宋体" w:hAnsi="宋体"/>
                <w:szCs w:val="21"/>
              </w:rPr>
              <w:t>乙方负责危甲方负责提供装卸险废物转移运输期间的装卸车活动（招标方负责提供</w:t>
            </w:r>
            <w:r>
              <w:rPr>
                <w:rFonts w:hint="eastAsia" w:hAnsi="宋体"/>
                <w:szCs w:val="21"/>
              </w:rPr>
              <w:t>叉车、行车等机械设备并配备叉车司机及行车操作人员</w:t>
            </w:r>
            <w:r>
              <w:rPr>
                <w:rFonts w:hint="eastAsia" w:ascii="宋体" w:hAnsi="宋体"/>
                <w:szCs w:val="21"/>
              </w:rPr>
              <w:t xml:space="preserve">）。 </w:t>
            </w:r>
            <w:r>
              <w:rPr>
                <w:rFonts w:hint="eastAsia" w:ascii="宋体" w:hAnsi="宋体"/>
                <w:b/>
                <w:szCs w:val="21"/>
              </w:rPr>
              <w:t>是□  否□</w:t>
            </w:r>
          </w:p>
        </w:tc>
      </w:tr>
      <w:tr w14:paraId="3A97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5944B78B">
            <w:pPr>
              <w:jc w:val="center"/>
              <w:rPr>
                <w:rFonts w:ascii="宋体" w:hAnsi="宋体"/>
                <w:szCs w:val="21"/>
              </w:rPr>
            </w:pPr>
          </w:p>
        </w:tc>
        <w:tc>
          <w:tcPr>
            <w:tcW w:w="1317" w:type="pct"/>
            <w:noWrap w:val="0"/>
            <w:vAlign w:val="center"/>
          </w:tcPr>
          <w:p w14:paraId="1ED52E86">
            <w:pPr>
              <w:jc w:val="center"/>
              <w:rPr>
                <w:rFonts w:ascii="宋体" w:hAnsi="宋体"/>
                <w:szCs w:val="21"/>
              </w:rPr>
            </w:pPr>
            <w:r>
              <w:rPr>
                <w:rFonts w:hint="eastAsia" w:ascii="宋体" w:hAnsi="宋体"/>
                <w:szCs w:val="21"/>
              </w:rPr>
              <w:t>危险废物运输</w:t>
            </w:r>
          </w:p>
        </w:tc>
        <w:tc>
          <w:tcPr>
            <w:tcW w:w="393" w:type="pct"/>
            <w:gridSpan w:val="2"/>
            <w:noWrap w:val="0"/>
            <w:vAlign w:val="top"/>
          </w:tcPr>
          <w:p w14:paraId="278B0A9A">
            <w:pPr>
              <w:rPr>
                <w:rFonts w:hint="eastAsia" w:hAnsi="宋体"/>
                <w:szCs w:val="21"/>
              </w:rPr>
            </w:pPr>
          </w:p>
        </w:tc>
        <w:tc>
          <w:tcPr>
            <w:tcW w:w="332" w:type="pct"/>
            <w:noWrap w:val="0"/>
            <w:vAlign w:val="top"/>
          </w:tcPr>
          <w:p w14:paraId="2336C9D6">
            <w:pPr>
              <w:rPr>
                <w:rFonts w:hint="eastAsia" w:hAnsi="宋体"/>
                <w:szCs w:val="21"/>
              </w:rPr>
            </w:pPr>
          </w:p>
        </w:tc>
        <w:tc>
          <w:tcPr>
            <w:tcW w:w="2727" w:type="pct"/>
            <w:gridSpan w:val="6"/>
            <w:noWrap w:val="0"/>
            <w:vAlign w:val="top"/>
          </w:tcPr>
          <w:p w14:paraId="1768307D">
            <w:pPr>
              <w:rPr>
                <w:rFonts w:hint="eastAsia" w:hAnsi="宋体"/>
                <w:szCs w:val="21"/>
              </w:rPr>
            </w:pPr>
            <w:r>
              <w:rPr>
                <w:rFonts w:hint="eastAsia" w:hAnsi="宋体"/>
                <w:szCs w:val="21"/>
              </w:rPr>
              <w:t>危险废物的运输</w:t>
            </w:r>
            <w:r>
              <w:rPr>
                <w:rFonts w:hint="eastAsia" w:ascii="宋体" w:hAnsi="宋体"/>
                <w:szCs w:val="21"/>
              </w:rPr>
              <w:t>乙方</w:t>
            </w:r>
            <w:r>
              <w:rPr>
                <w:rFonts w:hint="eastAsia" w:hAnsi="宋体"/>
                <w:szCs w:val="21"/>
              </w:rPr>
              <w:t>可自行运输或委托有危险废物道路运输资质的公司负责运输，车辆驶出</w:t>
            </w:r>
            <w:r>
              <w:rPr>
                <w:rFonts w:hint="eastAsia" w:ascii="宋体" w:hAnsi="宋体"/>
                <w:szCs w:val="21"/>
              </w:rPr>
              <w:t>甲方</w:t>
            </w:r>
            <w:r>
              <w:rPr>
                <w:rFonts w:hint="eastAsia" w:hAnsi="宋体"/>
                <w:szCs w:val="21"/>
              </w:rPr>
              <w:t xml:space="preserve">厂区的运输风险由乙方承担。  </w:t>
            </w:r>
            <w:r>
              <w:rPr>
                <w:rFonts w:hint="eastAsia" w:ascii="宋体" w:hAnsi="宋体"/>
                <w:b/>
                <w:szCs w:val="21"/>
              </w:rPr>
              <w:t>是□  否□</w:t>
            </w:r>
          </w:p>
        </w:tc>
      </w:tr>
      <w:tr w14:paraId="0CE1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29" w:type="pct"/>
            <w:vMerge w:val="continue"/>
            <w:noWrap w:val="0"/>
            <w:vAlign w:val="center"/>
          </w:tcPr>
          <w:p w14:paraId="66C2246E">
            <w:pPr>
              <w:jc w:val="center"/>
              <w:rPr>
                <w:rFonts w:ascii="宋体" w:hAnsi="宋体"/>
                <w:szCs w:val="21"/>
              </w:rPr>
            </w:pPr>
          </w:p>
        </w:tc>
        <w:tc>
          <w:tcPr>
            <w:tcW w:w="1317" w:type="pct"/>
            <w:noWrap w:val="0"/>
            <w:vAlign w:val="center"/>
          </w:tcPr>
          <w:p w14:paraId="65F90D46">
            <w:pPr>
              <w:jc w:val="center"/>
              <w:rPr>
                <w:rFonts w:ascii="宋体" w:hAnsi="宋体"/>
                <w:szCs w:val="21"/>
              </w:rPr>
            </w:pPr>
            <w:r>
              <w:rPr>
                <w:rFonts w:hint="eastAsia" w:ascii="宋体" w:hAnsi="宋体"/>
                <w:szCs w:val="21"/>
              </w:rPr>
              <w:t>危险废物处置</w:t>
            </w:r>
          </w:p>
        </w:tc>
        <w:tc>
          <w:tcPr>
            <w:tcW w:w="393" w:type="pct"/>
            <w:gridSpan w:val="2"/>
            <w:noWrap w:val="0"/>
            <w:vAlign w:val="top"/>
          </w:tcPr>
          <w:p w14:paraId="39AC9281">
            <w:pPr>
              <w:rPr>
                <w:rFonts w:hint="eastAsia" w:ascii="宋体" w:hAnsi="宋体"/>
                <w:szCs w:val="21"/>
              </w:rPr>
            </w:pPr>
          </w:p>
        </w:tc>
        <w:tc>
          <w:tcPr>
            <w:tcW w:w="332" w:type="pct"/>
            <w:noWrap w:val="0"/>
            <w:vAlign w:val="top"/>
          </w:tcPr>
          <w:p w14:paraId="7478F068">
            <w:pPr>
              <w:rPr>
                <w:rFonts w:hint="eastAsia" w:ascii="宋体" w:hAnsi="宋体"/>
                <w:szCs w:val="21"/>
              </w:rPr>
            </w:pPr>
          </w:p>
        </w:tc>
        <w:tc>
          <w:tcPr>
            <w:tcW w:w="2727" w:type="pct"/>
            <w:gridSpan w:val="6"/>
            <w:noWrap w:val="0"/>
            <w:vAlign w:val="top"/>
          </w:tcPr>
          <w:p w14:paraId="384B9C6A">
            <w:pPr>
              <w:rPr>
                <w:rFonts w:hint="eastAsia" w:ascii="宋体" w:hAnsi="宋体"/>
                <w:szCs w:val="21"/>
              </w:rPr>
            </w:pPr>
            <w:r>
              <w:rPr>
                <w:rFonts w:hint="eastAsia" w:ascii="宋体" w:hAnsi="宋体"/>
                <w:szCs w:val="21"/>
              </w:rPr>
              <w:t>乙方</w:t>
            </w:r>
            <w:r>
              <w:rPr>
                <w:rFonts w:hint="eastAsia" w:hAnsi="宋体"/>
                <w:szCs w:val="21"/>
              </w:rPr>
              <w:t>不得以任何理由拒绝、拖延在合同规定时限内转移</w:t>
            </w:r>
            <w:r>
              <w:rPr>
                <w:rFonts w:hint="eastAsia" w:ascii="宋体" w:hAnsi="宋体"/>
                <w:szCs w:val="21"/>
              </w:rPr>
              <w:t>甲方</w:t>
            </w:r>
            <w:r>
              <w:rPr>
                <w:rFonts w:hint="eastAsia" w:hAnsi="宋体"/>
                <w:szCs w:val="21"/>
              </w:rPr>
              <w:t>产生的危险废物；因其他客观原因造成的一定时间内不能及时处置危险废物，而此期间</w:t>
            </w:r>
            <w:r>
              <w:rPr>
                <w:rFonts w:hint="eastAsia" w:ascii="宋体" w:hAnsi="宋体"/>
                <w:szCs w:val="21"/>
              </w:rPr>
              <w:t>甲方</w:t>
            </w:r>
            <w:r>
              <w:rPr>
                <w:rFonts w:hint="eastAsia" w:hAnsi="宋体"/>
                <w:szCs w:val="21"/>
              </w:rPr>
              <w:t>危险废物贮存场所容量达到上限时，</w:t>
            </w:r>
            <w:r>
              <w:rPr>
                <w:rFonts w:hint="eastAsia" w:ascii="宋体" w:hAnsi="宋体"/>
                <w:szCs w:val="21"/>
              </w:rPr>
              <w:t>乙方</w:t>
            </w:r>
            <w:r>
              <w:rPr>
                <w:rFonts w:hint="eastAsia" w:hAnsi="宋体"/>
                <w:szCs w:val="21"/>
              </w:rPr>
              <w:t>应保证在合同规定时间内将</w:t>
            </w:r>
            <w:r>
              <w:rPr>
                <w:rFonts w:hint="eastAsia" w:ascii="宋体" w:hAnsi="宋体"/>
                <w:szCs w:val="21"/>
              </w:rPr>
              <w:t>甲方</w:t>
            </w:r>
            <w:r>
              <w:rPr>
                <w:rFonts w:hint="eastAsia" w:hAnsi="宋体"/>
                <w:szCs w:val="21"/>
              </w:rPr>
              <w:t>的危险废物转移至</w:t>
            </w:r>
            <w:r>
              <w:rPr>
                <w:rFonts w:hint="eastAsia" w:ascii="宋体" w:hAnsi="宋体"/>
                <w:szCs w:val="21"/>
              </w:rPr>
              <w:t>乙方</w:t>
            </w:r>
            <w:r>
              <w:rPr>
                <w:rFonts w:hint="eastAsia" w:hAnsi="宋体"/>
                <w:szCs w:val="21"/>
              </w:rPr>
              <w:t>周转库房内暂存。</w:t>
            </w:r>
            <w:r>
              <w:rPr>
                <w:rFonts w:hint="eastAsia" w:ascii="宋体" w:hAnsi="宋体"/>
                <w:szCs w:val="21"/>
              </w:rPr>
              <w:t xml:space="preserve">在危险废物处置过程中，如果发生任何环境污染事件以及由此受到政府主管部门的处罚，全部由乙方承担, 甲方不负任何责任。  </w:t>
            </w:r>
            <w:r>
              <w:rPr>
                <w:rFonts w:hint="eastAsia" w:ascii="宋体" w:hAnsi="宋体"/>
                <w:b/>
                <w:szCs w:val="21"/>
              </w:rPr>
              <w:t>是□  否□</w:t>
            </w:r>
          </w:p>
        </w:tc>
      </w:tr>
    </w:tbl>
    <w:p w14:paraId="42AB0621">
      <w:pPr>
        <w:rPr>
          <w:rFonts w:hint="eastAsia" w:ascii="仿宋_GB2312" w:hAnsi="宋体" w:eastAsia="仿宋_GB2312"/>
          <w:sz w:val="24"/>
        </w:rPr>
      </w:pPr>
    </w:p>
    <w:p w14:paraId="1ABD3503">
      <w:pPr>
        <w:rPr>
          <w:rFonts w:ascii="宋体" w:hAnsi="宋体"/>
          <w:sz w:val="24"/>
        </w:rPr>
      </w:pPr>
      <w:r>
        <w:rPr>
          <w:rFonts w:hint="eastAsia" w:ascii="仿宋_GB2312" w:hAnsi="宋体" w:eastAsia="仿宋_GB2312"/>
          <w:sz w:val="24"/>
        </w:rPr>
        <w:t>投标人名称（盖章）：              法定代表人或授权代表签字：</w:t>
      </w:r>
    </w:p>
    <w:p w14:paraId="5820D25E">
      <w:pPr>
        <w:rPr>
          <w:rFonts w:hint="eastAsia" w:ascii="宋体" w:hAnsi="宋体"/>
          <w:b/>
          <w:sz w:val="24"/>
        </w:rPr>
      </w:pPr>
    </w:p>
    <w:p w14:paraId="6F93C5B2">
      <w:pPr>
        <w:rPr>
          <w:rFonts w:hint="eastAsia" w:ascii="宋体" w:hAnsi="宋体"/>
          <w:sz w:val="24"/>
        </w:rPr>
      </w:pPr>
      <w:r>
        <w:rPr>
          <w:rFonts w:hint="eastAsia" w:ascii="宋体" w:hAnsi="宋体"/>
          <w:b/>
          <w:sz w:val="24"/>
        </w:rPr>
        <w:t>注：</w:t>
      </w:r>
      <w:r>
        <w:rPr>
          <w:rFonts w:hint="eastAsia" w:ascii="宋体" w:hAnsi="宋体"/>
          <w:sz w:val="24"/>
        </w:rPr>
        <w:t>、1</w:t>
      </w:r>
      <w:r>
        <w:rPr>
          <w:rFonts w:ascii="宋体" w:hAnsi="宋体"/>
          <w:sz w:val="24"/>
        </w:rPr>
        <w:t>.</w:t>
      </w:r>
      <w:r>
        <w:rPr>
          <w:rFonts w:hint="eastAsia" w:ascii="宋体" w:hAnsi="宋体"/>
          <w:szCs w:val="21"/>
        </w:rPr>
        <w:t>单项价为此类危险废物处置价格。</w:t>
      </w:r>
    </w:p>
    <w:p w14:paraId="42030E81">
      <w:pPr>
        <w:ind w:firstLine="630" w:firstLineChars="300"/>
        <w:jc w:val="left"/>
        <w:rPr>
          <w:rFonts w:ascii="宋体" w:hAnsi="宋体" w:cs="Arial"/>
          <w:snapToGrid w:val="0"/>
          <w:kern w:val="0"/>
          <w:szCs w:val="21"/>
        </w:rPr>
      </w:pPr>
      <w:r>
        <w:rPr>
          <w:rFonts w:hint="eastAsia" w:ascii="宋体" w:hAnsi="宋体"/>
          <w:szCs w:val="21"/>
        </w:rPr>
        <w:t>2.如果开标一览表中的投标价格与投标文件的投标价格有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53AF8F76">
      <w:pPr>
        <w:ind w:firstLine="630" w:firstLineChars="300"/>
        <w:jc w:val="left"/>
        <w:rPr>
          <w:rFonts w:hint="eastAsia" w:ascii="宋体" w:hAnsi="宋体"/>
          <w:szCs w:val="21"/>
        </w:rPr>
      </w:pPr>
      <w:r>
        <w:rPr>
          <w:rFonts w:hint="eastAsia" w:ascii="宋体" w:hAnsi="宋体"/>
          <w:szCs w:val="21"/>
        </w:rPr>
        <w:t>3.</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334E632C">
      <w:pPr>
        <w:ind w:firstLine="630" w:firstLineChars="300"/>
        <w:jc w:val="left"/>
        <w:rPr>
          <w:rFonts w:ascii="宋体" w:hAnsi="宋体"/>
          <w:szCs w:val="21"/>
        </w:rPr>
      </w:pPr>
      <w:r>
        <w:rPr>
          <w:rFonts w:hint="eastAsia" w:ascii="宋体" w:hAnsi="宋体"/>
          <w:szCs w:val="21"/>
        </w:rPr>
        <w:t>4.投标报价为完成本项目所需的全部费用，包含但不限于危险废物包装、装卸、运输、贮存、化验、处置及税费等；</w:t>
      </w:r>
    </w:p>
    <w:p w14:paraId="6F236F5F">
      <w:pPr>
        <w:ind w:firstLine="630" w:firstLineChars="300"/>
        <w:rPr>
          <w:rFonts w:hint="eastAsia" w:ascii="宋体" w:hAnsi="宋体"/>
          <w:szCs w:val="21"/>
        </w:rPr>
      </w:pPr>
      <w:r>
        <w:rPr>
          <w:rFonts w:hint="eastAsia" w:ascii="宋体" w:hAnsi="宋体"/>
          <w:szCs w:val="21"/>
        </w:rPr>
        <w:t>5.投标人对报价若有说明，必须在开标一览表显著处注明，只有注明的报价和优惠才会在评标时予以考虑。</w:t>
      </w:r>
    </w:p>
    <w:p w14:paraId="4EED22F3">
      <w:pPr>
        <w:ind w:firstLine="630" w:firstLineChars="300"/>
        <w:rPr>
          <w:rFonts w:hint="eastAsia" w:ascii="宋体" w:hAnsi="宋体"/>
          <w:szCs w:val="21"/>
        </w:rPr>
      </w:pPr>
      <w:r>
        <w:rPr>
          <w:rFonts w:hint="eastAsia" w:ascii="宋体" w:hAnsi="宋体"/>
          <w:szCs w:val="21"/>
        </w:rPr>
        <w:t>6.本表用于开标宣读用，请单独封存。</w:t>
      </w:r>
    </w:p>
    <w:p w14:paraId="35B70DB3">
      <w:pPr>
        <w:ind w:firstLine="630" w:firstLineChars="300"/>
        <w:rPr>
          <w:rFonts w:hint="eastAsia" w:ascii="宋体" w:hAnsi="宋体"/>
          <w:szCs w:val="21"/>
        </w:rPr>
      </w:pPr>
    </w:p>
    <w:p w14:paraId="7063FB32">
      <w:pPr>
        <w:ind w:firstLine="630" w:firstLineChars="300"/>
        <w:rPr>
          <w:rFonts w:hint="eastAsia" w:ascii="宋体" w:hAnsi="宋体"/>
          <w:szCs w:val="21"/>
        </w:rPr>
      </w:pPr>
    </w:p>
    <w:p w14:paraId="774B9EBF">
      <w:pPr>
        <w:ind w:firstLine="630" w:firstLineChars="300"/>
        <w:rPr>
          <w:rFonts w:hint="eastAsia" w:ascii="宋体" w:hAnsi="宋体"/>
          <w:szCs w:val="21"/>
        </w:rPr>
      </w:pPr>
    </w:p>
    <w:p w14:paraId="2233B447">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5</w:t>
      </w:r>
    </w:p>
    <w:p w14:paraId="42EFE001">
      <w:pPr>
        <w:rPr>
          <w:rFonts w:hint="eastAsia"/>
          <w:u w:val="single"/>
        </w:rPr>
      </w:pPr>
      <w:r>
        <w:rPr>
          <w:rFonts w:hint="eastAsia" w:ascii="宋体" w:hAnsi="宋体"/>
        </w:rPr>
        <w:t>项目名称：</w:t>
      </w:r>
      <w:r>
        <w:rPr>
          <w:rFonts w:hint="eastAsia"/>
          <w:u w:val="single"/>
        </w:rPr>
        <w:t>《中国重汽集团济宁商用车有限公司危废处置服务项目》</w:t>
      </w:r>
    </w:p>
    <w:p w14:paraId="67F06392">
      <w:pPr>
        <w:rPr>
          <w:rFonts w:ascii="宋体" w:hAnsi="宋体"/>
          <w:szCs w:val="21"/>
        </w:rPr>
      </w:pPr>
      <w:r>
        <w:rPr>
          <w:rFonts w:hint="eastAsia" w:ascii="宋体" w:hAnsi="宋体"/>
          <w:szCs w:val="21"/>
        </w:rPr>
        <w:t>日期：  年   月   日</w:t>
      </w:r>
    </w:p>
    <w:p w14:paraId="5042E242">
      <w:pPr>
        <w:jc w:val="center"/>
        <w:rPr>
          <w:rFonts w:eastAsia="黑体"/>
          <w:b/>
          <w:bCs/>
          <w:sz w:val="28"/>
        </w:rPr>
      </w:pPr>
      <w:r>
        <w:rPr>
          <w:rFonts w:hint="eastAsia" w:eastAsia="黑体"/>
          <w:b/>
          <w:bCs/>
          <w:sz w:val="28"/>
        </w:rPr>
        <w:t>企业概况一览表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34"/>
        <w:gridCol w:w="1985"/>
        <w:gridCol w:w="992"/>
        <w:gridCol w:w="1985"/>
        <w:gridCol w:w="1381"/>
      </w:tblGrid>
      <w:tr w14:paraId="0B80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09" w:type="dxa"/>
            <w:noWrap w:val="0"/>
            <w:vAlign w:val="center"/>
          </w:tcPr>
          <w:p w14:paraId="13077572">
            <w:pPr>
              <w:jc w:val="center"/>
              <w:rPr>
                <w:rFonts w:ascii="宋体" w:hAnsi="宋体"/>
                <w:sz w:val="24"/>
              </w:rPr>
            </w:pPr>
            <w:r>
              <w:rPr>
                <w:rFonts w:hint="eastAsia" w:ascii="宋体" w:hAnsi="宋体"/>
                <w:sz w:val="24"/>
              </w:rPr>
              <w:t>企业名称</w:t>
            </w:r>
          </w:p>
        </w:tc>
        <w:tc>
          <w:tcPr>
            <w:tcW w:w="1134" w:type="dxa"/>
            <w:noWrap w:val="0"/>
            <w:vAlign w:val="center"/>
          </w:tcPr>
          <w:p w14:paraId="44C6F1BA">
            <w:pPr>
              <w:jc w:val="center"/>
              <w:rPr>
                <w:rFonts w:ascii="宋体" w:hAnsi="宋体"/>
                <w:sz w:val="24"/>
              </w:rPr>
            </w:pPr>
          </w:p>
        </w:tc>
        <w:tc>
          <w:tcPr>
            <w:tcW w:w="1985" w:type="dxa"/>
            <w:noWrap w:val="0"/>
            <w:vAlign w:val="center"/>
          </w:tcPr>
          <w:p w14:paraId="51C927A3">
            <w:pPr>
              <w:jc w:val="center"/>
              <w:rPr>
                <w:rFonts w:ascii="宋体" w:hAnsi="宋体"/>
                <w:sz w:val="24"/>
              </w:rPr>
            </w:pPr>
            <w:r>
              <w:rPr>
                <w:rFonts w:hint="eastAsia" w:ascii="宋体" w:hAnsi="宋体"/>
                <w:sz w:val="24"/>
              </w:rPr>
              <w:t>成立时间</w:t>
            </w:r>
          </w:p>
        </w:tc>
        <w:tc>
          <w:tcPr>
            <w:tcW w:w="992" w:type="dxa"/>
            <w:noWrap w:val="0"/>
            <w:vAlign w:val="center"/>
          </w:tcPr>
          <w:p w14:paraId="2BAFDEB7">
            <w:pPr>
              <w:jc w:val="center"/>
              <w:rPr>
                <w:rFonts w:ascii="宋体" w:hAnsi="宋体"/>
                <w:sz w:val="24"/>
              </w:rPr>
            </w:pPr>
          </w:p>
        </w:tc>
        <w:tc>
          <w:tcPr>
            <w:tcW w:w="1985" w:type="dxa"/>
            <w:noWrap w:val="0"/>
            <w:vAlign w:val="center"/>
          </w:tcPr>
          <w:p w14:paraId="544BE394">
            <w:pPr>
              <w:jc w:val="center"/>
              <w:rPr>
                <w:rFonts w:ascii="宋体" w:hAnsi="宋体"/>
                <w:sz w:val="24"/>
              </w:rPr>
            </w:pPr>
            <w:r>
              <w:rPr>
                <w:rFonts w:hint="eastAsia" w:ascii="宋体" w:hAnsi="宋体"/>
                <w:sz w:val="24"/>
              </w:rPr>
              <w:t>注册资本（万元）</w:t>
            </w:r>
          </w:p>
        </w:tc>
        <w:tc>
          <w:tcPr>
            <w:tcW w:w="1381" w:type="dxa"/>
            <w:noWrap w:val="0"/>
            <w:vAlign w:val="center"/>
          </w:tcPr>
          <w:p w14:paraId="27E1A162">
            <w:pPr>
              <w:jc w:val="center"/>
              <w:rPr>
                <w:rFonts w:ascii="宋体" w:hAnsi="宋体"/>
                <w:sz w:val="24"/>
              </w:rPr>
            </w:pPr>
          </w:p>
        </w:tc>
      </w:tr>
      <w:tr w14:paraId="0153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14:paraId="61900CAC">
            <w:pPr>
              <w:jc w:val="center"/>
              <w:rPr>
                <w:rFonts w:ascii="宋体" w:hAnsi="宋体"/>
                <w:sz w:val="24"/>
              </w:rPr>
            </w:pPr>
            <w:r>
              <w:rPr>
                <w:rFonts w:hint="eastAsia" w:ascii="宋体" w:hAnsi="宋体"/>
                <w:sz w:val="24"/>
              </w:rPr>
              <w:t>厂址</w:t>
            </w:r>
          </w:p>
        </w:tc>
        <w:tc>
          <w:tcPr>
            <w:tcW w:w="1134" w:type="dxa"/>
            <w:noWrap w:val="0"/>
            <w:vAlign w:val="center"/>
          </w:tcPr>
          <w:p w14:paraId="7F3B4716">
            <w:pPr>
              <w:jc w:val="center"/>
              <w:rPr>
                <w:rFonts w:ascii="宋体" w:hAnsi="宋体"/>
                <w:sz w:val="24"/>
              </w:rPr>
            </w:pPr>
          </w:p>
        </w:tc>
        <w:tc>
          <w:tcPr>
            <w:tcW w:w="1985" w:type="dxa"/>
            <w:noWrap w:val="0"/>
            <w:vAlign w:val="center"/>
          </w:tcPr>
          <w:p w14:paraId="738CD133">
            <w:pPr>
              <w:jc w:val="center"/>
              <w:rPr>
                <w:rFonts w:ascii="宋体" w:hAnsi="宋体"/>
                <w:sz w:val="24"/>
              </w:rPr>
            </w:pPr>
            <w:r>
              <w:rPr>
                <w:rFonts w:hint="eastAsia" w:ascii="宋体" w:hAnsi="宋体"/>
                <w:sz w:val="24"/>
              </w:rPr>
              <w:t>处置场地面积（㎡）</w:t>
            </w:r>
          </w:p>
        </w:tc>
        <w:tc>
          <w:tcPr>
            <w:tcW w:w="992" w:type="dxa"/>
            <w:noWrap w:val="0"/>
            <w:vAlign w:val="center"/>
          </w:tcPr>
          <w:p w14:paraId="23CC8F85">
            <w:pPr>
              <w:jc w:val="center"/>
              <w:rPr>
                <w:rFonts w:ascii="宋体" w:hAnsi="宋体"/>
                <w:sz w:val="24"/>
              </w:rPr>
            </w:pPr>
          </w:p>
        </w:tc>
        <w:tc>
          <w:tcPr>
            <w:tcW w:w="1985" w:type="dxa"/>
            <w:noWrap w:val="0"/>
            <w:vAlign w:val="center"/>
          </w:tcPr>
          <w:p w14:paraId="06DD3C02">
            <w:pPr>
              <w:jc w:val="center"/>
              <w:rPr>
                <w:rFonts w:ascii="宋体" w:hAnsi="宋体"/>
                <w:sz w:val="24"/>
              </w:rPr>
            </w:pPr>
            <w:r>
              <w:rPr>
                <w:rFonts w:hint="eastAsia" w:ascii="宋体" w:hAnsi="宋体"/>
                <w:sz w:val="24"/>
              </w:rPr>
              <w:t>在册员工人数（人）</w:t>
            </w:r>
          </w:p>
        </w:tc>
        <w:tc>
          <w:tcPr>
            <w:tcW w:w="1381" w:type="dxa"/>
            <w:noWrap w:val="0"/>
            <w:vAlign w:val="center"/>
          </w:tcPr>
          <w:p w14:paraId="3375867C">
            <w:pPr>
              <w:jc w:val="center"/>
              <w:rPr>
                <w:rFonts w:ascii="宋体" w:hAnsi="宋体"/>
                <w:sz w:val="24"/>
              </w:rPr>
            </w:pPr>
          </w:p>
        </w:tc>
      </w:tr>
      <w:tr w14:paraId="1CA5E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809" w:type="dxa"/>
            <w:noWrap w:val="0"/>
            <w:vAlign w:val="center"/>
          </w:tcPr>
          <w:p w14:paraId="2B2A796C">
            <w:pPr>
              <w:jc w:val="center"/>
              <w:rPr>
                <w:rFonts w:ascii="宋体" w:hAnsi="宋体"/>
                <w:bCs/>
                <w:szCs w:val="21"/>
              </w:rPr>
            </w:pPr>
            <w:r>
              <w:rPr>
                <w:rFonts w:hint="eastAsia" w:ascii="宋体" w:hAnsi="宋体"/>
                <w:sz w:val="24"/>
              </w:rPr>
              <w:t>企业所通过的体系认证情况</w:t>
            </w:r>
          </w:p>
        </w:tc>
        <w:tc>
          <w:tcPr>
            <w:tcW w:w="7477" w:type="dxa"/>
            <w:gridSpan w:val="5"/>
            <w:noWrap w:val="0"/>
            <w:vAlign w:val="center"/>
          </w:tcPr>
          <w:p w14:paraId="0A37C177">
            <w:pPr>
              <w:jc w:val="center"/>
              <w:rPr>
                <w:rFonts w:ascii="宋体" w:hAnsi="宋体"/>
                <w:b/>
                <w:bCs/>
                <w:szCs w:val="21"/>
              </w:rPr>
            </w:pPr>
          </w:p>
        </w:tc>
      </w:tr>
      <w:tr w14:paraId="159A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809" w:type="dxa"/>
            <w:noWrap w:val="0"/>
            <w:vAlign w:val="center"/>
          </w:tcPr>
          <w:p w14:paraId="1E937A1E">
            <w:pPr>
              <w:jc w:val="center"/>
              <w:rPr>
                <w:rFonts w:ascii="宋体" w:hAnsi="宋体"/>
                <w:bCs/>
                <w:szCs w:val="21"/>
              </w:rPr>
            </w:pPr>
            <w:r>
              <w:rPr>
                <w:rFonts w:hint="eastAsia" w:ascii="宋体" w:hAnsi="宋体"/>
                <w:bCs/>
                <w:szCs w:val="21"/>
              </w:rPr>
              <w:t>危险废物回收、利用、处置范围</w:t>
            </w:r>
          </w:p>
        </w:tc>
        <w:tc>
          <w:tcPr>
            <w:tcW w:w="7477" w:type="dxa"/>
            <w:gridSpan w:val="5"/>
            <w:noWrap w:val="0"/>
            <w:vAlign w:val="center"/>
          </w:tcPr>
          <w:p w14:paraId="58546A00">
            <w:pPr>
              <w:jc w:val="center"/>
              <w:rPr>
                <w:rFonts w:ascii="宋体" w:hAnsi="宋体"/>
                <w:b/>
                <w:bCs/>
                <w:szCs w:val="21"/>
              </w:rPr>
            </w:pPr>
          </w:p>
        </w:tc>
      </w:tr>
      <w:tr w14:paraId="2B4FE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09" w:type="dxa"/>
            <w:noWrap w:val="0"/>
            <w:vAlign w:val="center"/>
          </w:tcPr>
          <w:p w14:paraId="7A3C5BBB">
            <w:pPr>
              <w:jc w:val="center"/>
              <w:rPr>
                <w:rFonts w:ascii="宋体" w:hAnsi="宋体"/>
                <w:b/>
                <w:bCs/>
                <w:szCs w:val="21"/>
              </w:rPr>
            </w:pPr>
            <w:r>
              <w:rPr>
                <w:rFonts w:hint="eastAsia" w:ascii="宋体" w:hAnsi="宋体"/>
                <w:bCs/>
                <w:szCs w:val="21"/>
              </w:rPr>
              <w:t>主要回收、利用、处置设备</w:t>
            </w:r>
          </w:p>
        </w:tc>
        <w:tc>
          <w:tcPr>
            <w:tcW w:w="7477" w:type="dxa"/>
            <w:gridSpan w:val="5"/>
            <w:noWrap w:val="0"/>
            <w:vAlign w:val="center"/>
          </w:tcPr>
          <w:p w14:paraId="1305EE81">
            <w:pPr>
              <w:jc w:val="center"/>
              <w:rPr>
                <w:rFonts w:ascii="宋体" w:hAnsi="宋体"/>
                <w:b/>
                <w:bCs/>
                <w:szCs w:val="21"/>
              </w:rPr>
            </w:pPr>
          </w:p>
        </w:tc>
      </w:tr>
      <w:tr w14:paraId="296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809" w:type="dxa"/>
            <w:noWrap w:val="0"/>
            <w:vAlign w:val="center"/>
          </w:tcPr>
          <w:p w14:paraId="3C589A1E">
            <w:pPr>
              <w:jc w:val="center"/>
              <w:rPr>
                <w:rFonts w:ascii="宋体" w:hAnsi="宋体"/>
                <w:bCs/>
                <w:szCs w:val="21"/>
              </w:rPr>
            </w:pPr>
            <w:r>
              <w:rPr>
                <w:rFonts w:hint="eastAsia" w:ascii="宋体" w:hAnsi="宋体"/>
                <w:bCs/>
                <w:szCs w:val="21"/>
              </w:rPr>
              <w:t>危险废物回收、利用、处置能力（吨/年）</w:t>
            </w:r>
          </w:p>
        </w:tc>
        <w:tc>
          <w:tcPr>
            <w:tcW w:w="7477" w:type="dxa"/>
            <w:gridSpan w:val="5"/>
            <w:noWrap w:val="0"/>
            <w:vAlign w:val="center"/>
          </w:tcPr>
          <w:p w14:paraId="743D2E42">
            <w:pPr>
              <w:jc w:val="center"/>
              <w:rPr>
                <w:rFonts w:ascii="宋体" w:hAnsi="宋体"/>
                <w:b/>
                <w:bCs/>
                <w:szCs w:val="21"/>
              </w:rPr>
            </w:pPr>
          </w:p>
        </w:tc>
      </w:tr>
      <w:tr w14:paraId="150E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809" w:type="dxa"/>
            <w:noWrap w:val="0"/>
            <w:vAlign w:val="center"/>
          </w:tcPr>
          <w:p w14:paraId="47B785B9">
            <w:pPr>
              <w:jc w:val="center"/>
              <w:rPr>
                <w:rFonts w:ascii="宋体" w:hAnsi="宋体"/>
                <w:b/>
                <w:bCs/>
                <w:szCs w:val="21"/>
              </w:rPr>
            </w:pPr>
            <w:r>
              <w:rPr>
                <w:rFonts w:hint="eastAsia" w:ascii="宋体" w:hAnsi="宋体"/>
                <w:bCs/>
                <w:szCs w:val="21"/>
              </w:rPr>
              <w:t>危险废物回收、利用、处置工艺</w:t>
            </w:r>
          </w:p>
        </w:tc>
        <w:tc>
          <w:tcPr>
            <w:tcW w:w="7477" w:type="dxa"/>
            <w:gridSpan w:val="5"/>
            <w:noWrap w:val="0"/>
            <w:vAlign w:val="center"/>
          </w:tcPr>
          <w:p w14:paraId="1A5F5A0F">
            <w:pPr>
              <w:jc w:val="center"/>
              <w:rPr>
                <w:rFonts w:ascii="宋体" w:hAnsi="宋体"/>
                <w:b/>
                <w:bCs/>
                <w:szCs w:val="21"/>
              </w:rPr>
            </w:pPr>
          </w:p>
        </w:tc>
      </w:tr>
      <w:tr w14:paraId="6710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809" w:type="dxa"/>
            <w:noWrap w:val="0"/>
            <w:vAlign w:val="center"/>
          </w:tcPr>
          <w:p w14:paraId="0966FDC0">
            <w:pPr>
              <w:jc w:val="center"/>
              <w:rPr>
                <w:rFonts w:ascii="宋体" w:hAnsi="宋体"/>
                <w:bCs/>
                <w:szCs w:val="21"/>
              </w:rPr>
            </w:pPr>
            <w:r>
              <w:rPr>
                <w:rFonts w:hint="eastAsia" w:ascii="宋体" w:hAnsi="宋体"/>
                <w:bCs/>
                <w:szCs w:val="21"/>
              </w:rPr>
              <w:t>专利</w:t>
            </w:r>
          </w:p>
        </w:tc>
        <w:tc>
          <w:tcPr>
            <w:tcW w:w="7477" w:type="dxa"/>
            <w:gridSpan w:val="5"/>
            <w:noWrap w:val="0"/>
            <w:vAlign w:val="center"/>
          </w:tcPr>
          <w:p w14:paraId="2ABB3093">
            <w:pPr>
              <w:jc w:val="center"/>
              <w:rPr>
                <w:rFonts w:ascii="宋体" w:hAnsi="宋体"/>
                <w:b/>
                <w:bCs/>
                <w:szCs w:val="21"/>
              </w:rPr>
            </w:pPr>
          </w:p>
        </w:tc>
      </w:tr>
      <w:tr w14:paraId="1B15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809" w:type="dxa"/>
            <w:noWrap w:val="0"/>
            <w:vAlign w:val="center"/>
          </w:tcPr>
          <w:p w14:paraId="1439DE8D">
            <w:pPr>
              <w:jc w:val="center"/>
              <w:rPr>
                <w:rFonts w:ascii="宋体" w:hAnsi="宋体"/>
                <w:bCs/>
                <w:szCs w:val="21"/>
              </w:rPr>
            </w:pPr>
            <w:r>
              <w:rPr>
                <w:rFonts w:hint="eastAsia" w:ascii="宋体" w:hAnsi="宋体"/>
                <w:bCs/>
                <w:szCs w:val="21"/>
              </w:rPr>
              <w:t>本企业其它优势</w:t>
            </w:r>
          </w:p>
        </w:tc>
        <w:tc>
          <w:tcPr>
            <w:tcW w:w="7477" w:type="dxa"/>
            <w:gridSpan w:val="5"/>
            <w:noWrap w:val="0"/>
            <w:vAlign w:val="center"/>
          </w:tcPr>
          <w:p w14:paraId="79DCAFD8">
            <w:pPr>
              <w:jc w:val="center"/>
              <w:rPr>
                <w:rFonts w:ascii="宋体" w:hAnsi="宋体"/>
                <w:b/>
                <w:bCs/>
                <w:szCs w:val="21"/>
              </w:rPr>
            </w:pPr>
          </w:p>
        </w:tc>
      </w:tr>
    </w:tbl>
    <w:p w14:paraId="3EF3AE96">
      <w:pPr>
        <w:rPr>
          <w:rFonts w:eastAsia="黑体"/>
          <w:b/>
          <w:bCs/>
          <w:sz w:val="28"/>
        </w:rPr>
      </w:pPr>
    </w:p>
    <w:p w14:paraId="508B3A77">
      <w:pPr>
        <w:rPr>
          <w:rFonts w:eastAsia="黑体"/>
          <w:b/>
          <w:bCs/>
          <w:sz w:val="28"/>
        </w:rPr>
      </w:pPr>
    </w:p>
    <w:p w14:paraId="54D2FFF4">
      <w:pPr>
        <w:pStyle w:val="2"/>
        <w:spacing w:line="360" w:lineRule="auto"/>
        <w:ind w:firstLine="240" w:firstLineChars="100"/>
        <w:rPr>
          <w:rFonts w:ascii="仿宋_GB2312" w:hAnsi="宋体" w:eastAsia="仿宋_GB2312"/>
          <w:sz w:val="24"/>
        </w:rPr>
        <w:sectPr>
          <w:footerReference r:id="rId3" w:type="default"/>
          <w:pgSz w:w="11906" w:h="16838"/>
          <w:pgMar w:top="1418" w:right="1418" w:bottom="1134" w:left="1418" w:header="851" w:footer="992" w:gutter="0"/>
          <w:pgNumType w:fmt="decimal" w:chapStyle="1"/>
          <w:cols w:space="720" w:num="1"/>
          <w:docGrid w:type="lines" w:linePitch="312" w:charSpace="0"/>
        </w:sectPr>
      </w:pPr>
      <w:r>
        <w:rPr>
          <w:rFonts w:hint="eastAsia" w:ascii="仿宋_GB2312" w:hAnsi="宋体" w:eastAsia="仿宋_GB2312"/>
          <w:sz w:val="24"/>
        </w:rPr>
        <w:t>投标人名称（盖章）：              法定代表人或授权代表签字：</w:t>
      </w:r>
    </w:p>
    <w:p w14:paraId="7DC39922">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6</w:t>
      </w:r>
    </w:p>
    <w:p w14:paraId="440E1CEA">
      <w:pPr>
        <w:rPr>
          <w:rFonts w:hint="eastAsia"/>
          <w:u w:val="single"/>
        </w:rPr>
      </w:pPr>
      <w:r>
        <w:rPr>
          <w:rFonts w:hint="eastAsia" w:ascii="宋体" w:hAnsi="宋体"/>
        </w:rPr>
        <w:t>项目名称：</w:t>
      </w:r>
      <w:r>
        <w:rPr>
          <w:rFonts w:hint="eastAsia"/>
          <w:u w:val="single"/>
        </w:rPr>
        <w:t>《中国重汽集团济宁商用车有限公司危废处置服务项目》</w:t>
      </w:r>
    </w:p>
    <w:p w14:paraId="51EA9AD6">
      <w:pPr>
        <w:rPr>
          <w:rFonts w:hint="eastAsia"/>
          <w:u w:val="single"/>
        </w:rPr>
      </w:pPr>
    </w:p>
    <w:p w14:paraId="0CBABBDF">
      <w:pPr>
        <w:rPr>
          <w:rFonts w:hAnsi="宋体"/>
          <w:szCs w:val="21"/>
        </w:rPr>
      </w:pPr>
      <w:r>
        <w:rPr>
          <w:rFonts w:hint="eastAsia" w:hAnsi="宋体"/>
          <w:szCs w:val="21"/>
        </w:rPr>
        <w:t>日期：  年   月   日</w:t>
      </w:r>
    </w:p>
    <w:p w14:paraId="2198344E">
      <w:pPr>
        <w:jc w:val="center"/>
        <w:rPr>
          <w:rFonts w:eastAsia="黑体"/>
          <w:b/>
          <w:bCs/>
          <w:sz w:val="28"/>
        </w:rPr>
      </w:pPr>
      <w:r>
        <w:rPr>
          <w:rFonts w:hint="eastAsia" w:eastAsia="黑体"/>
          <w:b/>
          <w:bCs/>
          <w:sz w:val="28"/>
        </w:rPr>
        <w:t>同类项目业绩一览表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499A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14:paraId="56F79273">
            <w:pPr>
              <w:pStyle w:val="2"/>
              <w:spacing w:line="360" w:lineRule="auto"/>
              <w:jc w:val="center"/>
              <w:rPr>
                <w:rFonts w:hAnsi="宋体"/>
                <w:b/>
                <w:bCs/>
                <w:szCs w:val="21"/>
              </w:rPr>
            </w:pPr>
            <w:r>
              <w:rPr>
                <w:rFonts w:hint="eastAsia" w:hAnsi="宋体"/>
                <w:bCs/>
                <w:szCs w:val="21"/>
              </w:rPr>
              <w:t>客户名称</w:t>
            </w:r>
          </w:p>
        </w:tc>
        <w:tc>
          <w:tcPr>
            <w:tcW w:w="1843" w:type="dxa"/>
            <w:noWrap w:val="0"/>
            <w:vAlign w:val="bottom"/>
          </w:tcPr>
          <w:p w14:paraId="33820429">
            <w:pPr>
              <w:pStyle w:val="2"/>
              <w:spacing w:line="360" w:lineRule="auto"/>
              <w:jc w:val="center"/>
              <w:rPr>
                <w:rFonts w:hAnsi="宋体"/>
                <w:bCs/>
                <w:szCs w:val="21"/>
              </w:rPr>
            </w:pPr>
            <w:r>
              <w:rPr>
                <w:rFonts w:hint="eastAsia" w:hAnsi="宋体"/>
                <w:bCs/>
                <w:szCs w:val="21"/>
              </w:rPr>
              <w:t>合同项目</w:t>
            </w:r>
          </w:p>
        </w:tc>
        <w:tc>
          <w:tcPr>
            <w:tcW w:w="1984" w:type="dxa"/>
            <w:noWrap w:val="0"/>
            <w:vAlign w:val="bottom"/>
          </w:tcPr>
          <w:p w14:paraId="190DBB39">
            <w:pPr>
              <w:pStyle w:val="2"/>
              <w:spacing w:line="360" w:lineRule="auto"/>
              <w:jc w:val="center"/>
              <w:rPr>
                <w:rFonts w:hAnsi="宋体"/>
                <w:bCs/>
                <w:szCs w:val="21"/>
              </w:rPr>
            </w:pPr>
            <w:r>
              <w:rPr>
                <w:rFonts w:hint="eastAsia" w:hAnsi="宋体"/>
                <w:bCs/>
                <w:szCs w:val="21"/>
              </w:rPr>
              <w:t>合同起止时间</w:t>
            </w:r>
          </w:p>
        </w:tc>
        <w:tc>
          <w:tcPr>
            <w:tcW w:w="2075" w:type="dxa"/>
            <w:noWrap w:val="0"/>
            <w:vAlign w:val="bottom"/>
          </w:tcPr>
          <w:p w14:paraId="0F6091AE">
            <w:pPr>
              <w:pStyle w:val="2"/>
              <w:spacing w:line="360" w:lineRule="auto"/>
              <w:jc w:val="center"/>
              <w:rPr>
                <w:rFonts w:hAnsi="宋体"/>
                <w:bCs/>
                <w:szCs w:val="21"/>
              </w:rPr>
            </w:pPr>
            <w:r>
              <w:rPr>
                <w:rFonts w:hint="eastAsia" w:hAnsi="宋体"/>
                <w:bCs/>
                <w:szCs w:val="21"/>
              </w:rPr>
              <w:t>合同数量（吨）</w:t>
            </w:r>
          </w:p>
        </w:tc>
        <w:tc>
          <w:tcPr>
            <w:tcW w:w="1858" w:type="dxa"/>
            <w:noWrap w:val="0"/>
            <w:vAlign w:val="bottom"/>
          </w:tcPr>
          <w:p w14:paraId="08128F19">
            <w:pPr>
              <w:pStyle w:val="2"/>
              <w:spacing w:line="360" w:lineRule="auto"/>
              <w:jc w:val="center"/>
              <w:rPr>
                <w:rFonts w:hAnsi="宋体"/>
                <w:bCs/>
                <w:szCs w:val="21"/>
              </w:rPr>
            </w:pPr>
            <w:r>
              <w:rPr>
                <w:rFonts w:hint="eastAsia" w:hAnsi="宋体"/>
                <w:bCs/>
                <w:szCs w:val="21"/>
              </w:rPr>
              <w:t>合同金额（万元）</w:t>
            </w:r>
          </w:p>
        </w:tc>
      </w:tr>
      <w:tr w14:paraId="5AD7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46BA796">
            <w:pPr>
              <w:pStyle w:val="2"/>
              <w:spacing w:line="360" w:lineRule="auto"/>
              <w:jc w:val="center"/>
              <w:rPr>
                <w:rFonts w:hAnsi="宋体"/>
                <w:b/>
                <w:bCs/>
                <w:szCs w:val="21"/>
              </w:rPr>
            </w:pPr>
          </w:p>
        </w:tc>
        <w:tc>
          <w:tcPr>
            <w:tcW w:w="1843" w:type="dxa"/>
            <w:noWrap w:val="0"/>
            <w:vAlign w:val="center"/>
          </w:tcPr>
          <w:p w14:paraId="2DA95DD2">
            <w:pPr>
              <w:pStyle w:val="2"/>
              <w:spacing w:line="360" w:lineRule="auto"/>
              <w:jc w:val="center"/>
              <w:rPr>
                <w:rFonts w:hAnsi="宋体"/>
                <w:b/>
                <w:bCs/>
                <w:szCs w:val="21"/>
              </w:rPr>
            </w:pPr>
          </w:p>
        </w:tc>
        <w:tc>
          <w:tcPr>
            <w:tcW w:w="1984" w:type="dxa"/>
            <w:noWrap w:val="0"/>
            <w:vAlign w:val="center"/>
          </w:tcPr>
          <w:p w14:paraId="3AEC4533">
            <w:pPr>
              <w:pStyle w:val="2"/>
              <w:spacing w:line="360" w:lineRule="auto"/>
              <w:jc w:val="center"/>
              <w:rPr>
                <w:rFonts w:hAnsi="宋体"/>
                <w:b/>
                <w:bCs/>
                <w:szCs w:val="21"/>
              </w:rPr>
            </w:pPr>
          </w:p>
        </w:tc>
        <w:tc>
          <w:tcPr>
            <w:tcW w:w="2075" w:type="dxa"/>
            <w:noWrap w:val="0"/>
            <w:vAlign w:val="center"/>
          </w:tcPr>
          <w:p w14:paraId="6F7A8941">
            <w:pPr>
              <w:pStyle w:val="2"/>
              <w:spacing w:line="360" w:lineRule="auto"/>
              <w:jc w:val="center"/>
              <w:rPr>
                <w:rFonts w:hAnsi="宋体"/>
                <w:b/>
                <w:bCs/>
                <w:szCs w:val="21"/>
              </w:rPr>
            </w:pPr>
          </w:p>
        </w:tc>
        <w:tc>
          <w:tcPr>
            <w:tcW w:w="1858" w:type="dxa"/>
            <w:noWrap w:val="0"/>
            <w:vAlign w:val="center"/>
          </w:tcPr>
          <w:p w14:paraId="176C3BA7">
            <w:pPr>
              <w:pStyle w:val="2"/>
              <w:spacing w:line="360" w:lineRule="auto"/>
              <w:jc w:val="center"/>
              <w:rPr>
                <w:rFonts w:hAnsi="宋体"/>
                <w:b/>
                <w:bCs/>
                <w:szCs w:val="21"/>
              </w:rPr>
            </w:pPr>
          </w:p>
        </w:tc>
      </w:tr>
      <w:tr w14:paraId="794F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CB1197F">
            <w:pPr>
              <w:pStyle w:val="2"/>
              <w:spacing w:line="360" w:lineRule="auto"/>
              <w:jc w:val="center"/>
              <w:rPr>
                <w:rFonts w:hAnsi="宋体"/>
                <w:b/>
                <w:bCs/>
                <w:szCs w:val="21"/>
              </w:rPr>
            </w:pPr>
          </w:p>
        </w:tc>
        <w:tc>
          <w:tcPr>
            <w:tcW w:w="1843" w:type="dxa"/>
            <w:noWrap w:val="0"/>
            <w:vAlign w:val="center"/>
          </w:tcPr>
          <w:p w14:paraId="4ADABCAE">
            <w:pPr>
              <w:pStyle w:val="2"/>
              <w:spacing w:line="360" w:lineRule="auto"/>
              <w:jc w:val="center"/>
              <w:rPr>
                <w:rFonts w:hAnsi="宋体"/>
                <w:b/>
                <w:bCs/>
                <w:szCs w:val="21"/>
              </w:rPr>
            </w:pPr>
          </w:p>
        </w:tc>
        <w:tc>
          <w:tcPr>
            <w:tcW w:w="1984" w:type="dxa"/>
            <w:noWrap w:val="0"/>
            <w:vAlign w:val="center"/>
          </w:tcPr>
          <w:p w14:paraId="0EF5E89E">
            <w:pPr>
              <w:pStyle w:val="2"/>
              <w:spacing w:line="360" w:lineRule="auto"/>
              <w:jc w:val="center"/>
              <w:rPr>
                <w:rFonts w:hAnsi="宋体"/>
                <w:b/>
                <w:bCs/>
                <w:szCs w:val="21"/>
              </w:rPr>
            </w:pPr>
          </w:p>
        </w:tc>
        <w:tc>
          <w:tcPr>
            <w:tcW w:w="2075" w:type="dxa"/>
            <w:noWrap w:val="0"/>
            <w:vAlign w:val="center"/>
          </w:tcPr>
          <w:p w14:paraId="5F74C3D3">
            <w:pPr>
              <w:pStyle w:val="2"/>
              <w:spacing w:line="360" w:lineRule="auto"/>
              <w:jc w:val="center"/>
              <w:rPr>
                <w:rFonts w:hAnsi="宋体"/>
                <w:b/>
                <w:bCs/>
                <w:szCs w:val="21"/>
              </w:rPr>
            </w:pPr>
          </w:p>
        </w:tc>
        <w:tc>
          <w:tcPr>
            <w:tcW w:w="1858" w:type="dxa"/>
            <w:noWrap w:val="0"/>
            <w:vAlign w:val="center"/>
          </w:tcPr>
          <w:p w14:paraId="34BF9974">
            <w:pPr>
              <w:pStyle w:val="2"/>
              <w:spacing w:line="360" w:lineRule="auto"/>
              <w:jc w:val="center"/>
              <w:rPr>
                <w:rFonts w:hAnsi="宋体"/>
                <w:b/>
                <w:bCs/>
                <w:szCs w:val="21"/>
              </w:rPr>
            </w:pPr>
          </w:p>
        </w:tc>
      </w:tr>
      <w:tr w14:paraId="41B4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0223B2CF">
            <w:pPr>
              <w:pStyle w:val="2"/>
              <w:spacing w:line="360" w:lineRule="auto"/>
              <w:jc w:val="center"/>
              <w:rPr>
                <w:rFonts w:hAnsi="宋体"/>
                <w:b/>
                <w:bCs/>
                <w:szCs w:val="21"/>
              </w:rPr>
            </w:pPr>
          </w:p>
        </w:tc>
        <w:tc>
          <w:tcPr>
            <w:tcW w:w="1843" w:type="dxa"/>
            <w:noWrap w:val="0"/>
            <w:vAlign w:val="center"/>
          </w:tcPr>
          <w:p w14:paraId="3CA0D08A">
            <w:pPr>
              <w:pStyle w:val="2"/>
              <w:spacing w:line="360" w:lineRule="auto"/>
              <w:jc w:val="center"/>
              <w:rPr>
                <w:rFonts w:hAnsi="宋体"/>
                <w:b/>
                <w:bCs/>
                <w:szCs w:val="21"/>
              </w:rPr>
            </w:pPr>
          </w:p>
        </w:tc>
        <w:tc>
          <w:tcPr>
            <w:tcW w:w="1984" w:type="dxa"/>
            <w:noWrap w:val="0"/>
            <w:vAlign w:val="center"/>
          </w:tcPr>
          <w:p w14:paraId="428359B8">
            <w:pPr>
              <w:pStyle w:val="2"/>
              <w:spacing w:line="360" w:lineRule="auto"/>
              <w:jc w:val="center"/>
              <w:rPr>
                <w:rFonts w:hAnsi="宋体"/>
                <w:b/>
                <w:bCs/>
                <w:szCs w:val="21"/>
              </w:rPr>
            </w:pPr>
          </w:p>
        </w:tc>
        <w:tc>
          <w:tcPr>
            <w:tcW w:w="2075" w:type="dxa"/>
            <w:noWrap w:val="0"/>
            <w:vAlign w:val="center"/>
          </w:tcPr>
          <w:p w14:paraId="744FA83E">
            <w:pPr>
              <w:pStyle w:val="2"/>
              <w:spacing w:line="360" w:lineRule="auto"/>
              <w:jc w:val="center"/>
              <w:rPr>
                <w:rFonts w:hAnsi="宋体"/>
                <w:b/>
                <w:bCs/>
                <w:szCs w:val="21"/>
              </w:rPr>
            </w:pPr>
          </w:p>
        </w:tc>
        <w:tc>
          <w:tcPr>
            <w:tcW w:w="1858" w:type="dxa"/>
            <w:noWrap w:val="0"/>
            <w:vAlign w:val="center"/>
          </w:tcPr>
          <w:p w14:paraId="5184EB55">
            <w:pPr>
              <w:pStyle w:val="2"/>
              <w:spacing w:line="360" w:lineRule="auto"/>
              <w:jc w:val="center"/>
              <w:rPr>
                <w:rFonts w:hAnsi="宋体"/>
                <w:b/>
                <w:bCs/>
                <w:szCs w:val="21"/>
              </w:rPr>
            </w:pPr>
          </w:p>
        </w:tc>
      </w:tr>
      <w:tr w14:paraId="02BF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99249BD">
            <w:pPr>
              <w:pStyle w:val="2"/>
              <w:spacing w:line="360" w:lineRule="auto"/>
              <w:jc w:val="center"/>
              <w:rPr>
                <w:rFonts w:hAnsi="宋体"/>
                <w:b/>
                <w:bCs/>
                <w:szCs w:val="21"/>
              </w:rPr>
            </w:pPr>
          </w:p>
        </w:tc>
        <w:tc>
          <w:tcPr>
            <w:tcW w:w="1843" w:type="dxa"/>
            <w:noWrap w:val="0"/>
            <w:vAlign w:val="center"/>
          </w:tcPr>
          <w:p w14:paraId="139D8C66">
            <w:pPr>
              <w:pStyle w:val="2"/>
              <w:spacing w:line="360" w:lineRule="auto"/>
              <w:jc w:val="center"/>
              <w:rPr>
                <w:rFonts w:hAnsi="宋体"/>
                <w:b/>
                <w:bCs/>
                <w:szCs w:val="21"/>
              </w:rPr>
            </w:pPr>
          </w:p>
        </w:tc>
        <w:tc>
          <w:tcPr>
            <w:tcW w:w="1984" w:type="dxa"/>
            <w:noWrap w:val="0"/>
            <w:vAlign w:val="center"/>
          </w:tcPr>
          <w:p w14:paraId="5F8528AB">
            <w:pPr>
              <w:pStyle w:val="2"/>
              <w:spacing w:line="360" w:lineRule="auto"/>
              <w:jc w:val="center"/>
              <w:rPr>
                <w:rFonts w:hAnsi="宋体"/>
                <w:b/>
                <w:bCs/>
                <w:szCs w:val="21"/>
              </w:rPr>
            </w:pPr>
          </w:p>
        </w:tc>
        <w:tc>
          <w:tcPr>
            <w:tcW w:w="2075" w:type="dxa"/>
            <w:noWrap w:val="0"/>
            <w:vAlign w:val="center"/>
          </w:tcPr>
          <w:p w14:paraId="06F20B3C">
            <w:pPr>
              <w:pStyle w:val="2"/>
              <w:spacing w:line="360" w:lineRule="auto"/>
              <w:jc w:val="center"/>
              <w:rPr>
                <w:rFonts w:hAnsi="宋体"/>
                <w:b/>
                <w:bCs/>
                <w:szCs w:val="21"/>
              </w:rPr>
            </w:pPr>
          </w:p>
        </w:tc>
        <w:tc>
          <w:tcPr>
            <w:tcW w:w="1858" w:type="dxa"/>
            <w:noWrap w:val="0"/>
            <w:vAlign w:val="center"/>
          </w:tcPr>
          <w:p w14:paraId="6C850C0D">
            <w:pPr>
              <w:pStyle w:val="2"/>
              <w:spacing w:line="360" w:lineRule="auto"/>
              <w:jc w:val="center"/>
              <w:rPr>
                <w:rFonts w:hAnsi="宋体"/>
                <w:b/>
                <w:bCs/>
                <w:szCs w:val="21"/>
              </w:rPr>
            </w:pPr>
          </w:p>
        </w:tc>
      </w:tr>
      <w:tr w14:paraId="739B5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67E4B739">
            <w:pPr>
              <w:pStyle w:val="2"/>
              <w:spacing w:line="360" w:lineRule="auto"/>
              <w:jc w:val="center"/>
              <w:rPr>
                <w:rFonts w:hAnsi="宋体"/>
                <w:b/>
                <w:bCs/>
                <w:szCs w:val="21"/>
              </w:rPr>
            </w:pPr>
          </w:p>
        </w:tc>
        <w:tc>
          <w:tcPr>
            <w:tcW w:w="1843" w:type="dxa"/>
            <w:noWrap w:val="0"/>
            <w:vAlign w:val="center"/>
          </w:tcPr>
          <w:p w14:paraId="0990C74A">
            <w:pPr>
              <w:pStyle w:val="2"/>
              <w:spacing w:line="360" w:lineRule="auto"/>
              <w:jc w:val="center"/>
              <w:rPr>
                <w:rFonts w:hAnsi="宋体"/>
                <w:b/>
                <w:bCs/>
                <w:szCs w:val="21"/>
              </w:rPr>
            </w:pPr>
          </w:p>
        </w:tc>
        <w:tc>
          <w:tcPr>
            <w:tcW w:w="1984" w:type="dxa"/>
            <w:noWrap w:val="0"/>
            <w:vAlign w:val="center"/>
          </w:tcPr>
          <w:p w14:paraId="302BE236">
            <w:pPr>
              <w:pStyle w:val="2"/>
              <w:spacing w:line="360" w:lineRule="auto"/>
              <w:jc w:val="center"/>
              <w:rPr>
                <w:rFonts w:hAnsi="宋体"/>
                <w:b/>
                <w:bCs/>
                <w:szCs w:val="21"/>
              </w:rPr>
            </w:pPr>
          </w:p>
        </w:tc>
        <w:tc>
          <w:tcPr>
            <w:tcW w:w="2075" w:type="dxa"/>
            <w:noWrap w:val="0"/>
            <w:vAlign w:val="center"/>
          </w:tcPr>
          <w:p w14:paraId="34686E4E">
            <w:pPr>
              <w:pStyle w:val="2"/>
              <w:spacing w:line="360" w:lineRule="auto"/>
              <w:jc w:val="center"/>
              <w:rPr>
                <w:rFonts w:hAnsi="宋体"/>
                <w:b/>
                <w:bCs/>
                <w:szCs w:val="21"/>
              </w:rPr>
            </w:pPr>
          </w:p>
        </w:tc>
        <w:tc>
          <w:tcPr>
            <w:tcW w:w="1858" w:type="dxa"/>
            <w:noWrap w:val="0"/>
            <w:vAlign w:val="center"/>
          </w:tcPr>
          <w:p w14:paraId="550F62E3">
            <w:pPr>
              <w:pStyle w:val="2"/>
              <w:spacing w:line="360" w:lineRule="auto"/>
              <w:jc w:val="center"/>
              <w:rPr>
                <w:rFonts w:hAnsi="宋体"/>
                <w:b/>
                <w:bCs/>
                <w:szCs w:val="21"/>
              </w:rPr>
            </w:pPr>
          </w:p>
        </w:tc>
      </w:tr>
      <w:tr w14:paraId="1DEB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14:paraId="2FCD9413">
            <w:pPr>
              <w:pStyle w:val="2"/>
              <w:spacing w:line="360" w:lineRule="auto"/>
              <w:jc w:val="center"/>
              <w:rPr>
                <w:rFonts w:hAnsi="宋体"/>
                <w:b/>
                <w:bCs/>
                <w:szCs w:val="21"/>
              </w:rPr>
            </w:pPr>
          </w:p>
        </w:tc>
        <w:tc>
          <w:tcPr>
            <w:tcW w:w="1843" w:type="dxa"/>
            <w:noWrap w:val="0"/>
            <w:vAlign w:val="center"/>
          </w:tcPr>
          <w:p w14:paraId="063A79FC">
            <w:pPr>
              <w:pStyle w:val="2"/>
              <w:spacing w:line="360" w:lineRule="auto"/>
              <w:jc w:val="center"/>
              <w:rPr>
                <w:rFonts w:hAnsi="宋体"/>
                <w:b/>
                <w:bCs/>
                <w:szCs w:val="21"/>
              </w:rPr>
            </w:pPr>
          </w:p>
        </w:tc>
        <w:tc>
          <w:tcPr>
            <w:tcW w:w="1984" w:type="dxa"/>
            <w:noWrap w:val="0"/>
            <w:vAlign w:val="center"/>
          </w:tcPr>
          <w:p w14:paraId="5B95D554">
            <w:pPr>
              <w:pStyle w:val="2"/>
              <w:spacing w:line="360" w:lineRule="auto"/>
              <w:jc w:val="center"/>
              <w:rPr>
                <w:rFonts w:hAnsi="宋体"/>
                <w:b/>
                <w:bCs/>
                <w:szCs w:val="21"/>
              </w:rPr>
            </w:pPr>
          </w:p>
        </w:tc>
        <w:tc>
          <w:tcPr>
            <w:tcW w:w="2075" w:type="dxa"/>
            <w:noWrap w:val="0"/>
            <w:vAlign w:val="center"/>
          </w:tcPr>
          <w:p w14:paraId="729116EF">
            <w:pPr>
              <w:pStyle w:val="2"/>
              <w:spacing w:line="360" w:lineRule="auto"/>
              <w:jc w:val="center"/>
              <w:rPr>
                <w:rFonts w:hAnsi="宋体"/>
                <w:b/>
                <w:bCs/>
                <w:szCs w:val="21"/>
              </w:rPr>
            </w:pPr>
          </w:p>
        </w:tc>
        <w:tc>
          <w:tcPr>
            <w:tcW w:w="1858" w:type="dxa"/>
            <w:noWrap w:val="0"/>
            <w:vAlign w:val="center"/>
          </w:tcPr>
          <w:p w14:paraId="41B91D9E">
            <w:pPr>
              <w:pStyle w:val="2"/>
              <w:spacing w:line="360" w:lineRule="auto"/>
              <w:jc w:val="center"/>
              <w:rPr>
                <w:rFonts w:hAnsi="宋体"/>
                <w:b/>
                <w:bCs/>
                <w:szCs w:val="21"/>
              </w:rPr>
            </w:pPr>
          </w:p>
        </w:tc>
      </w:tr>
    </w:tbl>
    <w:p w14:paraId="25B75FF1">
      <w:pPr>
        <w:pStyle w:val="2"/>
        <w:spacing w:line="360" w:lineRule="auto"/>
        <w:rPr>
          <w:rFonts w:hAnsi="宋体"/>
          <w:b/>
          <w:bCs/>
          <w:sz w:val="28"/>
          <w:szCs w:val="28"/>
        </w:rPr>
      </w:pPr>
    </w:p>
    <w:p w14:paraId="6170BE1C">
      <w:pPr>
        <w:pStyle w:val="2"/>
        <w:spacing w:line="360" w:lineRule="auto"/>
        <w:rPr>
          <w:rFonts w:hAnsi="宋体"/>
          <w:b/>
          <w:bCs/>
          <w:sz w:val="28"/>
          <w:szCs w:val="28"/>
        </w:rPr>
      </w:pPr>
    </w:p>
    <w:p w14:paraId="61DEE150">
      <w:pPr>
        <w:pStyle w:val="2"/>
        <w:spacing w:line="360" w:lineRule="auto"/>
        <w:rPr>
          <w:rFonts w:hAnsi="宋体"/>
          <w:bCs/>
          <w:szCs w:val="21"/>
        </w:rPr>
      </w:pPr>
      <w:r>
        <w:rPr>
          <w:rFonts w:hint="eastAsia" w:hAnsi="宋体"/>
          <w:bCs/>
          <w:szCs w:val="21"/>
        </w:rPr>
        <w:t>投标人名称（盖章）：                     法定代表人或授权代表签字</w:t>
      </w:r>
    </w:p>
    <w:p w14:paraId="6CF2E4EC">
      <w:pPr>
        <w:pStyle w:val="2"/>
        <w:spacing w:line="360" w:lineRule="auto"/>
        <w:rPr>
          <w:rFonts w:hint="eastAsia" w:hAnsi="宋体"/>
          <w:bCs/>
          <w:szCs w:val="21"/>
        </w:rPr>
      </w:pPr>
    </w:p>
    <w:p w14:paraId="275485C0">
      <w:pPr>
        <w:rPr>
          <w:rFonts w:ascii="仿宋_GB2312" w:hAnsi="宋体" w:eastAsia="仿宋_GB2312"/>
          <w:sz w:val="24"/>
        </w:rPr>
      </w:pPr>
      <w:r>
        <w:rPr>
          <w:rFonts w:hint="eastAsia" w:ascii="仿宋_GB2312" w:hAnsi="宋体" w:eastAsia="仿宋_GB2312"/>
          <w:sz w:val="24"/>
        </w:rPr>
        <w:br w:type="page"/>
      </w:r>
      <w:bookmarkStart w:id="9" w:name="_Toc35956345"/>
    </w:p>
    <w:p w14:paraId="7919EE8E">
      <w:pPr>
        <w:rPr>
          <w:rFonts w:ascii="仿宋_GB2312" w:hAnsi="宋体" w:eastAsia="仿宋_GB2312"/>
          <w:sz w:val="24"/>
        </w:rPr>
      </w:pPr>
    </w:p>
    <w:p w14:paraId="50111E9A">
      <w:pPr>
        <w:rPr>
          <w:rFonts w:ascii="仿宋_GB2312" w:hAnsi="宋体" w:eastAsia="仿宋_GB2312"/>
          <w:sz w:val="24"/>
        </w:rPr>
      </w:pPr>
    </w:p>
    <w:p w14:paraId="19AF0B47">
      <w:pPr>
        <w:rPr>
          <w:rFonts w:ascii="仿宋_GB2312" w:hAnsi="宋体" w:eastAsia="仿宋_GB2312"/>
          <w:sz w:val="24"/>
        </w:rPr>
      </w:pPr>
    </w:p>
    <w:p w14:paraId="4E7D67E5">
      <w:pPr>
        <w:rPr>
          <w:rFonts w:hint="eastAsia" w:ascii="仿宋_GB2312" w:hAnsi="宋体" w:eastAsia="仿宋_GB2312"/>
          <w:sz w:val="24"/>
        </w:rPr>
      </w:pPr>
    </w:p>
    <w:p w14:paraId="3973BB14">
      <w:pPr>
        <w:rPr>
          <w:rFonts w:hint="eastAsia" w:ascii="仿宋_GB2312" w:hAnsi="仿宋_GB2312" w:eastAsia="仿宋_GB2312" w:cs="仿宋_GB2312"/>
          <w:b/>
          <w:bCs/>
          <w:sz w:val="36"/>
          <w:szCs w:val="36"/>
        </w:rPr>
      </w:pPr>
      <w:r>
        <w:rPr>
          <w:rFonts w:hint="eastAsia" w:eastAsia="黑体"/>
          <w:b/>
          <w:bCs/>
          <w:sz w:val="28"/>
        </w:rPr>
        <w:t>附件</w:t>
      </w:r>
      <w:bookmarkEnd w:id="9"/>
      <w:bookmarkStart w:id="10" w:name="_Toc31993"/>
      <w:bookmarkStart w:id="11" w:name="_Toc507"/>
      <w:bookmarkStart w:id="12" w:name="_Toc6157"/>
      <w:r>
        <w:rPr>
          <w:rFonts w:hint="eastAsia" w:eastAsia="黑体"/>
          <w:b/>
          <w:bCs/>
          <w:sz w:val="28"/>
          <w:lang w:val="en-US" w:eastAsia="zh-CN"/>
        </w:rPr>
        <w:t>7</w:t>
      </w:r>
      <w:r>
        <w:rPr>
          <w:rFonts w:hint="eastAsia" w:ascii="仿宋_GB2312" w:hAnsi="仿宋_GB2312" w:eastAsia="仿宋_GB2312" w:cs="仿宋_GB2312"/>
          <w:b/>
          <w:bCs/>
          <w:sz w:val="36"/>
          <w:szCs w:val="36"/>
        </w:rPr>
        <w:t xml:space="preserve"> SRM非生产供应商注册操作手册</w:t>
      </w:r>
      <w:bookmarkEnd w:id="10"/>
      <w:bookmarkEnd w:id="11"/>
      <w:bookmarkEnd w:id="12"/>
    </w:p>
    <w:p w14:paraId="0FC80DF3">
      <w:pPr>
        <w:adjustRightInd w:val="0"/>
        <w:snapToGrid w:val="0"/>
        <w:jc w:val="left"/>
        <w:rPr>
          <w:rFonts w:hint="eastAsia" w:ascii="仿宋_GB2312" w:hAnsi="仿宋_GB2312" w:eastAsia="仿宋_GB2312" w:cs="仿宋_GB2312"/>
          <w:sz w:val="24"/>
          <w:szCs w:val="24"/>
        </w:rPr>
      </w:pPr>
    </w:p>
    <w:p w14:paraId="2441769F">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浏览器中输入地址;</w:t>
      </w:r>
    </w:p>
    <w:p w14:paraId="34F7C65B">
      <w:pPr>
        <w:adjustRightInd w:val="0"/>
        <w:snapToGrid w:val="0"/>
        <w:spacing w:line="360" w:lineRule="auto"/>
        <w:jc w:val="left"/>
        <w:rPr>
          <w:rFonts w:hint="eastAsia" w:ascii="仿宋_GB2312" w:hAnsi="仿宋_GB2312" w:eastAsia="仿宋_GB2312" w:cs="仿宋_GB2312"/>
          <w:sz w:val="24"/>
          <w:szCs w:val="24"/>
        </w:rPr>
      </w:pPr>
      <w:r>
        <w:fldChar w:fldCharType="begin"/>
      </w:r>
      <w:r>
        <w:instrText xml:space="preserve">HYPERLINK "http://ecaitong.sinotruk.com:8012/" \l "/login" \t "dlt"</w:instrText>
      </w:r>
      <w:r>
        <w:rPr>
          <w:rFonts w:hint="eastAsia"/>
        </w:rPr>
        <w:fldChar w:fldCharType="separate"/>
      </w:r>
      <w:r>
        <w:rPr>
          <w:rFonts w:hint="eastAsia" w:ascii="仿宋_GB2312" w:hAnsi="仿宋_GB2312" w:eastAsia="仿宋_GB2312" w:cs="仿宋_GB2312"/>
          <w:sz w:val="24"/>
          <w:szCs w:val="24"/>
        </w:rPr>
        <w:t>https://ecaitong.sinotruk.com:8012/#/login</w:t>
      </w:r>
      <w:r>
        <w:rPr>
          <w:rFonts w:ascii="仿宋_GB2312" w:hAnsi="仿宋_GB2312" w:eastAsia="仿宋_GB2312" w:cs="仿宋_GB2312"/>
          <w:sz w:val="24"/>
          <w:szCs w:val="24"/>
        </w:rPr>
        <w:fldChar w:fldCharType="end"/>
      </w:r>
    </w:p>
    <w:p w14:paraId="1FB3DFFE">
      <w:pPr>
        <w:adjustRightInd w:val="0"/>
        <w:snapToGrid w:val="0"/>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1.点击立即注册</w:t>
      </w:r>
    </w:p>
    <w:p w14:paraId="6E432F01">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934335"/>
            <wp:effectExtent l="0" t="0" r="9525" b="1841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6"/>
                    <a:stretch>
                      <a:fillRect/>
                    </a:stretch>
                  </pic:blipFill>
                  <pic:spPr>
                    <a:xfrm>
                      <a:off x="0" y="0"/>
                      <a:ext cx="5762625" cy="2934335"/>
                    </a:xfrm>
                    <a:prstGeom prst="rect">
                      <a:avLst/>
                    </a:prstGeom>
                    <a:noFill/>
                    <a:ln>
                      <a:noFill/>
                    </a:ln>
                  </pic:spPr>
                </pic:pic>
              </a:graphicData>
            </a:graphic>
          </wp:inline>
        </w:drawing>
      </w:r>
    </w:p>
    <w:p w14:paraId="0B64F4E3">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2.填写手机号码（没有注册过的）</w:t>
      </w:r>
    </w:p>
    <w:p w14:paraId="734FD902">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767330"/>
            <wp:effectExtent l="0" t="0" r="9525" b="13970"/>
            <wp:docPr id="20"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escript"/>
                    <pic:cNvPicPr>
                      <a:picLocks noChangeAspect="1"/>
                    </pic:cNvPicPr>
                  </pic:nvPicPr>
                  <pic:blipFill>
                    <a:blip r:embed="rId7"/>
                    <a:stretch>
                      <a:fillRect/>
                    </a:stretch>
                  </pic:blipFill>
                  <pic:spPr>
                    <a:xfrm>
                      <a:off x="0" y="0"/>
                      <a:ext cx="5762625" cy="2767330"/>
                    </a:xfrm>
                    <a:prstGeom prst="rect">
                      <a:avLst/>
                    </a:prstGeom>
                    <a:noFill/>
                    <a:ln>
                      <a:noFill/>
                    </a:ln>
                  </pic:spPr>
                </pic:pic>
              </a:graphicData>
            </a:graphic>
          </wp:inline>
        </w:drawing>
      </w:r>
    </w:p>
    <w:p w14:paraId="382FC27E">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3.注册成功登录这个手机号码的账号进入系统，点击供应商注册</w:t>
      </w:r>
    </w:p>
    <w:p w14:paraId="612385D4">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58815" cy="2869565"/>
            <wp:effectExtent l="0" t="0" r="13335" b="6985"/>
            <wp:docPr id="21"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descript"/>
                    <pic:cNvPicPr>
                      <a:picLocks noChangeAspect="1"/>
                    </pic:cNvPicPr>
                  </pic:nvPicPr>
                  <pic:blipFill>
                    <a:blip r:embed="rId8"/>
                    <a:stretch>
                      <a:fillRect/>
                    </a:stretch>
                  </pic:blipFill>
                  <pic:spPr>
                    <a:xfrm>
                      <a:off x="0" y="0"/>
                      <a:ext cx="5758815" cy="2869565"/>
                    </a:xfrm>
                    <a:prstGeom prst="rect">
                      <a:avLst/>
                    </a:prstGeom>
                    <a:noFill/>
                    <a:ln>
                      <a:noFill/>
                    </a:ln>
                  </pic:spPr>
                </pic:pic>
              </a:graphicData>
            </a:graphic>
          </wp:inline>
        </w:drawing>
      </w:r>
    </w:p>
    <w:p w14:paraId="04522F38">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color w:val="000000"/>
          <w:sz w:val="24"/>
          <w:szCs w:val="28"/>
        </w:rPr>
        <w:t>4.点击新增</w:t>
      </w:r>
    </w:p>
    <w:p w14:paraId="3F553F6A">
      <w:pPr>
        <w:snapToGrid w:val="0"/>
        <w:spacing w:line="312" w:lineRule="auto"/>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851785"/>
            <wp:effectExtent l="0" t="0" r="9525" b="5715"/>
            <wp:docPr id="1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escript"/>
                    <pic:cNvPicPr>
                      <a:picLocks noChangeAspect="1"/>
                    </pic:cNvPicPr>
                  </pic:nvPicPr>
                  <pic:blipFill>
                    <a:blip r:embed="rId9"/>
                    <a:stretch>
                      <a:fillRect/>
                    </a:stretch>
                  </pic:blipFill>
                  <pic:spPr>
                    <a:xfrm>
                      <a:off x="0" y="0"/>
                      <a:ext cx="5762625" cy="2851785"/>
                    </a:xfrm>
                    <a:prstGeom prst="rect">
                      <a:avLst/>
                    </a:prstGeom>
                    <a:noFill/>
                    <a:ln>
                      <a:noFill/>
                    </a:ln>
                  </pic:spPr>
                </pic:pic>
              </a:graphicData>
            </a:graphic>
          </wp:inline>
        </w:drawing>
      </w:r>
    </w:p>
    <w:p w14:paraId="5B4269B2">
      <w:pPr>
        <w:spacing w:line="360" w:lineRule="auto"/>
        <w:rPr>
          <w:rFonts w:hint="eastAsia" w:ascii="仿宋_GB2312" w:hAnsi="仿宋_GB2312" w:eastAsia="仿宋_GB2312" w:cs="仿宋_GB2312"/>
          <w:sz w:val="24"/>
          <w:szCs w:val="28"/>
        </w:rPr>
      </w:pPr>
      <w:r>
        <w:rPr>
          <w:rFonts w:hint="eastAsia" w:ascii="仿宋_GB2312" w:hAnsi="仿宋_GB2312" w:eastAsia="仿宋_GB2312" w:cs="仿宋_GB2312"/>
          <w:sz w:val="24"/>
          <w:szCs w:val="28"/>
        </w:rPr>
        <w:t>5</w:t>
      </w:r>
      <w:r>
        <w:rPr>
          <w:rFonts w:hint="eastAsia" w:ascii="仿宋_GB2312" w:hAnsi="仿宋_GB2312" w:eastAsia="仿宋_GB2312" w:cs="仿宋_GB2312"/>
          <w:color w:val="000000"/>
          <w:sz w:val="24"/>
          <w:szCs w:val="28"/>
        </w:rPr>
        <w:t>.按要求填写所有信息，注意非生产类要填写合作单位，最后提交审批</w:t>
      </w:r>
    </w:p>
    <w:p w14:paraId="0C991666">
      <w:pPr>
        <w:rPr>
          <w:rFonts w:hint="eastAsia" w:ascii="仿宋_GB2312" w:hAnsi="仿宋_GB2312" w:eastAsia="仿宋_GB2312" w:cs="仿宋_GB2312"/>
        </w:rPr>
      </w:pPr>
      <w:r>
        <w:rPr>
          <w:rFonts w:hint="eastAsia" w:ascii="仿宋_GB2312" w:hAnsi="仿宋_GB2312" w:eastAsia="仿宋_GB2312" w:cs="仿宋_GB2312"/>
        </w:rPr>
        <w:t>审批通过后，注意记录本单位的“供应商代码”，代码用于登录系统后应标。登录信息如下：</w:t>
      </w:r>
    </w:p>
    <w:p w14:paraId="43B546B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p>
    <w:p w14:paraId="68B67003">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29D0EC9C">
      <w:pPr>
        <w:rPr>
          <w:rFonts w:hint="eastAsia" w:ascii="仿宋_GB2312" w:hAnsi="仿宋_GB2312" w:eastAsia="仿宋_GB2312" w:cs="仿宋_GB2312"/>
          <w:color w:val="000000"/>
        </w:rPr>
      </w:pPr>
    </w:p>
    <w:p w14:paraId="2EF5288B">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58815" cy="2809875"/>
            <wp:effectExtent l="0" t="0" r="13335" b="9525"/>
            <wp:docPr id="19"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descript"/>
                    <pic:cNvPicPr>
                      <a:picLocks noChangeAspect="1"/>
                    </pic:cNvPicPr>
                  </pic:nvPicPr>
                  <pic:blipFill>
                    <a:blip r:embed="rId10"/>
                    <a:stretch>
                      <a:fillRect/>
                    </a:stretch>
                  </pic:blipFill>
                  <pic:spPr>
                    <a:xfrm>
                      <a:off x="0" y="0"/>
                      <a:ext cx="5758815" cy="2809875"/>
                    </a:xfrm>
                    <a:prstGeom prst="rect">
                      <a:avLst/>
                    </a:prstGeom>
                    <a:noFill/>
                    <a:ln>
                      <a:noFill/>
                    </a:ln>
                  </pic:spPr>
                </pic:pic>
              </a:graphicData>
            </a:graphic>
          </wp:inline>
        </w:drawing>
      </w:r>
    </w:p>
    <w:p w14:paraId="4CC8EDEC">
      <w:pPr>
        <w:pStyle w:val="2"/>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2625" cy="2821305"/>
            <wp:effectExtent l="0" t="0" r="9525" b="17145"/>
            <wp:docPr id="7"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descript"/>
                    <pic:cNvPicPr>
                      <a:picLocks noChangeAspect="1"/>
                    </pic:cNvPicPr>
                  </pic:nvPicPr>
                  <pic:blipFill>
                    <a:blip r:embed="rId11"/>
                    <a:stretch>
                      <a:fillRect/>
                    </a:stretch>
                  </pic:blipFill>
                  <pic:spPr>
                    <a:xfrm>
                      <a:off x="0" y="0"/>
                      <a:ext cx="5762625" cy="2821305"/>
                    </a:xfrm>
                    <a:prstGeom prst="rect">
                      <a:avLst/>
                    </a:prstGeom>
                    <a:noFill/>
                    <a:ln>
                      <a:noFill/>
                    </a:ln>
                  </pic:spPr>
                </pic:pic>
              </a:graphicData>
            </a:graphic>
          </wp:inline>
        </w:drawing>
      </w:r>
    </w:p>
    <w:p w14:paraId="1E5736CD">
      <w:pPr>
        <w:pStyle w:val="2"/>
        <w:rPr>
          <w:rFonts w:hint="eastAsia" w:ascii="仿宋_GB2312" w:hAnsi="仿宋_GB2312" w:eastAsia="仿宋_GB2312" w:cs="仿宋_GB2312"/>
        </w:rPr>
      </w:pPr>
    </w:p>
    <w:p w14:paraId="4259A9CC">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注：</w:t>
      </w:r>
    </w:p>
    <w:p w14:paraId="234B2403">
      <w:pPr>
        <w:rPr>
          <w:rFonts w:hint="eastAsia" w:ascii="仿宋_GB2312" w:hAnsi="仿宋_GB2312" w:eastAsia="仿宋_GB2312" w:cs="仿宋_GB2312"/>
          <w:b/>
          <w:bCs/>
          <w:color w:val="000000"/>
          <w:sz w:val="24"/>
          <w:szCs w:val="28"/>
          <w:highlight w:val="yellow"/>
        </w:rPr>
      </w:pPr>
      <w:r>
        <w:rPr>
          <w:rFonts w:hint="eastAsia" w:ascii="仿宋_GB2312" w:hAnsi="仿宋_GB2312" w:eastAsia="仿宋_GB2312" w:cs="仿宋_GB2312"/>
          <w:b/>
          <w:bCs/>
          <w:color w:val="000000"/>
          <w:sz w:val="24"/>
          <w:szCs w:val="28"/>
          <w:highlight w:val="yellow"/>
        </w:rPr>
        <w:t>1.“项目名称”和“采购形式编号”见投标须知前附表1.1；</w:t>
      </w:r>
    </w:p>
    <w:p w14:paraId="0ECF7482">
      <w:pPr>
        <w:rPr>
          <w:rFonts w:hint="eastAsia" w:ascii="仿宋_GB2312" w:hAnsi="仿宋_GB2312" w:eastAsia="仿宋_GB2312" w:cs="仿宋_GB2312"/>
        </w:rPr>
        <w:sectPr>
          <w:footerReference r:id="rId4" w:type="default"/>
          <w:pgSz w:w="11906" w:h="16838"/>
          <w:pgMar w:top="1588" w:right="1418" w:bottom="1134" w:left="1418" w:header="851" w:footer="992" w:gutter="0"/>
          <w:pgNumType w:fmt="decimal"/>
          <w:cols w:space="720" w:num="1"/>
          <w:titlePg/>
          <w:docGrid w:type="lines" w:linePitch="312" w:charSpace="0"/>
        </w:sectPr>
      </w:pPr>
      <w:r>
        <w:rPr>
          <w:rFonts w:hint="eastAsia" w:ascii="仿宋_GB2312" w:hAnsi="仿宋_GB2312" w:eastAsia="仿宋_GB2312" w:cs="仿宋_GB2312"/>
          <w:b/>
          <w:bCs/>
          <w:color w:val="000000"/>
          <w:sz w:val="24"/>
          <w:szCs w:val="28"/>
          <w:highlight w:val="yellow"/>
        </w:rPr>
        <w:t>2.配套能力“供货类别”选“非生产招标→货物环保”，业务主管部门为“安全环保部”</w:t>
      </w:r>
    </w:p>
    <w:p w14:paraId="0DD3C793">
      <w:pPr>
        <w:outlineLvl w:val="1"/>
        <w:rPr>
          <w:rFonts w:hint="eastAsia" w:ascii="仿宋_GB2312" w:hAnsi="仿宋_GB2312" w:eastAsia="仿宋_GB2312" w:cs="仿宋_GB2312"/>
          <w:b/>
          <w:bCs/>
          <w:sz w:val="36"/>
          <w:szCs w:val="36"/>
        </w:rPr>
      </w:pPr>
      <w:bookmarkStart w:id="13" w:name="_Toc19611"/>
      <w:bookmarkStart w:id="14" w:name="_Toc14977"/>
      <w:bookmarkStart w:id="15" w:name="_Toc9496"/>
      <w:r>
        <w:rPr>
          <w:rFonts w:hint="eastAsia" w:ascii="仿宋_GB2312" w:hAnsi="仿宋_GB2312" w:eastAsia="仿宋_GB2312" w:cs="仿宋_GB2312"/>
          <w:b/>
          <w:bCs/>
          <w:sz w:val="36"/>
          <w:szCs w:val="36"/>
        </w:rPr>
        <w:t>附件</w:t>
      </w:r>
      <w:r>
        <w:rPr>
          <w:rFonts w:hint="eastAsia" w:ascii="仿宋_GB2312" w:hAnsi="仿宋_GB2312" w:eastAsia="仿宋_GB2312" w:cs="仿宋_GB2312"/>
          <w:b/>
          <w:bCs/>
          <w:sz w:val="36"/>
          <w:szCs w:val="36"/>
          <w:lang w:val="en-US" w:eastAsia="zh-CN"/>
        </w:rPr>
        <w:t>8</w:t>
      </w:r>
      <w:r>
        <w:rPr>
          <w:rFonts w:hint="eastAsia" w:ascii="仿宋_GB2312" w:hAnsi="仿宋_GB2312" w:eastAsia="仿宋_GB2312" w:cs="仿宋_GB2312"/>
          <w:b/>
          <w:bCs/>
          <w:sz w:val="36"/>
          <w:szCs w:val="36"/>
        </w:rPr>
        <w:t xml:space="preserve"> SRM系统供应商用户手册</w:t>
      </w:r>
      <w:bookmarkEnd w:id="13"/>
      <w:bookmarkEnd w:id="14"/>
      <w:bookmarkEnd w:id="15"/>
    </w:p>
    <w:p w14:paraId="337BF576">
      <w:pPr>
        <w:spacing w:line="360" w:lineRule="auto"/>
        <w:rPr>
          <w:rStyle w:val="10"/>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系统网址：</w:t>
      </w:r>
      <w:r>
        <w:fldChar w:fldCharType="begin"/>
      </w:r>
      <w:r>
        <w:instrText xml:space="preserve">HYPERLINK "http://ecaitong.sinotruk.com:8012/" \t "dlt"</w:instrText>
      </w:r>
      <w:r>
        <w:rPr>
          <w:rFonts w:hint="eastAsia"/>
        </w:rPr>
        <w:fldChar w:fldCharType="separate"/>
      </w:r>
      <w:r>
        <w:rPr>
          <w:rStyle w:val="10"/>
          <w:rFonts w:hint="eastAsia" w:ascii="仿宋_GB2312" w:hAnsi="仿宋_GB2312" w:eastAsia="仿宋_GB2312" w:cs="仿宋_GB2312"/>
          <w:sz w:val="24"/>
          <w:szCs w:val="24"/>
        </w:rPr>
        <w:t>https://ecaitong.sinotruk.com:8012/</w:t>
      </w:r>
      <w:r>
        <w:rPr>
          <w:rStyle w:val="10"/>
          <w:rFonts w:ascii="仿宋_GB2312" w:hAnsi="仿宋_GB2312" w:eastAsia="仿宋_GB2312" w:cs="仿宋_GB2312"/>
          <w:sz w:val="24"/>
          <w:szCs w:val="24"/>
        </w:rPr>
        <w:fldChar w:fldCharType="end"/>
      </w:r>
      <w:r>
        <w:rPr>
          <w:rStyle w:val="10"/>
          <w:rFonts w:hint="eastAsia" w:ascii="仿宋_GB2312" w:hAnsi="仿宋_GB2312" w:eastAsia="仿宋_GB2312" w:cs="仿宋_GB2312"/>
          <w:sz w:val="24"/>
          <w:szCs w:val="24"/>
        </w:rPr>
        <w:t>（以下内容可能非最新版本，仅供参考，请登录系统网址后，点检查看最新版供应商手册）</w:t>
      </w:r>
    </w:p>
    <w:p w14:paraId="47050838">
      <w:pPr>
        <w:spacing w:line="360" w:lineRule="auto"/>
        <w:rPr>
          <w:rFonts w:hint="eastAsia" w:ascii="仿宋_GB2312" w:hAnsi="仿宋_GB2312" w:eastAsia="仿宋_GB2312" w:cs="仿宋_GB2312"/>
        </w:rPr>
      </w:pPr>
      <w:r>
        <mc:AlternateContent>
          <mc:Choice Requires="wps">
            <w:drawing>
              <wp:anchor distT="0" distB="0" distL="114300" distR="114300" simplePos="0" relativeHeight="25166233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 name="流程图: 过程 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2336;v-text-anchor:middle;mso-width-relative:page;mso-height-relative:page;" fillcolor="#FA3A14" filled="t" stroked="t" coordsize="21600,21600" o:gfxdata="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TPcKo2QAAAAsBAAAPAAAAAAAAAAEAIAAA&#10;ACIAAABkcnMvZG93bnJldi54bWxQSwECFAAUAAAACACHTuJAqh0bBbYCAABnBQAADgAAAAAAAAAB&#10;ACAAAAAoAQAAZHJzL2Uyb0RvYy54bWxQSwUGAAAAAAYABgBZAQAAUAYAAAAA&#10;">
                <v:fill on="t" opacity="24903f" focussize="0,0"/>
                <v:stroke weight="1pt" color="#2F528F" miterlimit="8" joinstyle="miter"/>
                <v:imagedata o:title=""/>
                <o:lock v:ext="edit" aspectratio="f"/>
              </v:shape>
            </w:pict>
          </mc:Fallback>
        </mc:AlternateContent>
      </w:r>
      <w:r>
        <w:rPr>
          <w:rFonts w:ascii="仿宋_GB2312" w:hAnsi="仿宋_GB2312" w:eastAsia="仿宋_GB2312" w:cs="仿宋_GB2312"/>
        </w:rPr>
        <w:drawing>
          <wp:inline distT="0" distB="0" distL="114300" distR="114300">
            <wp:extent cx="4066540" cy="4876165"/>
            <wp:effectExtent l="0" t="0" r="10160" b="63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4066540" cy="4876165"/>
                    </a:xfrm>
                    <a:prstGeom prst="rect">
                      <a:avLst/>
                    </a:prstGeom>
                    <a:noFill/>
                    <a:ln>
                      <a:noFill/>
                    </a:ln>
                  </pic:spPr>
                </pic:pic>
              </a:graphicData>
            </a:graphic>
          </wp:inline>
        </w:drawing>
      </w:r>
    </w:p>
    <w:p w14:paraId="5F5DB750">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用 户 名：gys+供应商代码（</w:t>
      </w:r>
      <w:r>
        <w:rPr>
          <w:rFonts w:hint="eastAsia" w:ascii="仿宋_GB2312" w:hAnsi="仿宋_GB2312" w:eastAsia="仿宋_GB2312" w:cs="仿宋_GB2312"/>
          <w:color w:val="FF0000"/>
          <w:sz w:val="24"/>
          <w:szCs w:val="24"/>
        </w:rPr>
        <w:t>注意：注册完毕后，用户名不要用手机号登录</w:t>
      </w:r>
      <w:r>
        <w:rPr>
          <w:rFonts w:hint="eastAsia" w:ascii="仿宋_GB2312" w:hAnsi="仿宋_GB2312" w:eastAsia="仿宋_GB2312" w:cs="仿宋_GB2312"/>
          <w:color w:val="000000"/>
          <w:sz w:val="24"/>
          <w:szCs w:val="24"/>
        </w:rPr>
        <w:t>）</w:t>
      </w:r>
    </w:p>
    <w:p w14:paraId="31338211">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初始密码：</w:t>
      </w:r>
      <w:r>
        <w:rPr>
          <w:rFonts w:hint="eastAsia" w:ascii="仿宋_GB2312" w:hAnsi="仿宋_GB2312" w:eastAsia="仿宋_GB2312" w:cs="仿宋_GB2312"/>
          <w:color w:val="000000"/>
          <w:sz w:val="24"/>
          <w:szCs w:val="24"/>
          <w:highlight w:val="yellow"/>
        </w:rPr>
        <w:t>scm@2022</w:t>
      </w:r>
    </w:p>
    <w:p w14:paraId="497C55BD">
      <w:pPr>
        <w:spacing w:line="360" w:lineRule="auto"/>
        <w:outlineLvl w:val="2"/>
        <w:rPr>
          <w:rFonts w:hint="eastAsia" w:ascii="仿宋_GB2312" w:hAnsi="仿宋_GB2312" w:eastAsia="仿宋_GB2312" w:cs="仿宋_GB2312"/>
          <w:b/>
          <w:bCs/>
          <w:color w:val="000000"/>
          <w:sz w:val="24"/>
          <w:szCs w:val="24"/>
        </w:rPr>
      </w:pPr>
      <w:bookmarkStart w:id="16" w:name="_Toc8718"/>
      <w:bookmarkStart w:id="17" w:name="_Toc3441"/>
      <w:bookmarkStart w:id="18" w:name="_Toc2672"/>
      <w:r>
        <w:rPr>
          <w:rFonts w:hint="eastAsia" w:ascii="仿宋_GB2312" w:hAnsi="仿宋_GB2312" w:eastAsia="仿宋_GB2312" w:cs="仿宋_GB2312"/>
          <w:b/>
          <w:bCs/>
          <w:color w:val="000000"/>
          <w:sz w:val="24"/>
          <w:szCs w:val="24"/>
        </w:rPr>
        <w:t>1.供应商应标</w:t>
      </w:r>
      <w:bookmarkEnd w:id="16"/>
      <w:bookmarkEnd w:id="17"/>
      <w:bookmarkEnd w:id="18"/>
    </w:p>
    <w:p w14:paraId="3ED91DD7">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路径：招投标中心-非生产类招投标-供应商应标</w:t>
      </w:r>
    </w:p>
    <w:p w14:paraId="3A75ECBE">
      <w:p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点击应标，上传文件之后点击提交。</w:t>
      </w:r>
    </w:p>
    <w:p w14:paraId="0F76F148">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0720" cy="2270760"/>
            <wp:effectExtent l="0" t="0" r="11430" b="15240"/>
            <wp:docPr id="5" name="图片 8"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descript"/>
                    <pic:cNvPicPr>
                      <a:picLocks noChangeAspect="1"/>
                    </pic:cNvPicPr>
                  </pic:nvPicPr>
                  <pic:blipFill>
                    <a:blip r:embed="rId13"/>
                    <a:stretch>
                      <a:fillRect/>
                    </a:stretch>
                  </pic:blipFill>
                  <pic:spPr>
                    <a:xfrm>
                      <a:off x="0" y="0"/>
                      <a:ext cx="5760720" cy="2270760"/>
                    </a:xfrm>
                    <a:prstGeom prst="rect">
                      <a:avLst/>
                    </a:prstGeom>
                    <a:noFill/>
                    <a:ln>
                      <a:noFill/>
                    </a:ln>
                  </pic:spPr>
                </pic:pic>
              </a:graphicData>
            </a:graphic>
          </wp:inline>
        </w:drawing>
      </w:r>
    </w:p>
    <w:p w14:paraId="7681089F">
      <w:pPr>
        <w:rPr>
          <w:rFonts w:hint="eastAsia" w:ascii="仿宋_GB2312" w:hAnsi="仿宋_GB2312" w:eastAsia="仿宋_GB2312" w:cs="仿宋_GB2312"/>
        </w:rPr>
      </w:pPr>
    </w:p>
    <w:p w14:paraId="5993FF99">
      <w:pPr>
        <w:spacing w:line="360" w:lineRule="auto"/>
        <w:outlineLvl w:val="2"/>
        <w:rPr>
          <w:rFonts w:hint="eastAsia" w:ascii="仿宋_GB2312" w:hAnsi="仿宋_GB2312" w:eastAsia="仿宋_GB2312" w:cs="仿宋_GB2312"/>
          <w:b/>
          <w:bCs/>
          <w:color w:val="000000"/>
          <w:sz w:val="24"/>
          <w:szCs w:val="24"/>
        </w:rPr>
      </w:pPr>
      <w:bookmarkStart w:id="19" w:name="_Toc21366"/>
      <w:bookmarkStart w:id="20" w:name="_Toc27304"/>
      <w:bookmarkStart w:id="21" w:name="_Toc21689"/>
      <w:r>
        <w:rPr>
          <w:rFonts w:hint="eastAsia" w:ascii="仿宋_GB2312" w:hAnsi="仿宋_GB2312" w:eastAsia="仿宋_GB2312" w:cs="仿宋_GB2312"/>
          <w:b/>
          <w:bCs/>
          <w:color w:val="000000"/>
          <w:sz w:val="24"/>
          <w:szCs w:val="24"/>
        </w:rPr>
        <w:t>2.供应商投标</w:t>
      </w:r>
      <w:bookmarkEnd w:id="19"/>
      <w:bookmarkEnd w:id="20"/>
      <w:bookmarkEnd w:id="21"/>
    </w:p>
    <w:p w14:paraId="7AEFA06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路径：招投标中心-非生产类招投标-供应商投标</w:t>
      </w:r>
    </w:p>
    <w:p w14:paraId="2CEA99A1">
      <w:pPr>
        <w:rPr>
          <w:rFonts w:hint="eastAsia" w:ascii="仿宋_GB2312" w:hAnsi="仿宋_GB2312" w:eastAsia="仿宋_GB2312" w:cs="仿宋_GB2312"/>
          <w:color w:val="000000"/>
        </w:rPr>
      </w:pPr>
      <w:r>
        <w:rPr>
          <w:rFonts w:ascii="仿宋_GB2312" w:hAnsi="仿宋_GB2312" w:eastAsia="仿宋_GB2312" w:cs="仿宋_GB2312"/>
          <w:color w:val="000000"/>
        </w:rPr>
        <w:drawing>
          <wp:inline distT="0" distB="0" distL="114300" distR="114300">
            <wp:extent cx="5760720" cy="2125980"/>
            <wp:effectExtent l="0" t="0" r="11430" b="7620"/>
            <wp:docPr id="2" name="图片 9"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descript"/>
                    <pic:cNvPicPr>
                      <a:picLocks noChangeAspect="1"/>
                    </pic:cNvPicPr>
                  </pic:nvPicPr>
                  <pic:blipFill>
                    <a:blip r:embed="rId14"/>
                    <a:stretch>
                      <a:fillRect/>
                    </a:stretch>
                  </pic:blipFill>
                  <pic:spPr>
                    <a:xfrm>
                      <a:off x="0" y="0"/>
                      <a:ext cx="5760720" cy="2125980"/>
                    </a:xfrm>
                    <a:prstGeom prst="rect">
                      <a:avLst/>
                    </a:prstGeom>
                    <a:noFill/>
                    <a:ln>
                      <a:noFill/>
                    </a:ln>
                  </pic:spPr>
                </pic:pic>
              </a:graphicData>
            </a:graphic>
          </wp:inline>
        </w:drawing>
      </w:r>
    </w:p>
    <w:p w14:paraId="1B7B1268">
      <w:pPr>
        <w:spacing w:line="360" w:lineRule="auto"/>
        <w:rPr>
          <w:rFonts w:hint="eastAsia" w:ascii="仿宋_GB2312" w:hAnsi="仿宋_GB2312" w:eastAsia="仿宋_GB2312" w:cs="仿宋_GB2312"/>
          <w:color w:val="000000"/>
          <w:sz w:val="24"/>
          <w:szCs w:val="28"/>
        </w:rPr>
      </w:pPr>
      <w:r>
        <w:rPr>
          <w:rFonts w:hint="eastAsia" w:ascii="仿宋_GB2312" w:hAnsi="仿宋_GB2312" w:eastAsia="仿宋_GB2312" w:cs="仿宋_GB2312"/>
          <w:color w:val="000000"/>
          <w:sz w:val="24"/>
          <w:szCs w:val="28"/>
        </w:rPr>
        <w:t>点击投标按钮，进入详情页，输入投标报价并上传相应的附件。</w:t>
      </w:r>
    </w:p>
    <w:p w14:paraId="1DE2EAAB">
      <w:pPr>
        <w:pStyle w:val="2"/>
        <w:rPr>
          <w:rFonts w:hint="eastAsia" w:ascii="仿宋_GB2312" w:hAnsi="仿宋_GB2312" w:eastAsia="仿宋_GB2312" w:cs="仿宋_GB2312"/>
        </w:rPr>
      </w:pPr>
      <w:r>
        <w:rPr>
          <w:rFonts w:hint="eastAsia" w:ascii="仿宋_GB2312" w:hAnsi="仿宋_GB2312" w:eastAsia="仿宋_GB2312" w:cs="仿宋_GB2312"/>
          <w:b/>
          <w:bCs/>
          <w:color w:val="000000"/>
          <w:sz w:val="24"/>
          <w:szCs w:val="28"/>
          <w:highlight w:val="yellow"/>
        </w:rPr>
        <w:t>注意：系统内的投标报价单位为“万元”，如开标现场发现填错报价，即直接淘汰。</w:t>
      </w:r>
    </w:p>
    <w:p w14:paraId="7EAEC618">
      <w:pPr>
        <w:spacing w:before="280" w:after="290" w:line="372" w:lineRule="auto"/>
        <w:ind w:left="425" w:hanging="425"/>
        <w:rPr>
          <w:rFonts w:hint="eastAsia" w:ascii="仿宋_GB2312" w:hAnsi="仿宋_GB2312" w:eastAsia="仿宋_GB2312" w:cs="仿宋_GB2312"/>
          <w:color w:val="000000"/>
          <w:sz w:val="28"/>
        </w:rPr>
      </w:pPr>
      <w:r>
        <w:rPr>
          <w:rFonts w:ascii="仿宋_GB2312" w:hAnsi="仿宋_GB2312" w:eastAsia="仿宋_GB2312" w:cs="仿宋_GB2312"/>
          <w:color w:val="000000"/>
          <w:sz w:val="28"/>
        </w:rPr>
        <w:drawing>
          <wp:inline distT="0" distB="0" distL="114300" distR="114300">
            <wp:extent cx="5490210" cy="2669540"/>
            <wp:effectExtent l="0" t="0" r="15240" b="16510"/>
            <wp:docPr id="6" name="图片 10"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descript"/>
                    <pic:cNvPicPr>
                      <a:picLocks noChangeAspect="1"/>
                    </pic:cNvPicPr>
                  </pic:nvPicPr>
                  <pic:blipFill>
                    <a:blip r:embed="rId15"/>
                    <a:stretch>
                      <a:fillRect/>
                    </a:stretch>
                  </pic:blipFill>
                  <pic:spPr>
                    <a:xfrm>
                      <a:off x="0" y="0"/>
                      <a:ext cx="5490210" cy="2669540"/>
                    </a:xfrm>
                    <a:prstGeom prst="rect">
                      <a:avLst/>
                    </a:prstGeom>
                    <a:noFill/>
                    <a:ln>
                      <a:noFill/>
                    </a:ln>
                  </pic:spPr>
                </pic:pic>
              </a:graphicData>
            </a:graphic>
          </wp:inline>
        </w:drawing>
      </w:r>
    </w:p>
    <w:p w14:paraId="1B71D0F1">
      <w:pPr>
        <w:spacing w:line="360" w:lineRule="auto"/>
        <w:outlineLvl w:val="2"/>
        <w:rPr>
          <w:rFonts w:hint="eastAsia" w:ascii="仿宋_GB2312" w:hAnsi="仿宋_GB2312" w:eastAsia="仿宋_GB2312" w:cs="仿宋_GB2312"/>
          <w:b/>
          <w:bCs/>
          <w:color w:val="000000"/>
          <w:sz w:val="24"/>
          <w:szCs w:val="24"/>
        </w:rPr>
      </w:pPr>
      <w:bookmarkStart w:id="22" w:name="_Toc14408"/>
      <w:bookmarkStart w:id="23" w:name="_Toc27334"/>
      <w:bookmarkStart w:id="24" w:name="_Toc24733"/>
      <w:r>
        <w:rPr>
          <w:rFonts w:hint="eastAsia" w:ascii="仿宋_GB2312" w:hAnsi="仿宋_GB2312" w:eastAsia="仿宋_GB2312" w:cs="仿宋_GB2312"/>
          <w:b/>
          <w:bCs/>
          <w:color w:val="000000"/>
          <w:sz w:val="24"/>
          <w:szCs w:val="24"/>
        </w:rPr>
        <w:t>3.供应商技术标澄清函</w:t>
      </w:r>
      <w:bookmarkEnd w:id="22"/>
      <w:bookmarkEnd w:id="23"/>
      <w:bookmarkEnd w:id="24"/>
    </w:p>
    <w:p w14:paraId="5D7CE63C">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路径：招投标中心-非生产类招投标-供应商技术标澄清函</w:t>
      </w:r>
    </w:p>
    <w:p w14:paraId="127FC4DB">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点击编辑按钮进入系统，编辑技术标澄清函最后填写授权代表姓名及电话。</w:t>
      </w:r>
    </w:p>
    <w:p w14:paraId="678AE0FA">
      <w:pPr>
        <w:spacing w:line="360" w:lineRule="auto"/>
        <w:rPr>
          <w:rFonts w:hint="eastAsia" w:ascii="仿宋_GB2312" w:hAnsi="仿宋_GB2312" w:eastAsia="仿宋_GB2312" w:cs="仿宋_GB2312"/>
          <w:color w:val="000000"/>
          <w:sz w:val="28"/>
        </w:rPr>
      </w:pPr>
      <w:r>
        <w:rPr>
          <w:rFonts w:hint="eastAsia" w:ascii="仿宋_GB2312" w:hAnsi="仿宋_GB2312" w:eastAsia="仿宋_GB2312" w:cs="仿宋_GB2312"/>
          <w:color w:val="000000"/>
          <w:sz w:val="24"/>
          <w:szCs w:val="24"/>
        </w:rPr>
        <w:t>开标之后所有投标的供应商都可编辑提交，技术标入围之后 都不可编辑</w:t>
      </w:r>
      <w:r>
        <w:rPr>
          <w:rFonts w:ascii="仿宋_GB2312" w:hAnsi="仿宋_GB2312" w:eastAsia="仿宋_GB2312" w:cs="仿宋_GB2312"/>
          <w:color w:val="000000"/>
          <w:sz w:val="28"/>
        </w:rPr>
        <w:drawing>
          <wp:inline distT="0" distB="0" distL="114300" distR="114300">
            <wp:extent cx="5490845" cy="1992630"/>
            <wp:effectExtent l="0" t="0" r="14605" b="7620"/>
            <wp:docPr id="9" name="图片 1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descript"/>
                    <pic:cNvPicPr>
                      <a:picLocks noChangeAspect="1"/>
                    </pic:cNvPicPr>
                  </pic:nvPicPr>
                  <pic:blipFill>
                    <a:blip r:embed="rId16"/>
                    <a:stretch>
                      <a:fillRect/>
                    </a:stretch>
                  </pic:blipFill>
                  <pic:spPr>
                    <a:xfrm>
                      <a:off x="0" y="0"/>
                      <a:ext cx="5490845" cy="1992630"/>
                    </a:xfrm>
                    <a:prstGeom prst="rect">
                      <a:avLst/>
                    </a:prstGeom>
                    <a:noFill/>
                    <a:ln>
                      <a:noFill/>
                    </a:ln>
                  </pic:spPr>
                </pic:pic>
              </a:graphicData>
            </a:graphic>
          </wp:inline>
        </w:drawing>
      </w:r>
    </w:p>
    <w:p w14:paraId="212D4C73">
      <w:pPr>
        <w:spacing w:line="360" w:lineRule="auto"/>
        <w:outlineLvl w:val="2"/>
        <w:rPr>
          <w:rFonts w:hint="eastAsia" w:ascii="仿宋_GB2312" w:hAnsi="仿宋_GB2312" w:eastAsia="仿宋_GB2312" w:cs="仿宋_GB2312"/>
          <w:b/>
          <w:bCs/>
          <w:color w:val="000000"/>
          <w:sz w:val="24"/>
          <w:szCs w:val="24"/>
        </w:rPr>
      </w:pPr>
      <w:bookmarkStart w:id="25" w:name="_Toc24161"/>
      <w:bookmarkStart w:id="26" w:name="_Toc2163"/>
      <w:bookmarkStart w:id="27" w:name="_Toc4672"/>
      <w:r>
        <w:rPr>
          <w:rFonts w:hint="eastAsia" w:ascii="仿宋_GB2312" w:hAnsi="仿宋_GB2312" w:eastAsia="仿宋_GB2312" w:cs="仿宋_GB2312"/>
          <w:b/>
          <w:bCs/>
          <w:color w:val="000000"/>
          <w:sz w:val="24"/>
          <w:szCs w:val="24"/>
        </w:rPr>
        <w:t>4.供应商报价</w:t>
      </w:r>
      <w:bookmarkEnd w:id="25"/>
      <w:bookmarkEnd w:id="26"/>
      <w:bookmarkEnd w:id="27"/>
    </w:p>
    <w:p w14:paraId="3E7A1479">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路径：招投标中心-非生产类招投标-供应商报价</w:t>
      </w:r>
    </w:p>
    <w:p w14:paraId="07C7489F">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点击报价按钮进入报价详情界面，请在此轮报价起止时间内报价，否则无法报价。</w:t>
      </w:r>
    </w:p>
    <w:p w14:paraId="3031C933">
      <w:pPr>
        <w:spacing w:line="360" w:lineRule="auto"/>
        <w:outlineLvl w:val="2"/>
        <w:rPr>
          <w:rFonts w:hint="eastAsia" w:ascii="仿宋_GB2312" w:hAnsi="仿宋_GB2312" w:eastAsia="仿宋_GB2312" w:cs="仿宋_GB2312"/>
          <w:b/>
          <w:bCs/>
          <w:color w:val="000000"/>
          <w:sz w:val="24"/>
          <w:szCs w:val="24"/>
        </w:rPr>
      </w:pPr>
      <w:bookmarkStart w:id="28" w:name="_Toc7227"/>
      <w:bookmarkStart w:id="29" w:name="_Toc25209"/>
      <w:bookmarkStart w:id="30" w:name="_Toc21183"/>
      <w:r>
        <w:rPr>
          <w:rFonts w:hint="eastAsia" w:ascii="仿宋_GB2312" w:hAnsi="仿宋_GB2312" w:eastAsia="仿宋_GB2312" w:cs="仿宋_GB2312"/>
          <w:b/>
          <w:bCs/>
          <w:color w:val="000000"/>
          <w:sz w:val="24"/>
          <w:szCs w:val="24"/>
        </w:rPr>
        <w:t>5.供应商澄清报价</w:t>
      </w:r>
      <w:bookmarkEnd w:id="28"/>
      <w:bookmarkEnd w:id="29"/>
      <w:bookmarkEnd w:id="30"/>
    </w:p>
    <w:p w14:paraId="6D2E5D3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路径：招投标中心-非生产类招投标-供应商澄清报价</w:t>
      </w:r>
    </w:p>
    <w:p w14:paraId="5116EBA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招标发起人接收建议价的同时会给供应商发送澄清报价，供应商在此界面进行澄清报价，点击编辑按钮进入澄清报价详细界面，输入价格并填写商务澄清内容（最后填写授权代表姓名、电话），之后点击提交。</w:t>
      </w:r>
    </w:p>
    <w:p w14:paraId="1D3166B6">
      <w:pPr>
        <w:spacing w:before="280" w:after="290" w:line="372" w:lineRule="auto"/>
        <w:ind w:left="425" w:hanging="425"/>
        <w:rPr>
          <w:rFonts w:hint="eastAsia" w:ascii="仿宋_GB2312" w:hAnsi="仿宋_GB2312" w:eastAsia="仿宋_GB2312" w:cs="仿宋_GB2312"/>
          <w:color w:val="000000"/>
          <w:sz w:val="28"/>
        </w:rPr>
      </w:pPr>
      <w:r>
        <w:rPr>
          <w:rFonts w:ascii="仿宋_GB2312" w:hAnsi="仿宋_GB2312" w:eastAsia="仿宋_GB2312" w:cs="仿宋_GB2312"/>
          <w:color w:val="000000"/>
          <w:sz w:val="28"/>
        </w:rPr>
        <w:drawing>
          <wp:inline distT="0" distB="0" distL="114300" distR="114300">
            <wp:extent cx="5490845" cy="2544445"/>
            <wp:effectExtent l="0" t="0" r="14605" b="8255"/>
            <wp:docPr id="3" name="图片 1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descript"/>
                    <pic:cNvPicPr>
                      <a:picLocks noChangeAspect="1"/>
                    </pic:cNvPicPr>
                  </pic:nvPicPr>
                  <pic:blipFill>
                    <a:blip r:embed="rId17"/>
                    <a:stretch>
                      <a:fillRect/>
                    </a:stretch>
                  </pic:blipFill>
                  <pic:spPr>
                    <a:xfrm>
                      <a:off x="0" y="0"/>
                      <a:ext cx="5490845" cy="2544445"/>
                    </a:xfrm>
                    <a:prstGeom prst="rect">
                      <a:avLst/>
                    </a:prstGeom>
                    <a:noFill/>
                    <a:ln>
                      <a:noFill/>
                    </a:ln>
                  </pic:spPr>
                </pic:pic>
              </a:graphicData>
            </a:graphic>
          </wp:inline>
        </w:drawing>
      </w:r>
    </w:p>
    <w:p w14:paraId="462702D9">
      <w:pPr>
        <w:spacing w:line="360" w:lineRule="auto"/>
        <w:outlineLvl w:val="2"/>
        <w:rPr>
          <w:rFonts w:hint="eastAsia" w:ascii="仿宋_GB2312" w:hAnsi="仿宋_GB2312" w:eastAsia="仿宋_GB2312" w:cs="仿宋_GB2312"/>
          <w:b/>
          <w:bCs/>
          <w:color w:val="000000"/>
          <w:sz w:val="24"/>
          <w:szCs w:val="24"/>
        </w:rPr>
      </w:pPr>
      <w:bookmarkStart w:id="31" w:name="_Toc30950"/>
      <w:bookmarkStart w:id="32" w:name="_Toc21540"/>
      <w:bookmarkStart w:id="33" w:name="_Toc4981"/>
      <w:r>
        <w:rPr>
          <w:rFonts w:hint="eastAsia" w:ascii="仿宋_GB2312" w:hAnsi="仿宋_GB2312" w:eastAsia="仿宋_GB2312" w:cs="仿宋_GB2312"/>
          <w:b/>
          <w:bCs/>
          <w:color w:val="000000"/>
          <w:sz w:val="24"/>
          <w:szCs w:val="24"/>
        </w:rPr>
        <w:t>6.供应商查看中标通知</w:t>
      </w:r>
      <w:bookmarkEnd w:id="31"/>
      <w:bookmarkEnd w:id="32"/>
      <w:bookmarkEnd w:id="33"/>
    </w:p>
    <w:p w14:paraId="16055B3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路径：招投标中心-非生产类招投标-中标项目</w:t>
      </w:r>
    </w:p>
    <w:p w14:paraId="4E1FEAF4">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点击查看进入查看中标项目详情</w:t>
      </w:r>
    </w:p>
    <w:p w14:paraId="2532011C">
      <w:pPr>
        <w:rPr>
          <w:rFonts w:hint="eastAsia" w:ascii="仿宋_GB2312" w:hAnsi="仿宋_GB2312" w:eastAsia="仿宋_GB2312" w:cs="仿宋_GB2312"/>
        </w:rPr>
      </w:pPr>
      <w:r>
        <w:rPr>
          <w:rFonts w:ascii="仿宋_GB2312" w:hAnsi="仿宋_GB2312" w:eastAsia="仿宋_GB2312" w:cs="仿宋_GB2312"/>
        </w:rPr>
        <w:drawing>
          <wp:inline distT="0" distB="0" distL="114300" distR="114300">
            <wp:extent cx="5761355" cy="1957070"/>
            <wp:effectExtent l="0" t="0" r="10795" b="5080"/>
            <wp:docPr id="4" name="图片 1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descript"/>
                    <pic:cNvPicPr>
                      <a:picLocks noChangeAspect="1"/>
                    </pic:cNvPicPr>
                  </pic:nvPicPr>
                  <pic:blipFill>
                    <a:blip r:embed="rId18"/>
                    <a:stretch>
                      <a:fillRect/>
                    </a:stretch>
                  </pic:blipFill>
                  <pic:spPr>
                    <a:xfrm>
                      <a:off x="0" y="0"/>
                      <a:ext cx="5761355" cy="1957070"/>
                    </a:xfrm>
                    <a:prstGeom prst="rect">
                      <a:avLst/>
                    </a:prstGeom>
                    <a:noFill/>
                    <a:ln>
                      <a:noFill/>
                    </a:ln>
                  </pic:spPr>
                </pic:pic>
              </a:graphicData>
            </a:graphic>
          </wp:inline>
        </w:drawing>
      </w:r>
    </w:p>
    <w:p w14:paraId="2EA488CF">
      <w:pPr>
        <w:rPr>
          <w:rFonts w:hint="eastAsia" w:ascii="仿宋_GB2312" w:hAnsi="仿宋_GB2312" w:eastAsia="仿宋_GB2312" w:cs="仿宋_GB2312"/>
        </w:rPr>
      </w:pPr>
    </w:p>
    <w:p w14:paraId="0B0EBDD6">
      <w:pPr>
        <w:rPr>
          <w:rFonts w:hint="eastAsia" w:ascii="仿宋_GB2312" w:hAnsi="仿宋_GB2312" w:eastAsia="仿宋_GB2312" w:cs="仿宋_GB2312"/>
        </w:rPr>
      </w:pPr>
    </w:p>
    <w:p w14:paraId="2EBF01CC">
      <w:pPr>
        <w:rPr>
          <w:rFonts w:hint="eastAsia" w:ascii="仿宋_GB2312" w:hAnsi="仿宋_GB2312" w:eastAsia="仿宋_GB2312" w:cs="仿宋_GB2312"/>
        </w:rPr>
      </w:pPr>
    </w:p>
    <w:p w14:paraId="67C57C25">
      <w:pPr>
        <w:pStyle w:val="2"/>
        <w:spacing w:line="360" w:lineRule="auto"/>
        <w:ind w:firstLine="420" w:firstLineChars="200"/>
        <w:rPr>
          <w:rFonts w:hint="eastAsia" w:hAnsi="宋体"/>
        </w:rPr>
      </w:pPr>
    </w:p>
    <w:p w14:paraId="3BC5F0CB">
      <w:pPr>
        <w:pStyle w:val="2"/>
        <w:spacing w:line="360" w:lineRule="auto"/>
        <w:ind w:firstLine="420" w:firstLineChars="200"/>
        <w:rPr>
          <w:rFonts w:hint="eastAsia" w:hAnsi="宋体"/>
        </w:rPr>
      </w:pPr>
    </w:p>
    <w:p w14:paraId="7328F7EE">
      <w:pPr>
        <w:pStyle w:val="2"/>
        <w:spacing w:line="360" w:lineRule="auto"/>
        <w:ind w:firstLine="420" w:firstLineChars="200"/>
        <w:rPr>
          <w:rFonts w:hint="eastAsia" w:hAnsi="宋体"/>
        </w:rPr>
      </w:pPr>
    </w:p>
    <w:p w14:paraId="26B07358">
      <w:pPr>
        <w:pStyle w:val="2"/>
        <w:spacing w:line="360" w:lineRule="auto"/>
        <w:ind w:firstLine="420" w:firstLineChars="200"/>
        <w:rPr>
          <w:rFonts w:hint="eastAsia" w:hAnsi="宋体"/>
        </w:rPr>
      </w:pPr>
    </w:p>
    <w:p w14:paraId="0E2B8CF5">
      <w:pPr>
        <w:pStyle w:val="2"/>
        <w:spacing w:line="360" w:lineRule="auto"/>
        <w:ind w:firstLine="420" w:firstLineChars="200"/>
        <w:rPr>
          <w:rFonts w:hAnsi="宋体"/>
        </w:rPr>
      </w:pPr>
    </w:p>
    <w:p w14:paraId="4A8CCD4D">
      <w:pPr>
        <w:pStyle w:val="2"/>
        <w:spacing w:line="360" w:lineRule="auto"/>
        <w:ind w:firstLine="420" w:firstLineChars="200"/>
        <w:rPr>
          <w:rFonts w:hAnsi="宋体"/>
        </w:rPr>
      </w:pPr>
    </w:p>
    <w:p w14:paraId="2A1AADE8">
      <w:pPr>
        <w:pStyle w:val="2"/>
        <w:spacing w:line="360" w:lineRule="auto"/>
        <w:ind w:firstLine="420" w:firstLineChars="200"/>
        <w:rPr>
          <w:rFonts w:hAnsi="宋体"/>
        </w:rPr>
      </w:pPr>
    </w:p>
    <w:p w14:paraId="0B880688">
      <w:pPr>
        <w:pStyle w:val="2"/>
        <w:spacing w:line="360" w:lineRule="auto"/>
        <w:ind w:firstLine="420" w:firstLineChars="200"/>
        <w:rPr>
          <w:rFonts w:hAnsi="宋体"/>
        </w:rPr>
      </w:pPr>
    </w:p>
    <w:p w14:paraId="649A6B9B">
      <w:pPr>
        <w:pStyle w:val="2"/>
        <w:spacing w:line="360" w:lineRule="auto"/>
        <w:ind w:firstLine="420" w:firstLineChars="200"/>
        <w:rPr>
          <w:rFonts w:hAnsi="宋体"/>
        </w:rPr>
      </w:pPr>
    </w:p>
    <w:p w14:paraId="436669CB">
      <w:pPr>
        <w:rPr>
          <w:rFonts w:hint="eastAsia" w:ascii="黑体" w:eastAsia="黑体"/>
          <w:b/>
          <w:bCs/>
          <w:sz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5F243">
    <w:pPr>
      <w:pStyle w:val="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BD882">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468BD882">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2889250</wp:posOffset>
              </wp:positionH>
              <wp:positionV relativeFrom="paragraph">
                <wp:posOffset>478790</wp:posOffset>
              </wp:positionV>
              <wp:extent cx="0" cy="280035"/>
              <wp:effectExtent l="5080" t="0" r="13970" b="5715"/>
              <wp:wrapNone/>
              <wp:docPr id="11" name="直接箭头连接符 11"/>
              <wp:cNvGraphicFramePr/>
              <a:graphic xmlns:a="http://schemas.openxmlformats.org/drawingml/2006/main">
                <a:graphicData uri="http://schemas.microsoft.com/office/word/2010/wordprocessingShape">
                  <wps:wsp>
                    <wps:cNvCnPr/>
                    <wps:spPr>
                      <a:xfrm flipV="1">
                        <a:off x="3789680" y="10409555"/>
                        <a:ext cx="0" cy="280035"/>
                      </a:xfrm>
                      <a:prstGeom prst="straightConnector1">
                        <a:avLst/>
                      </a:prstGeom>
                      <a:ln w="9525" cap="flat" cmpd="sng">
                        <a:solidFill>
                          <a:srgbClr val="7F7F7F"/>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27.5pt;margin-top:37.7pt;height:22.05pt;width:0pt;z-index:251664384;mso-width-relative:page;mso-height-relative:page;" filled="f" stroked="t" coordsize="21600,21600" o:gfxdata="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z1apNkAAAAKAQAADwAA&#10;AAAAAAABACAAAAAiAAAAZHJzL2Rvd25yZXYueG1sUEsBAhQAFAAAAAgAh07iQFD2HAgVAgAABAQA&#10;AA4AAAAAAAAAAQAgAAAAKAEAAGRycy9lMm9Eb2MueG1sUEsFBgAAAAAGAAYAWQEAAK8FAAAAAA==&#10;">
              <v:fill on="f" focussize="0,0"/>
              <v:stroke color="#7F7F7F" joinstyle="round"/>
              <v:imagedata o:title=""/>
              <o:lock v:ext="edit" aspectratio="f"/>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5BCF">
    <w:pPr>
      <w:pStyle w:val="4"/>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276DAC">
                          <w:pPr>
                            <w:pStyle w:val="4"/>
                            <w:rPr>
                              <w:rFonts w:hint="eastAsia"/>
                            </w:rPr>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34276DAC">
                    <w:pPr>
                      <w:pStyle w:val="4"/>
                      <w:rPr>
                        <w:rFonts w:hint="eastAsia"/>
                      </w:rPr>
                    </w:pPr>
                    <w:r>
                      <w:fldChar w:fldCharType="begin"/>
                    </w:r>
                    <w:r>
                      <w:instrText xml:space="preserve"> PAGE  \* MERGEFORMAT </w:instrText>
                    </w:r>
                    <w:r>
                      <w:fldChar w:fldCharType="separate"/>
                    </w:r>
                    <w:r>
                      <w:t>68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7CF84"/>
    <w:multiLevelType w:val="singleLevel"/>
    <w:tmpl w:val="9E77CF84"/>
    <w:lvl w:ilvl="0" w:tentative="0">
      <w:start w:val="3"/>
      <w:numFmt w:val="decimal"/>
      <w:lvlText w:val="%1."/>
      <w:lvlJc w:val="left"/>
      <w:pPr>
        <w:tabs>
          <w:tab w:val="left" w:pos="312"/>
        </w:tabs>
      </w:pPr>
    </w:lvl>
  </w:abstractNum>
  <w:abstractNum w:abstractNumId="1">
    <w:nsid w:val="0CBE7691"/>
    <w:multiLevelType w:val="multilevel"/>
    <w:tmpl w:val="0CBE7691"/>
    <w:lvl w:ilvl="0" w:tentative="0">
      <w:start w:val="2"/>
      <w:numFmt w:val="decimalEnclosedCircle"/>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2B796FCE"/>
    <w:multiLevelType w:val="multilevel"/>
    <w:tmpl w:val="2B796FCE"/>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284421"/>
    <w:rsid w:val="107734BE"/>
    <w:rsid w:val="235D1B78"/>
    <w:rsid w:val="397D504F"/>
    <w:rsid w:val="3D284421"/>
    <w:rsid w:val="4ED931F5"/>
    <w:rsid w:val="6F9402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qForma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paragraph" w:styleId="3">
    <w:name w:val="Balloon Text"/>
    <w:basedOn w:val="1"/>
    <w:qFormat/>
    <w:uiPriority w:val="99"/>
    <w:rPr>
      <w:sz w:val="18"/>
      <w:szCs w:val="18"/>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7">
    <w:name w:val="Normal (Web)"/>
    <w:basedOn w:val="1"/>
    <w:unhideWhenUsed/>
    <w:qFormat/>
    <w:uiPriority w:val="99"/>
    <w:pPr>
      <w:widowControl/>
      <w:spacing w:before="75" w:after="75"/>
      <w:jc w:val="left"/>
    </w:pPr>
    <w:rPr>
      <w:rFonts w:ascii="宋体" w:hAnsi="宋体" w:cs="宋体"/>
      <w:kern w:val="0"/>
      <w:sz w:val="24"/>
      <w:szCs w:val="24"/>
    </w:rPr>
  </w:style>
  <w:style w:type="character" w:styleId="10">
    <w:name w:val="Hyperlink"/>
    <w:semiHidden/>
    <w:qFormat/>
    <w:uiPriority w:val="99"/>
    <w:rPr>
      <w:rFonts w:cs="Times New Roman"/>
      <w:color w:val="1F4F88"/>
      <w:u w:val="none"/>
    </w:rPr>
  </w:style>
  <w:style w:type="paragraph" w:customStyle="1" w:styleId="11">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8334</Words>
  <Characters>8656</Characters>
  <Lines>0</Lines>
  <Paragraphs>0</Paragraphs>
  <TotalTime>25</TotalTime>
  <ScaleCrop>false</ScaleCrop>
  <LinksUpToDate>false</LinksUpToDate>
  <CharactersWithSpaces>9158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2025-08-01T07:21:00Z</dcterms:created>
  <dc:creator>逐鹿</dc:creator>
  <cp:lastModifiedBy>逐鹿</cp:lastModifiedBy>
  <dcterms:modified xsi:type="dcterms:W3CDTF">2025-08-21T09:50:05Z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0311D2EDCA4142999FE8A0816F910248_11</vt:lpwstr>
  </property>
  <property fmtid="{D5CDD505-2E9C-101B-9397-08002B2CF9AE}" pid="4" name="KSOTemplateDocerSaveRecord">
    <vt:lpwstr>eyJoZGlkIjoiNTQ2OTRhMjA4MDg0MWYwNjNkYjkzZTUyOWU2NWNkOTkiLCJ1c2VySWQiOiIxMDM2OTc4Nzk0In0=</vt:lpwstr>
  </property>
</Properties>
</file>