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ind w:firstLine="480" w:firstLineChars="200"/>
        <w:rPr>
          <w:sz w:val="24"/>
        </w:rPr>
      </w:pPr>
    </w:p>
    <w:p>
      <w:pPr>
        <w:pStyle w:val="45"/>
        <w:spacing w:line="900" w:lineRule="exact"/>
        <w:rPr>
          <w:rStyle w:val="43"/>
          <w:rFonts w:ascii="宋体" w:hAnsi="宋体" w:cs="仿宋"/>
          <w:b/>
          <w:bCs/>
          <w:sz w:val="52"/>
          <w:szCs w:val="36"/>
        </w:rPr>
      </w:pPr>
      <w:r>
        <w:rPr>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pPr>
        <w:pStyle w:val="45"/>
        <w:spacing w:line="900" w:lineRule="exact"/>
        <w:jc w:val="center"/>
        <w:rPr>
          <w:rStyle w:val="43"/>
          <w:rFonts w:ascii="宋体" w:hAnsi="宋体" w:cs="仿宋"/>
          <w:b/>
          <w:bCs/>
          <w:sz w:val="52"/>
          <w:szCs w:val="36"/>
        </w:rPr>
      </w:pPr>
    </w:p>
    <w:p>
      <w:pPr>
        <w:pStyle w:val="45"/>
        <w:jc w:val="center"/>
        <w:rPr>
          <w:rStyle w:val="43"/>
          <w:rFonts w:hint="eastAsia" w:ascii="宋体" w:hAnsi="宋体" w:cs="仿宋"/>
          <w:b/>
          <w:bCs/>
          <w:sz w:val="48"/>
          <w:szCs w:val="48"/>
        </w:rPr>
      </w:pPr>
      <w:r>
        <w:rPr>
          <w:rStyle w:val="43"/>
          <w:rFonts w:hint="eastAsia" w:ascii="宋体" w:hAnsi="宋体" w:cs="仿宋"/>
          <w:b/>
          <w:bCs/>
          <w:sz w:val="48"/>
          <w:szCs w:val="48"/>
        </w:rPr>
        <w:t>中国重汽集团</w:t>
      </w:r>
    </w:p>
    <w:p>
      <w:pPr>
        <w:pStyle w:val="45"/>
        <w:jc w:val="center"/>
        <w:rPr>
          <w:rStyle w:val="43"/>
          <w:rFonts w:hint="default" w:ascii="宋体" w:hAnsi="宋体" w:eastAsia="宋体" w:cs="仿宋"/>
          <w:b/>
          <w:bCs/>
          <w:sz w:val="48"/>
          <w:szCs w:val="48"/>
          <w:lang w:val="en-US" w:eastAsia="zh-CN"/>
        </w:rPr>
      </w:pPr>
      <w:r>
        <w:rPr>
          <w:rStyle w:val="43"/>
          <w:rFonts w:hint="eastAsia" w:ascii="宋体" w:hAnsi="宋体" w:eastAsia="宋体" w:cs="仿宋"/>
          <w:b/>
          <w:bCs/>
          <w:sz w:val="48"/>
          <w:szCs w:val="48"/>
          <w:lang w:eastAsia="zh-CN"/>
        </w:rPr>
        <w:t>济南</w:t>
      </w:r>
      <w:r>
        <w:rPr>
          <w:rStyle w:val="43"/>
          <w:rFonts w:hint="eastAsia" w:ascii="宋体" w:hAnsi="宋体" w:cs="仿宋"/>
          <w:b/>
          <w:bCs/>
          <w:sz w:val="48"/>
          <w:szCs w:val="48"/>
          <w:lang w:val="en-US" w:eastAsia="zh-CN"/>
        </w:rPr>
        <w:t>汽车部件</w:t>
      </w:r>
      <w:r>
        <w:rPr>
          <w:rStyle w:val="43"/>
          <w:rFonts w:hint="eastAsia" w:ascii="宋体" w:hAnsi="宋体" w:eastAsia="宋体" w:cs="仿宋"/>
          <w:b/>
          <w:bCs/>
          <w:sz w:val="48"/>
          <w:szCs w:val="48"/>
          <w:lang w:eastAsia="zh-CN"/>
        </w:rPr>
        <w:t>公司</w:t>
      </w:r>
      <w:r>
        <w:rPr>
          <w:rStyle w:val="43"/>
          <w:rFonts w:hint="eastAsia" w:ascii="宋体" w:hAnsi="宋体" w:eastAsia="宋体" w:cs="仿宋"/>
          <w:b/>
          <w:bCs/>
          <w:sz w:val="48"/>
          <w:szCs w:val="48"/>
          <w:lang w:val="en-US" w:eastAsia="zh-CN"/>
        </w:rPr>
        <w:t>甲</w:t>
      </w:r>
      <w:r>
        <w:rPr>
          <w:rStyle w:val="43"/>
          <w:rFonts w:hint="eastAsia" w:ascii="宋体" w:hAnsi="宋体" w:cs="仿宋"/>
          <w:b/>
          <w:bCs/>
          <w:sz w:val="48"/>
          <w:szCs w:val="48"/>
          <w:lang w:val="en-US" w:eastAsia="zh-CN"/>
        </w:rPr>
        <w:t>、</w:t>
      </w:r>
      <w:r>
        <w:rPr>
          <w:rStyle w:val="43"/>
          <w:rFonts w:hint="eastAsia" w:ascii="宋体" w:hAnsi="宋体" w:eastAsia="宋体" w:cs="仿宋"/>
          <w:b/>
          <w:bCs/>
          <w:sz w:val="48"/>
          <w:szCs w:val="48"/>
          <w:lang w:val="en-US" w:eastAsia="zh-CN"/>
        </w:rPr>
        <w:t>乙醇</w:t>
      </w:r>
      <w:r>
        <w:rPr>
          <w:rStyle w:val="43"/>
          <w:rFonts w:hint="eastAsia" w:ascii="宋体" w:hAnsi="宋体" w:cs="仿宋"/>
          <w:b/>
          <w:bCs/>
          <w:sz w:val="48"/>
          <w:szCs w:val="48"/>
          <w:lang w:val="en-US" w:eastAsia="zh-CN"/>
        </w:rPr>
        <w:t>混合</w:t>
      </w:r>
      <w:r>
        <w:rPr>
          <w:rStyle w:val="43"/>
          <w:rFonts w:hint="eastAsia" w:ascii="宋体" w:hAnsi="宋体" w:eastAsia="宋体" w:cs="仿宋"/>
          <w:b/>
          <w:bCs/>
          <w:sz w:val="48"/>
          <w:szCs w:val="48"/>
          <w:lang w:val="en-US" w:eastAsia="zh-CN"/>
        </w:rPr>
        <w:t>罐迁移改造项目</w:t>
      </w:r>
    </w:p>
    <w:p>
      <w:pPr>
        <w:pStyle w:val="45"/>
        <w:rPr>
          <w:rStyle w:val="43"/>
          <w:rFonts w:ascii="宋体" w:hAnsi="宋体"/>
          <w:b/>
          <w:sz w:val="18"/>
          <w:szCs w:val="18"/>
        </w:rPr>
      </w:pPr>
    </w:p>
    <w:p>
      <w:pPr>
        <w:pStyle w:val="45"/>
        <w:jc w:val="center"/>
        <w:rPr>
          <w:rStyle w:val="43"/>
          <w:rFonts w:ascii="宋体" w:hAnsi="宋体"/>
          <w:b/>
          <w:sz w:val="84"/>
          <w:szCs w:val="84"/>
        </w:rPr>
      </w:pPr>
      <w:r>
        <w:rPr>
          <w:rStyle w:val="43"/>
          <w:rFonts w:ascii="宋体" w:hAnsi="宋体"/>
          <w:b/>
          <w:sz w:val="84"/>
          <w:szCs w:val="84"/>
        </w:rPr>
        <w:t>招 标 文 件</w:t>
      </w:r>
    </w:p>
    <w:p>
      <w:pPr>
        <w:pStyle w:val="45"/>
        <w:jc w:val="center"/>
        <w:rPr>
          <w:rStyle w:val="43"/>
          <w:rFonts w:ascii="宋体" w:hAnsi="宋体"/>
          <w:b/>
          <w:sz w:val="32"/>
          <w:szCs w:val="32"/>
        </w:rPr>
      </w:pPr>
    </w:p>
    <w:p>
      <w:pPr>
        <w:snapToGrid w:val="0"/>
        <w:spacing w:line="300" w:lineRule="auto"/>
        <w:jc w:val="center"/>
        <w:rPr>
          <w:rStyle w:val="43"/>
          <w:rFonts w:hint="eastAsia" w:ascii="宋体" w:hAnsi="宋体" w:eastAsia="宋体"/>
          <w:bCs/>
          <w:sz w:val="24"/>
          <w:u w:val="single"/>
          <w:lang w:eastAsia="zh-CN"/>
        </w:rPr>
      </w:pPr>
      <w:r>
        <w:rPr>
          <w:rStyle w:val="43"/>
          <w:rFonts w:ascii="宋体" w:hAnsi="宋体"/>
          <w:b/>
          <w:bCs/>
          <w:sz w:val="24"/>
        </w:rPr>
        <w:t>招标编号:</w:t>
      </w:r>
      <w:r>
        <w:rPr>
          <w:rStyle w:val="43"/>
          <w:rFonts w:hint="eastAsia" w:ascii="宋体" w:hAnsi="宋体"/>
          <w:b/>
          <w:bCs/>
          <w:sz w:val="24"/>
        </w:rPr>
        <w:t>CGZX</w:t>
      </w:r>
      <w:bookmarkStart w:id="284" w:name="_GoBack"/>
      <w:bookmarkEnd w:id="284"/>
      <w:r>
        <w:rPr>
          <w:rStyle w:val="43"/>
          <w:rFonts w:hint="eastAsia" w:ascii="宋体" w:hAnsi="宋体"/>
          <w:b/>
          <w:bCs/>
          <w:sz w:val="24"/>
        </w:rPr>
        <w:t>2024120238</w:t>
      </w:r>
    </w:p>
    <w:p>
      <w:pPr>
        <w:snapToGrid w:val="0"/>
        <w:spacing w:line="300" w:lineRule="auto"/>
        <w:jc w:val="center"/>
        <w:rPr>
          <w:rStyle w:val="43"/>
          <w:rFonts w:ascii="宋体" w:hAnsi="宋体"/>
          <w:b/>
          <w:bCs/>
        </w:rPr>
      </w:pPr>
    </w:p>
    <w:p>
      <w:pPr>
        <w:snapToGrid w:val="0"/>
        <w:spacing w:line="300" w:lineRule="auto"/>
        <w:ind w:firstLine="1355" w:firstLineChars="450"/>
        <w:rPr>
          <w:rStyle w:val="43"/>
          <w:rFonts w:ascii="宋体" w:hAnsi="宋体"/>
          <w:b/>
          <w:sz w:val="30"/>
        </w:rPr>
      </w:pPr>
    </w:p>
    <w:p>
      <w:pPr>
        <w:snapToGrid w:val="0"/>
        <w:spacing w:line="300" w:lineRule="auto"/>
        <w:ind w:firstLine="1355" w:firstLineChars="450"/>
        <w:rPr>
          <w:rStyle w:val="43"/>
          <w:rFonts w:ascii="宋体" w:hAnsi="宋体"/>
          <w:b/>
          <w:sz w:val="30"/>
        </w:rPr>
      </w:pPr>
    </w:p>
    <w:p>
      <w:pPr>
        <w:snapToGrid w:val="0"/>
        <w:spacing w:line="300" w:lineRule="auto"/>
        <w:ind w:firstLine="1355" w:firstLineChars="450"/>
        <w:rPr>
          <w:rStyle w:val="43"/>
          <w:rFonts w:ascii="宋体" w:hAnsi="宋体"/>
          <w:b/>
          <w:sz w:val="30"/>
        </w:rPr>
      </w:pPr>
    </w:p>
    <w:p>
      <w:pPr>
        <w:pStyle w:val="9"/>
      </w:pPr>
    </w:p>
    <w:p>
      <w:pPr>
        <w:snapToGrid w:val="0"/>
        <w:spacing w:line="560" w:lineRule="exact"/>
        <w:rPr>
          <w:rStyle w:val="43"/>
          <w:rFonts w:ascii="宋体" w:hAnsi="宋体"/>
          <w:b/>
          <w:sz w:val="30"/>
        </w:rPr>
      </w:pPr>
    </w:p>
    <w:p>
      <w:pPr>
        <w:snapToGrid w:val="0"/>
        <w:spacing w:line="560" w:lineRule="exact"/>
        <w:jc w:val="center"/>
        <w:rPr>
          <w:rStyle w:val="43"/>
          <w:rFonts w:hint="eastAsia" w:ascii="宋体" w:hAnsi="宋体" w:eastAsia="宋体"/>
          <w:b/>
          <w:sz w:val="30"/>
          <w:lang w:eastAsia="zh-CN"/>
        </w:rPr>
      </w:pPr>
      <w:r>
        <w:rPr>
          <w:rStyle w:val="43"/>
          <w:rFonts w:ascii="宋体" w:hAnsi="宋体"/>
          <w:b/>
          <w:sz w:val="30"/>
        </w:rPr>
        <w:t>招 标 人：</w:t>
      </w:r>
      <w:r>
        <w:rPr>
          <w:rStyle w:val="43"/>
          <w:rFonts w:hint="eastAsia" w:ascii="宋体" w:hAnsi="宋体"/>
          <w:b/>
          <w:sz w:val="30"/>
          <w:lang w:eastAsia="zh-CN"/>
        </w:rPr>
        <w:t>中国重汽集团</w:t>
      </w:r>
      <w:r>
        <w:rPr>
          <w:rStyle w:val="43"/>
          <w:rFonts w:hint="eastAsia" w:ascii="宋体" w:hAnsi="宋体"/>
          <w:b/>
          <w:sz w:val="30"/>
          <w:lang w:val="en-US" w:eastAsia="zh-CN"/>
        </w:rPr>
        <w:t>济南汽车部件</w:t>
      </w:r>
      <w:r>
        <w:rPr>
          <w:rStyle w:val="43"/>
          <w:rFonts w:hint="eastAsia" w:ascii="宋体" w:hAnsi="宋体"/>
          <w:b/>
          <w:sz w:val="30"/>
          <w:lang w:eastAsia="zh-CN"/>
        </w:rPr>
        <w:t>有限公司</w:t>
      </w:r>
    </w:p>
    <w:p>
      <w:pPr>
        <w:snapToGrid w:val="0"/>
        <w:spacing w:line="560" w:lineRule="exact"/>
        <w:jc w:val="center"/>
        <w:rPr>
          <w:rStyle w:val="43"/>
          <w:rFonts w:ascii="宋体" w:hAnsi="宋体"/>
          <w:b/>
          <w:sz w:val="30"/>
        </w:rPr>
      </w:pPr>
      <w:r>
        <w:rPr>
          <w:rStyle w:val="43"/>
          <w:rFonts w:ascii="宋体" w:hAnsi="宋体"/>
          <w:b/>
          <w:sz w:val="30"/>
        </w:rPr>
        <w:t>编制日期：二〇</w:t>
      </w:r>
      <w:r>
        <w:rPr>
          <w:rStyle w:val="43"/>
          <w:rFonts w:hint="eastAsia" w:ascii="宋体" w:hAnsi="宋体"/>
          <w:b/>
          <w:sz w:val="30"/>
        </w:rPr>
        <w:t>二四</w:t>
      </w:r>
      <w:r>
        <w:rPr>
          <w:rStyle w:val="43"/>
          <w:rFonts w:ascii="宋体" w:hAnsi="宋体"/>
          <w:b/>
          <w:sz w:val="30"/>
        </w:rPr>
        <w:t>年</w:t>
      </w:r>
      <w:r>
        <w:rPr>
          <w:rStyle w:val="43"/>
          <w:rFonts w:hint="eastAsia" w:ascii="宋体" w:hAnsi="宋体"/>
          <w:b/>
          <w:sz w:val="30"/>
          <w:lang w:val="en-US" w:eastAsia="zh-CN"/>
        </w:rPr>
        <w:t>十二</w:t>
      </w:r>
      <w:r>
        <w:rPr>
          <w:rStyle w:val="43"/>
          <w:rFonts w:ascii="宋体" w:hAnsi="宋体"/>
          <w:b/>
          <w:sz w:val="30"/>
        </w:rPr>
        <w:t>月</w:t>
      </w:r>
    </w:p>
    <w:p>
      <w:pPr>
        <w:snapToGrid w:val="0"/>
        <w:spacing w:line="360" w:lineRule="auto"/>
        <w:jc w:val="center"/>
        <w:rPr>
          <w:rStyle w:val="43"/>
          <w:rFonts w:ascii="宋体" w:hAnsi="宋体"/>
          <w:b/>
          <w:sz w:val="32"/>
          <w:szCs w:val="44"/>
        </w:rPr>
      </w:pPr>
      <w:r>
        <w:rPr>
          <w:rStyle w:val="43"/>
          <w:rFonts w:ascii="宋体" w:hAnsi="宋体"/>
          <w:b/>
          <w:sz w:val="30"/>
        </w:rPr>
        <w:br w:type="page"/>
      </w:r>
      <w:r>
        <w:rPr>
          <w:rStyle w:val="43"/>
          <w:rFonts w:ascii="宋体" w:hAnsi="宋体"/>
          <w:b/>
          <w:sz w:val="32"/>
          <w:szCs w:val="44"/>
        </w:rPr>
        <w:t>目   录</w:t>
      </w:r>
    </w:p>
    <w:p>
      <w:pPr>
        <w:pStyle w:val="16"/>
        <w:tabs>
          <w:tab w:val="right" w:leader="dot" w:pos="10466"/>
          <w:tab w:val="clear" w:pos="9629"/>
        </w:tabs>
        <w:rPr>
          <w:rFonts w:asciiTheme="minorHAnsi" w:hAnsiTheme="minorHAnsi" w:eastAsiaTheme="minorEastAsia" w:cstheme="minorBidi"/>
          <w:b w:val="0"/>
          <w:szCs w:val="22"/>
        </w:rPr>
      </w:pPr>
      <w:r>
        <w:rPr>
          <w:rStyle w:val="43"/>
          <w:sz w:val="20"/>
        </w:rPr>
        <w:fldChar w:fldCharType="begin"/>
      </w:r>
      <w:r>
        <w:rPr>
          <w:rStyle w:val="43"/>
          <w:rFonts w:asciiTheme="minorEastAsia" w:hAnsiTheme="minorEastAsia" w:eastAsiaTheme="minorEastAsia"/>
          <w:sz w:val="20"/>
          <w:szCs w:val="21"/>
        </w:rPr>
        <w:instrText xml:space="preserve"> TOC \o "1-3" \h \z \u </w:instrText>
      </w:r>
      <w:r>
        <w:rPr>
          <w:rStyle w:val="43"/>
          <w:sz w:val="20"/>
        </w:rPr>
        <w:fldChar w:fldCharType="separate"/>
      </w:r>
      <w:r>
        <w:fldChar w:fldCharType="begin"/>
      </w:r>
      <w:r>
        <w:instrText xml:space="preserve"> HYPERLINK \l "_Toc162361701" </w:instrText>
      </w:r>
      <w:r>
        <w:fldChar w:fldCharType="separate"/>
      </w:r>
      <w:r>
        <w:rPr>
          <w:rStyle w:val="29"/>
        </w:rPr>
        <w:t>第一卷</w:t>
      </w:r>
      <w:r>
        <w:tab/>
      </w:r>
      <w:r>
        <w:fldChar w:fldCharType="begin"/>
      </w:r>
      <w:r>
        <w:instrText xml:space="preserve"> PAGEREF _Toc162361701 \h </w:instrText>
      </w:r>
      <w:r>
        <w:fldChar w:fldCharType="separate"/>
      </w:r>
      <w:r>
        <w:t>1</w:t>
      </w:r>
      <w:r>
        <w:fldChar w:fldCharType="end"/>
      </w:r>
      <w: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"_第一章投标邀请函" </w:instrText>
      </w:r>
      <w:r>
        <w:rPr>
          <w:color w:val="auto"/>
          <w:u w:val="none"/>
        </w:rPr>
        <w:fldChar w:fldCharType="separate"/>
      </w:r>
      <w:r>
        <w:rPr>
          <w:rStyle w:val="29"/>
        </w:rPr>
        <w:t xml:space="preserve">第一章   </w:t>
      </w:r>
      <w:r>
        <w:rPr>
          <w:rStyle w:val="29"/>
          <w:rFonts w:hint="eastAsia"/>
          <w:lang w:val="en-US" w:eastAsia="zh-CN"/>
        </w:rPr>
        <w:t>招标公告</w:t>
      </w:r>
      <w:r>
        <w:rPr>
          <w:rStyle w:val="29"/>
        </w:rPr>
        <w:tab/>
      </w:r>
      <w:r>
        <w:rPr>
          <w:rStyle w:val="29"/>
        </w:rPr>
        <w:fldChar w:fldCharType="begin"/>
      </w:r>
      <w:r>
        <w:rPr>
          <w:rStyle w:val="29"/>
        </w:rPr>
        <w:instrText xml:space="preserve"> PAGEREF _Toc162361702 \h </w:instrText>
      </w:r>
      <w:r>
        <w:rPr>
          <w:rStyle w:val="29"/>
        </w:rPr>
        <w:fldChar w:fldCharType="separate"/>
      </w:r>
      <w:r>
        <w:rPr>
          <w:rStyle w:val="29"/>
        </w:rPr>
        <w:t>1</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"_第二章  投标人须知" </w:instrText>
      </w:r>
      <w:r>
        <w:rPr>
          <w:color w:val="auto"/>
          <w:u w:val="none"/>
        </w:rPr>
        <w:fldChar w:fldCharType="separate"/>
      </w:r>
      <w:r>
        <w:rPr>
          <w:rStyle w:val="29"/>
        </w:rPr>
        <w:t>第二章  投标人须知</w:t>
      </w:r>
      <w:r>
        <w:rPr>
          <w:rStyle w:val="29"/>
        </w:rPr>
        <w:tab/>
      </w:r>
      <w:r>
        <w:rPr>
          <w:rStyle w:val="29"/>
        </w:rPr>
        <w:fldChar w:fldCharType="begin"/>
      </w:r>
      <w:r>
        <w:rPr>
          <w:rStyle w:val="29"/>
        </w:rPr>
        <w:instrText xml:space="preserve"> PAGEREF _Toc162361703 \h </w:instrText>
      </w:r>
      <w:r>
        <w:rPr>
          <w:rStyle w:val="29"/>
        </w:rPr>
        <w:fldChar w:fldCharType="separate"/>
      </w:r>
      <w:r>
        <w:rPr>
          <w:rStyle w:val="29"/>
        </w:rPr>
        <w:t>6</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"_投标人须知前附表" </w:instrText>
      </w:r>
      <w:r>
        <w:rPr>
          <w:color w:val="auto"/>
          <w:u w:val="none"/>
        </w:rPr>
        <w:fldChar w:fldCharType="separate"/>
      </w:r>
      <w:r>
        <w:rPr>
          <w:rStyle w:val="29"/>
        </w:rPr>
        <w:t>投标人须知前附表</w:t>
      </w:r>
      <w:r>
        <w:rPr>
          <w:rStyle w:val="29"/>
        </w:rPr>
        <w:tab/>
      </w:r>
      <w:r>
        <w:rPr>
          <w:rStyle w:val="29"/>
        </w:rPr>
        <w:fldChar w:fldCharType="begin"/>
      </w:r>
      <w:r>
        <w:rPr>
          <w:rStyle w:val="29"/>
        </w:rPr>
        <w:instrText xml:space="preserve"> PAGEREF _Toc162361704 \h </w:instrText>
      </w:r>
      <w:r>
        <w:rPr>
          <w:rStyle w:val="29"/>
        </w:rPr>
        <w:fldChar w:fldCharType="separate"/>
      </w:r>
      <w:r>
        <w:rPr>
          <w:rStyle w:val="29"/>
        </w:rPr>
        <w:t>6</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"_1. 总则" </w:instrText>
      </w:r>
      <w:r>
        <w:rPr>
          <w:color w:val="auto"/>
          <w:u w:val="none"/>
        </w:rPr>
        <w:fldChar w:fldCharType="separate"/>
      </w:r>
      <w:r>
        <w:rPr>
          <w:rStyle w:val="29"/>
        </w:rPr>
        <w:t>1. 总则</w:t>
      </w:r>
      <w:r>
        <w:rPr>
          <w:rStyle w:val="29"/>
        </w:rPr>
        <w:tab/>
      </w:r>
      <w:r>
        <w:rPr>
          <w:rStyle w:val="29"/>
        </w:rPr>
        <w:fldChar w:fldCharType="begin"/>
      </w:r>
      <w:r>
        <w:rPr>
          <w:rStyle w:val="29"/>
        </w:rPr>
        <w:instrText xml:space="preserve"> PAGEREF _Toc162361705 \h </w:instrText>
      </w:r>
      <w:r>
        <w:rPr>
          <w:rStyle w:val="29"/>
        </w:rPr>
        <w:fldChar w:fldCharType="separate"/>
      </w:r>
      <w:r>
        <w:rPr>
          <w:rStyle w:val="29"/>
        </w:rPr>
        <w:t>13</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"_2. 招标文件" </w:instrText>
      </w:r>
      <w:r>
        <w:rPr>
          <w:color w:val="auto"/>
          <w:u w:val="none"/>
        </w:rPr>
        <w:fldChar w:fldCharType="separate"/>
      </w:r>
      <w:r>
        <w:rPr>
          <w:rStyle w:val="29"/>
        </w:rPr>
        <w:t>2. 招标文件</w:t>
      </w:r>
      <w:r>
        <w:rPr>
          <w:rStyle w:val="29"/>
        </w:rPr>
        <w:tab/>
      </w:r>
      <w:r>
        <w:rPr>
          <w:rStyle w:val="29"/>
        </w:rPr>
        <w:fldChar w:fldCharType="begin"/>
      </w:r>
      <w:r>
        <w:rPr>
          <w:rStyle w:val="29"/>
        </w:rPr>
        <w:instrText xml:space="preserve"> PAGEREF _Toc162361706 \h </w:instrText>
      </w:r>
      <w:r>
        <w:rPr>
          <w:rStyle w:val="29"/>
        </w:rPr>
        <w:fldChar w:fldCharType="separate"/>
      </w:r>
      <w:r>
        <w:rPr>
          <w:rStyle w:val="29"/>
        </w:rPr>
        <w:t>14</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"_3. 投标文件" </w:instrText>
      </w:r>
      <w:r>
        <w:rPr>
          <w:color w:val="auto"/>
          <w:u w:val="none"/>
        </w:rPr>
        <w:fldChar w:fldCharType="separate"/>
      </w:r>
      <w:r>
        <w:rPr>
          <w:rStyle w:val="29"/>
        </w:rPr>
        <w:t>3. 投标文件</w:t>
      </w:r>
      <w:r>
        <w:rPr>
          <w:rStyle w:val="29"/>
        </w:rPr>
        <w:tab/>
      </w:r>
      <w:r>
        <w:rPr>
          <w:rStyle w:val="29"/>
        </w:rPr>
        <w:fldChar w:fldCharType="begin"/>
      </w:r>
      <w:r>
        <w:rPr>
          <w:rStyle w:val="29"/>
        </w:rPr>
        <w:instrText xml:space="preserve"> PAGEREF _Toc162361707 \h </w:instrText>
      </w:r>
      <w:r>
        <w:rPr>
          <w:rStyle w:val="29"/>
        </w:rPr>
        <w:fldChar w:fldCharType="separate"/>
      </w:r>
      <w:r>
        <w:rPr>
          <w:rStyle w:val="29"/>
        </w:rPr>
        <w:t>15</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"_4. 投标" </w:instrText>
      </w:r>
      <w:r>
        <w:rPr>
          <w:color w:val="auto"/>
          <w:u w:val="none"/>
        </w:rPr>
        <w:fldChar w:fldCharType="separate"/>
      </w:r>
      <w:r>
        <w:rPr>
          <w:rStyle w:val="29"/>
        </w:rPr>
        <w:t>4. 投标</w:t>
      </w:r>
      <w:r>
        <w:rPr>
          <w:rStyle w:val="29"/>
        </w:rPr>
        <w:tab/>
      </w:r>
      <w:r>
        <w:rPr>
          <w:rStyle w:val="29"/>
        </w:rPr>
        <w:fldChar w:fldCharType="begin"/>
      </w:r>
      <w:r>
        <w:rPr>
          <w:rStyle w:val="29"/>
        </w:rPr>
        <w:instrText xml:space="preserve"> PAGEREF _Toc162361708 \h </w:instrText>
      </w:r>
      <w:r>
        <w:rPr>
          <w:rStyle w:val="29"/>
        </w:rPr>
        <w:fldChar w:fldCharType="separate"/>
      </w:r>
      <w:r>
        <w:rPr>
          <w:rStyle w:val="29"/>
        </w:rPr>
        <w:t>17</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"_5. 开标" </w:instrText>
      </w:r>
      <w:r>
        <w:rPr>
          <w:color w:val="auto"/>
          <w:u w:val="none"/>
        </w:rPr>
        <w:fldChar w:fldCharType="separate"/>
      </w:r>
      <w:r>
        <w:rPr>
          <w:rStyle w:val="29"/>
        </w:rPr>
        <w:t>5. 开标</w:t>
      </w:r>
      <w:r>
        <w:rPr>
          <w:rStyle w:val="29"/>
        </w:rPr>
        <w:tab/>
      </w:r>
      <w:r>
        <w:rPr>
          <w:rStyle w:val="29"/>
        </w:rPr>
        <w:fldChar w:fldCharType="begin"/>
      </w:r>
      <w:r>
        <w:rPr>
          <w:rStyle w:val="29"/>
        </w:rPr>
        <w:instrText xml:space="preserve"> PAGEREF _Toc162361709 \h </w:instrText>
      </w:r>
      <w:r>
        <w:rPr>
          <w:rStyle w:val="29"/>
        </w:rPr>
        <w:fldChar w:fldCharType="separate"/>
      </w:r>
      <w:r>
        <w:rPr>
          <w:rStyle w:val="29"/>
        </w:rPr>
        <w:t>18</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"_6. 评标" </w:instrText>
      </w:r>
      <w:r>
        <w:rPr>
          <w:color w:val="auto"/>
          <w:u w:val="none"/>
        </w:rPr>
        <w:fldChar w:fldCharType="separate"/>
      </w:r>
      <w:r>
        <w:rPr>
          <w:rStyle w:val="29"/>
        </w:rPr>
        <w:t>6. 评标</w:t>
      </w:r>
      <w:r>
        <w:rPr>
          <w:rStyle w:val="29"/>
        </w:rPr>
        <w:tab/>
      </w:r>
      <w:r>
        <w:rPr>
          <w:rStyle w:val="29"/>
        </w:rPr>
        <w:fldChar w:fldCharType="begin"/>
      </w:r>
      <w:r>
        <w:rPr>
          <w:rStyle w:val="29"/>
        </w:rPr>
        <w:instrText xml:space="preserve"> PAGEREF _Toc162361710 \h </w:instrText>
      </w:r>
      <w:r>
        <w:rPr>
          <w:rStyle w:val="29"/>
        </w:rPr>
        <w:fldChar w:fldCharType="separate"/>
      </w:r>
      <w:r>
        <w:rPr>
          <w:rStyle w:val="29"/>
        </w:rPr>
        <w:t>19</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"_7. 合同授予" </w:instrText>
      </w:r>
      <w:r>
        <w:rPr>
          <w:color w:val="auto"/>
          <w:u w:val="none"/>
        </w:rPr>
        <w:fldChar w:fldCharType="separate"/>
      </w:r>
      <w:r>
        <w:rPr>
          <w:rStyle w:val="29"/>
        </w:rPr>
        <w:t>7. 合同授予</w:t>
      </w:r>
      <w:r>
        <w:rPr>
          <w:rStyle w:val="29"/>
        </w:rPr>
        <w:tab/>
      </w:r>
      <w:r>
        <w:rPr>
          <w:rStyle w:val="29"/>
        </w:rPr>
        <w:fldChar w:fldCharType="begin"/>
      </w:r>
      <w:r>
        <w:rPr>
          <w:rStyle w:val="29"/>
        </w:rPr>
        <w:instrText xml:space="preserve"> PAGEREF _Toc162361711 \h </w:instrText>
      </w:r>
      <w:r>
        <w:rPr>
          <w:rStyle w:val="29"/>
        </w:rPr>
        <w:fldChar w:fldCharType="separate"/>
      </w:r>
      <w:r>
        <w:rPr>
          <w:rStyle w:val="29"/>
        </w:rPr>
        <w:t>20</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"_8. 重新招标和不再招标" </w:instrText>
      </w:r>
      <w:r>
        <w:rPr>
          <w:color w:val="auto"/>
          <w:u w:val="none"/>
        </w:rPr>
        <w:fldChar w:fldCharType="separate"/>
      </w:r>
      <w:r>
        <w:rPr>
          <w:rStyle w:val="29"/>
        </w:rPr>
        <w:t>8. 重新招标和不再招标</w:t>
      </w:r>
      <w:r>
        <w:rPr>
          <w:rStyle w:val="29"/>
        </w:rPr>
        <w:tab/>
      </w:r>
      <w:r>
        <w:rPr>
          <w:rStyle w:val="29"/>
        </w:rPr>
        <w:fldChar w:fldCharType="begin"/>
      </w:r>
      <w:r>
        <w:rPr>
          <w:rStyle w:val="29"/>
        </w:rPr>
        <w:instrText xml:space="preserve"> PAGEREF _Toc162361712 \h </w:instrText>
      </w:r>
      <w:r>
        <w:rPr>
          <w:rStyle w:val="29"/>
        </w:rPr>
        <w:fldChar w:fldCharType="separate"/>
      </w:r>
      <w:r>
        <w:rPr>
          <w:rStyle w:val="29"/>
        </w:rPr>
        <w:t>20</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"_9. 纪律和监督" </w:instrText>
      </w:r>
      <w:r>
        <w:rPr>
          <w:color w:val="auto"/>
          <w:u w:val="none"/>
        </w:rPr>
        <w:fldChar w:fldCharType="separate"/>
      </w:r>
      <w:r>
        <w:rPr>
          <w:rStyle w:val="29"/>
        </w:rPr>
        <w:t>9. 纪律和监督</w:t>
      </w:r>
      <w:r>
        <w:rPr>
          <w:rStyle w:val="29"/>
        </w:rPr>
        <w:tab/>
      </w:r>
      <w:r>
        <w:rPr>
          <w:rStyle w:val="29"/>
        </w:rPr>
        <w:fldChar w:fldCharType="begin"/>
      </w:r>
      <w:r>
        <w:rPr>
          <w:rStyle w:val="29"/>
        </w:rPr>
        <w:instrText xml:space="preserve"> PAGEREF _Toc162361713 \h </w:instrText>
      </w:r>
      <w:r>
        <w:rPr>
          <w:rStyle w:val="29"/>
        </w:rPr>
        <w:fldChar w:fldCharType="separate"/>
      </w:r>
      <w:r>
        <w:rPr>
          <w:rStyle w:val="29"/>
        </w:rPr>
        <w:t>21</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"_10.中标人瑕疵滞后发现的处理原则" </w:instrText>
      </w:r>
      <w:r>
        <w:rPr>
          <w:color w:val="auto"/>
          <w:u w:val="none"/>
        </w:rPr>
        <w:fldChar w:fldCharType="separate"/>
      </w:r>
      <w:r>
        <w:rPr>
          <w:rStyle w:val="29"/>
        </w:rPr>
        <w:t>10.中标人瑕疵滞后发现的处理原则</w:t>
      </w:r>
      <w:r>
        <w:rPr>
          <w:rStyle w:val="29"/>
        </w:rPr>
        <w:tab/>
      </w:r>
      <w:r>
        <w:rPr>
          <w:rStyle w:val="29"/>
        </w:rPr>
        <w:fldChar w:fldCharType="begin"/>
      </w:r>
      <w:r>
        <w:rPr>
          <w:rStyle w:val="29"/>
        </w:rPr>
        <w:instrText xml:space="preserve"> PAGEREF _Toc162361714 \h </w:instrText>
      </w:r>
      <w:r>
        <w:rPr>
          <w:rStyle w:val="29"/>
        </w:rPr>
        <w:fldChar w:fldCharType="separate"/>
      </w:r>
      <w:r>
        <w:rPr>
          <w:rStyle w:val="29"/>
        </w:rPr>
        <w:t>21</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"_11. 需要补充的其他内容" </w:instrText>
      </w:r>
      <w:r>
        <w:rPr>
          <w:color w:val="auto"/>
          <w:u w:val="none"/>
        </w:rPr>
        <w:fldChar w:fldCharType="separate"/>
      </w:r>
      <w:r>
        <w:rPr>
          <w:rStyle w:val="29"/>
        </w:rPr>
        <w:t>11. 需要补充的其他内容</w:t>
      </w:r>
      <w:r>
        <w:rPr>
          <w:rStyle w:val="29"/>
        </w:rPr>
        <w:tab/>
      </w:r>
      <w:r>
        <w:rPr>
          <w:rStyle w:val="29"/>
        </w:rPr>
        <w:fldChar w:fldCharType="begin"/>
      </w:r>
      <w:r>
        <w:rPr>
          <w:rStyle w:val="29"/>
        </w:rPr>
        <w:instrText xml:space="preserve"> PAGEREF _Toc162361715 \h </w:instrText>
      </w:r>
      <w:r>
        <w:rPr>
          <w:rStyle w:val="29"/>
        </w:rPr>
        <w:fldChar w:fldCharType="separate"/>
      </w:r>
      <w:r>
        <w:rPr>
          <w:rStyle w:val="29"/>
        </w:rPr>
        <w:t>22</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"_第三章 评标办法" </w:instrText>
      </w:r>
      <w:r>
        <w:rPr>
          <w:color w:val="auto"/>
          <w:u w:val="none"/>
        </w:rPr>
        <w:fldChar w:fldCharType="separate"/>
      </w:r>
      <w:r>
        <w:rPr>
          <w:rStyle w:val="29"/>
        </w:rPr>
        <w:t>第三章 评标办法</w:t>
      </w:r>
      <w:r>
        <w:rPr>
          <w:rStyle w:val="29"/>
        </w:rPr>
        <w:tab/>
      </w:r>
      <w:r>
        <w:rPr>
          <w:rStyle w:val="29"/>
        </w:rPr>
        <w:fldChar w:fldCharType="begin"/>
      </w:r>
      <w:r>
        <w:rPr>
          <w:rStyle w:val="29"/>
        </w:rPr>
        <w:instrText xml:space="preserve"> PAGEREF _Toc162361716 \h </w:instrText>
      </w:r>
      <w:r>
        <w:rPr>
          <w:rStyle w:val="29"/>
        </w:rPr>
        <w:fldChar w:fldCharType="separate"/>
      </w:r>
      <w:r>
        <w:rPr>
          <w:rStyle w:val="29"/>
        </w:rPr>
        <w:t>23</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"_一、评分细则" </w:instrText>
      </w:r>
      <w:r>
        <w:rPr>
          <w:color w:val="auto"/>
          <w:u w:val="none"/>
        </w:rPr>
        <w:fldChar w:fldCharType="separate"/>
      </w:r>
      <w:r>
        <w:rPr>
          <w:rStyle w:val="29"/>
        </w:rPr>
        <w:t>一、评分细则</w:t>
      </w:r>
      <w:r>
        <w:rPr>
          <w:rStyle w:val="29"/>
        </w:rPr>
        <w:tab/>
      </w:r>
      <w:r>
        <w:rPr>
          <w:rStyle w:val="29"/>
        </w:rPr>
        <w:fldChar w:fldCharType="begin"/>
      </w:r>
      <w:r>
        <w:rPr>
          <w:rStyle w:val="29"/>
        </w:rPr>
        <w:instrText xml:space="preserve"> PAGEREF _Toc162361717 \h </w:instrText>
      </w:r>
      <w:r>
        <w:rPr>
          <w:rStyle w:val="29"/>
        </w:rPr>
        <w:fldChar w:fldCharType="separate"/>
      </w:r>
      <w:r>
        <w:rPr>
          <w:rStyle w:val="29"/>
        </w:rPr>
        <w:t>23</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"_二、评标办法" </w:instrText>
      </w:r>
      <w:r>
        <w:rPr>
          <w:color w:val="auto"/>
          <w:u w:val="none"/>
        </w:rPr>
        <w:fldChar w:fldCharType="separate"/>
      </w:r>
      <w:r>
        <w:rPr>
          <w:rStyle w:val="29"/>
        </w:rPr>
        <w:t>二、评标办法</w:t>
      </w:r>
      <w:r>
        <w:rPr>
          <w:rStyle w:val="29"/>
        </w:rPr>
        <w:tab/>
      </w:r>
      <w:r>
        <w:rPr>
          <w:rStyle w:val="29"/>
        </w:rPr>
        <w:fldChar w:fldCharType="begin"/>
      </w:r>
      <w:r>
        <w:rPr>
          <w:rStyle w:val="29"/>
        </w:rPr>
        <w:instrText xml:space="preserve"> PAGEREF _Toc162361718 \h </w:instrText>
      </w:r>
      <w:r>
        <w:rPr>
          <w:rStyle w:val="29"/>
        </w:rPr>
        <w:fldChar w:fldCharType="separate"/>
      </w:r>
      <w:r>
        <w:rPr>
          <w:rStyle w:val="29"/>
        </w:rPr>
        <w:t>24</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"_第四章 合同条款及格式" </w:instrText>
      </w:r>
      <w:r>
        <w:rPr>
          <w:color w:val="auto"/>
          <w:u w:val="none"/>
        </w:rPr>
        <w:fldChar w:fldCharType="separate"/>
      </w:r>
      <w:r>
        <w:rPr>
          <w:rStyle w:val="29"/>
        </w:rPr>
        <w:t>第四章 合同条款及格式</w:t>
      </w:r>
      <w:r>
        <w:rPr>
          <w:rStyle w:val="29"/>
        </w:rPr>
        <w:tab/>
      </w:r>
      <w:r>
        <w:rPr>
          <w:rStyle w:val="29"/>
        </w:rPr>
        <w:fldChar w:fldCharType="begin"/>
      </w:r>
      <w:r>
        <w:rPr>
          <w:rStyle w:val="29"/>
        </w:rPr>
        <w:instrText xml:space="preserve"> PAGEREF _Toc162361719 \h </w:instrText>
      </w:r>
      <w:r>
        <w:rPr>
          <w:rStyle w:val="29"/>
        </w:rPr>
        <w:fldChar w:fldCharType="separate"/>
      </w:r>
      <w:r>
        <w:rPr>
          <w:rStyle w:val="29"/>
        </w:rPr>
        <w:t>29</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rFonts w:ascii="宋体" w:hAnsi="宋体"/>
          <w:color w:val="auto"/>
          <w:u w:val="none"/>
        </w:rPr>
        <w:fldChar w:fldCharType="begin"/>
      </w:r>
      <w:r>
        <w:rPr>
          <w:rFonts w:ascii="宋体" w:hAnsi="宋体"/>
          <w:color w:val="auto"/>
          <w:u w:val="none"/>
        </w:rPr>
        <w:instrText xml:space="preserve"> HYPERLINK \l "_第五章 投标报价要求" </w:instrText>
      </w:r>
      <w:r>
        <w:rPr>
          <w:rFonts w:ascii="宋体" w:hAnsi="宋体"/>
          <w:color w:val="auto"/>
          <w:u w:val="none"/>
        </w:rPr>
        <w:fldChar w:fldCharType="separate"/>
      </w:r>
      <w:r>
        <w:rPr>
          <w:rStyle w:val="29"/>
          <w:rFonts w:ascii="宋体" w:hAnsi="宋体"/>
        </w:rPr>
        <w:t>第五章 投标报价要求</w:t>
      </w:r>
      <w:r>
        <w:rPr>
          <w:rStyle w:val="29"/>
        </w:rPr>
        <w:tab/>
      </w:r>
      <w:r>
        <w:rPr>
          <w:rStyle w:val="29"/>
        </w:rPr>
        <w:fldChar w:fldCharType="begin"/>
      </w:r>
      <w:r>
        <w:rPr>
          <w:rStyle w:val="29"/>
        </w:rPr>
        <w:instrText xml:space="preserve"> PAGEREF _Toc162361720 \h </w:instrText>
      </w:r>
      <w:r>
        <w:rPr>
          <w:rStyle w:val="29"/>
        </w:rPr>
        <w:fldChar w:fldCharType="separate"/>
      </w:r>
      <w:r>
        <w:rPr>
          <w:rStyle w:val="29"/>
        </w:rPr>
        <w:t>29</w:t>
      </w:r>
      <w:r>
        <w:rPr>
          <w:rStyle w:val="29"/>
        </w:rPr>
        <w:fldChar w:fldCharType="end"/>
      </w:r>
      <w:r>
        <w:rPr>
          <w:rFonts w:ascii="宋体" w:hAnsi="宋体"/>
          <w:color w:val="auto"/>
          <w:u w:val="none"/>
        </w:rPr>
        <w:fldChar w:fldCharType="end"/>
      </w:r>
    </w:p>
    <w:p>
      <w:pPr>
        <w:pStyle w:val="16"/>
        <w:tabs>
          <w:tab w:val="right" w:leader="dot" w:pos="10466"/>
          <w:tab w:val="clear" w:pos="9629"/>
        </w:tabs>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"_第二卷" </w:instrText>
      </w:r>
      <w:r>
        <w:rPr>
          <w:color w:val="auto"/>
          <w:u w:val="none"/>
        </w:rPr>
        <w:fldChar w:fldCharType="separate"/>
      </w:r>
      <w:r>
        <w:rPr>
          <w:rStyle w:val="29"/>
        </w:rPr>
        <w:t>第二卷</w:t>
      </w:r>
      <w:r>
        <w:rPr>
          <w:rStyle w:val="29"/>
        </w:rPr>
        <w:tab/>
      </w:r>
      <w:r>
        <w:rPr>
          <w:rStyle w:val="29"/>
        </w:rPr>
        <w:fldChar w:fldCharType="begin"/>
      </w:r>
      <w:r>
        <w:rPr>
          <w:rStyle w:val="29"/>
        </w:rPr>
        <w:instrText xml:space="preserve"> PAGEREF _Toc162361721 \h </w:instrText>
      </w:r>
      <w:r>
        <w:rPr>
          <w:rStyle w:val="29"/>
        </w:rPr>
        <w:fldChar w:fldCharType="separate"/>
      </w:r>
      <w:r>
        <w:rPr>
          <w:rStyle w:val="29"/>
        </w:rPr>
        <w:t>65</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"_第六章  图  纸" </w:instrText>
      </w:r>
      <w:r>
        <w:rPr>
          <w:color w:val="auto"/>
          <w:u w:val="none"/>
        </w:rPr>
        <w:fldChar w:fldCharType="separate"/>
      </w:r>
      <w:r>
        <w:rPr>
          <w:rStyle w:val="29"/>
        </w:rPr>
        <w:t>第六章  图  纸</w:t>
      </w:r>
      <w:r>
        <w:rPr>
          <w:rStyle w:val="29"/>
        </w:rPr>
        <w:tab/>
      </w:r>
      <w:r>
        <w:rPr>
          <w:rStyle w:val="29"/>
        </w:rPr>
        <w:fldChar w:fldCharType="begin"/>
      </w:r>
      <w:r>
        <w:rPr>
          <w:rStyle w:val="29"/>
        </w:rPr>
        <w:instrText xml:space="preserve"> PAGEREF _Toc162361722 \h </w:instrText>
      </w:r>
      <w:r>
        <w:rPr>
          <w:rStyle w:val="29"/>
        </w:rPr>
        <w:fldChar w:fldCharType="separate"/>
      </w:r>
      <w:r>
        <w:rPr>
          <w:rStyle w:val="29"/>
        </w:rPr>
        <w:t>66</w:t>
      </w:r>
      <w:r>
        <w:rPr>
          <w:rStyle w:val="29"/>
        </w:rPr>
        <w:fldChar w:fldCharType="end"/>
      </w:r>
      <w:r>
        <w:rPr>
          <w:color w:val="auto"/>
          <w:u w:val="none"/>
        </w:rPr>
        <w:fldChar w:fldCharType="end"/>
      </w:r>
    </w:p>
    <w:p>
      <w:pPr>
        <w:pStyle w:val="16"/>
        <w:tabs>
          <w:tab w:val="right" w:leader="dot" w:pos="10466"/>
          <w:tab w:val="clear" w:pos="9629"/>
        </w:tabs>
        <w:rPr>
          <w:rFonts w:hint="default" w:eastAsia="宋体" w:asciiTheme="minorHAnsi" w:hAnsiTheme="minorHAnsi" w:cstheme="minorBidi"/>
          <w:b w:val="0"/>
          <w:szCs w:val="22"/>
          <w:lang w:val="en-US" w:eastAsia="zh-CN"/>
        </w:rPr>
      </w:pPr>
      <w:r>
        <w:fldChar w:fldCharType="begin"/>
      </w:r>
      <w:r>
        <w:instrText xml:space="preserve"> HYPERLINK \l "_Toc162361723" </w:instrText>
      </w:r>
      <w:r>
        <w:fldChar w:fldCharType="separate"/>
      </w:r>
      <w:r>
        <w:rPr>
          <w:rStyle w:val="29"/>
        </w:rPr>
        <w:t>第三卷</w:t>
      </w:r>
      <w:r>
        <w:tab/>
      </w:r>
      <w:r>
        <w:fldChar w:fldCharType="end"/>
      </w:r>
      <w:r>
        <w:rPr>
          <w:rFonts w:hint="eastAsia"/>
          <w:lang w:val="en-US" w:eastAsia="zh-CN"/>
        </w:rPr>
        <w:t>121</w:t>
      </w:r>
    </w:p>
    <w:p>
      <w:pPr>
        <w:pStyle w:val="18"/>
        <w:tabs>
          <w:tab w:val="right" w:leader="dot" w:pos="10466"/>
          <w:tab w:val="clear" w:pos="9629"/>
        </w:tabs>
        <w:ind w:left="420"/>
        <w:rPr>
          <w:rFonts w:hint="default" w:eastAsia="宋体" w:asciiTheme="minorHAnsi" w:hAnsiTheme="minorHAnsi" w:cstheme="minorBidi"/>
          <w:b w:val="0"/>
          <w:szCs w:val="22"/>
          <w:lang w:val="en-US" w:eastAsia="zh-CN"/>
        </w:rPr>
      </w:pPr>
      <w:r>
        <w:fldChar w:fldCharType="begin"/>
      </w:r>
      <w:r>
        <w:instrText xml:space="preserve"> HYPERLINK \l "_Toc162361724" </w:instrText>
      </w:r>
      <w:r>
        <w:fldChar w:fldCharType="separate"/>
      </w:r>
      <w:r>
        <w:rPr>
          <w:rStyle w:val="29"/>
        </w:rPr>
        <w:t>第七章  技术标准和要求</w:t>
      </w:r>
      <w:r>
        <w:tab/>
      </w:r>
      <w:r>
        <w:fldChar w:fldCharType="end"/>
      </w:r>
      <w:r>
        <w:rPr>
          <w:rFonts w:hint="eastAsia"/>
          <w:lang w:val="en-US" w:eastAsia="zh-CN"/>
        </w:rPr>
        <w:t>122</w:t>
      </w:r>
    </w:p>
    <w:p>
      <w:pPr>
        <w:pStyle w:val="16"/>
        <w:tabs>
          <w:tab w:val="right" w:leader="dot" w:pos="10466"/>
          <w:tab w:val="clear" w:pos="9629"/>
        </w:tabs>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"_第四卷" </w:instrText>
      </w:r>
      <w:r>
        <w:rPr>
          <w:color w:val="auto"/>
          <w:u w:val="none"/>
        </w:rPr>
        <w:fldChar w:fldCharType="separate"/>
      </w:r>
      <w:r>
        <w:rPr>
          <w:rStyle w:val="29"/>
        </w:rPr>
        <w:t>第四卷</w:t>
      </w:r>
      <w:r>
        <w:rPr>
          <w:rStyle w:val="29"/>
        </w:rPr>
        <w:tab/>
      </w:r>
      <w:r>
        <w:rPr>
          <w:rStyle w:val="29"/>
        </w:rPr>
        <w:fldChar w:fldCharType="begin"/>
      </w:r>
      <w:r>
        <w:rPr>
          <w:rStyle w:val="29"/>
        </w:rPr>
        <w:instrText xml:space="preserve"> PAGEREF _Toc162361725 \h </w:instrText>
      </w:r>
      <w:r>
        <w:rPr>
          <w:rStyle w:val="29"/>
        </w:rPr>
        <w:fldChar w:fldCharType="separate"/>
      </w:r>
      <w:r>
        <w:rPr>
          <w:rStyle w:val="29"/>
        </w:rPr>
        <w:t>73</w:t>
      </w:r>
      <w:r>
        <w:rPr>
          <w:rStyle w:val="29"/>
        </w:rPr>
        <w:fldChar w:fldCharType="end"/>
      </w:r>
      <w:r>
        <w:rPr>
          <w:color w:val="auto"/>
          <w:u w:val="none"/>
        </w:rPr>
        <w:fldChar w:fldCharType="end"/>
      </w:r>
    </w:p>
    <w:p>
      <w:pPr>
        <w:pStyle w:val="18"/>
        <w:tabs>
          <w:tab w:val="right" w:leader="dot" w:pos="10466"/>
          <w:tab w:val="clear" w:pos="9629"/>
        </w:tabs>
        <w:ind w:left="420"/>
        <w:rPr>
          <w:rFonts w:asciiTheme="minorHAnsi" w:hAnsiTheme="minorHAnsi" w:eastAsiaTheme="minorEastAsia" w:cstheme="minorBidi"/>
          <w:b w:val="0"/>
          <w:szCs w:val="22"/>
        </w:rPr>
      </w:pPr>
      <w:r>
        <w:rPr>
          <w:color w:val="auto"/>
          <w:u w:val="none"/>
        </w:rPr>
        <w:fldChar w:fldCharType="begin"/>
      </w:r>
      <w:r>
        <w:rPr>
          <w:color w:val="auto"/>
          <w:u w:val="none"/>
        </w:rPr>
        <w:instrText xml:space="preserve"> HYPERLINK \l "_第八章  投标文件格式" </w:instrText>
      </w:r>
      <w:r>
        <w:rPr>
          <w:color w:val="auto"/>
          <w:u w:val="none"/>
        </w:rPr>
        <w:fldChar w:fldCharType="separate"/>
      </w:r>
      <w:r>
        <w:rPr>
          <w:rStyle w:val="29"/>
        </w:rPr>
        <w:t>第八章  投标文件格式</w:t>
      </w:r>
      <w:r>
        <w:rPr>
          <w:rStyle w:val="29"/>
        </w:rPr>
        <w:tab/>
      </w:r>
      <w:r>
        <w:rPr>
          <w:rStyle w:val="29"/>
        </w:rPr>
        <w:fldChar w:fldCharType="begin"/>
      </w:r>
      <w:r>
        <w:rPr>
          <w:rStyle w:val="29"/>
        </w:rPr>
        <w:instrText xml:space="preserve"> PAGEREF _Toc162361726 \h </w:instrText>
      </w:r>
      <w:r>
        <w:rPr>
          <w:rStyle w:val="29"/>
        </w:rPr>
        <w:fldChar w:fldCharType="separate"/>
      </w:r>
      <w:r>
        <w:rPr>
          <w:rStyle w:val="29"/>
        </w:rPr>
        <w:t>74</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rPr>
          <w:color w:val="auto"/>
          <w:u w:val="none"/>
        </w:rPr>
        <w:fldChar w:fldCharType="begin"/>
      </w:r>
      <w:r>
        <w:rPr>
          <w:color w:val="auto"/>
          <w:u w:val="none"/>
        </w:rPr>
        <w:instrText xml:space="preserve"> HYPERLINK \l "_一、投标函及投标函附录" </w:instrText>
      </w:r>
      <w:r>
        <w:rPr>
          <w:color w:val="auto"/>
          <w:u w:val="none"/>
        </w:rPr>
        <w:fldChar w:fldCharType="separate"/>
      </w:r>
      <w:r>
        <w:rPr>
          <w:rStyle w:val="29"/>
        </w:rPr>
        <w:t>一、投标函及投标函附录</w:t>
      </w:r>
      <w:r>
        <w:rPr>
          <w:rStyle w:val="29"/>
        </w:rPr>
        <w:tab/>
      </w:r>
      <w:r>
        <w:rPr>
          <w:rStyle w:val="29"/>
        </w:rPr>
        <w:fldChar w:fldCharType="begin"/>
      </w:r>
      <w:r>
        <w:rPr>
          <w:rStyle w:val="29"/>
        </w:rPr>
        <w:instrText xml:space="preserve"> PAGEREF _Toc162361727 \h </w:instrText>
      </w:r>
      <w:r>
        <w:rPr>
          <w:rStyle w:val="29"/>
        </w:rPr>
        <w:fldChar w:fldCharType="separate"/>
      </w:r>
      <w:r>
        <w:rPr>
          <w:rStyle w:val="29"/>
        </w:rPr>
        <w:t>76</w:t>
      </w:r>
      <w:r>
        <w:rPr>
          <w:rStyle w:val="29"/>
        </w:rPr>
        <w:fldChar w:fldCharType="end"/>
      </w:r>
      <w:r>
        <w:rPr>
          <w:color w:val="auto"/>
          <w:u w:val="none"/>
        </w:rP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"_Toc162361728" </w:instrText>
      </w:r>
      <w:r>
        <w:fldChar w:fldCharType="separate"/>
      </w:r>
      <w:r>
        <w:rPr>
          <w:rStyle w:val="29"/>
        </w:rPr>
        <w:t>二、法定代表人身份证明</w:t>
      </w:r>
      <w:r>
        <w:tab/>
      </w:r>
      <w:r>
        <w:fldChar w:fldCharType="begin"/>
      </w:r>
      <w:r>
        <w:instrText xml:space="preserve"> PAGEREF _Toc162361728 \h </w:instrText>
      </w:r>
      <w:r>
        <w:fldChar w:fldCharType="separate"/>
      </w:r>
      <w:r>
        <w:t>80</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"_Toc162361729" </w:instrText>
      </w:r>
      <w:r>
        <w:fldChar w:fldCharType="separate"/>
      </w:r>
      <w:r>
        <w:rPr>
          <w:rStyle w:val="29"/>
        </w:rPr>
        <w:t>三、授权委托书</w:t>
      </w:r>
      <w:r>
        <w:tab/>
      </w:r>
      <w:r>
        <w:fldChar w:fldCharType="begin"/>
      </w:r>
      <w:r>
        <w:instrText xml:space="preserve"> PAGEREF _Toc162361729 \h </w:instrText>
      </w:r>
      <w:r>
        <w:fldChar w:fldCharType="separate"/>
      </w:r>
      <w:r>
        <w:t>81</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"_Toc162361730" </w:instrText>
      </w:r>
      <w:r>
        <w:fldChar w:fldCharType="separate"/>
      </w:r>
      <w:r>
        <w:rPr>
          <w:rStyle w:val="29"/>
        </w:rPr>
        <w:t>四、投标保证金</w:t>
      </w:r>
      <w:r>
        <w:tab/>
      </w:r>
      <w:r>
        <w:fldChar w:fldCharType="begin"/>
      </w:r>
      <w:r>
        <w:instrText xml:space="preserve"> PAGEREF _Toc162361730 \h </w:instrText>
      </w:r>
      <w:r>
        <w:fldChar w:fldCharType="separate"/>
      </w:r>
      <w:r>
        <w:t>82</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"_Toc162361731" </w:instrText>
      </w:r>
      <w:r>
        <w:fldChar w:fldCharType="separate"/>
      </w:r>
      <w:r>
        <w:rPr>
          <w:rStyle w:val="29"/>
        </w:rPr>
        <w:t>五、已标价工程量清单</w:t>
      </w:r>
      <w:r>
        <w:tab/>
      </w:r>
      <w:r>
        <w:fldChar w:fldCharType="begin"/>
      </w:r>
      <w:r>
        <w:instrText xml:space="preserve"> PAGEREF _Toc162361731 \h </w:instrText>
      </w:r>
      <w:r>
        <w:fldChar w:fldCharType="separate"/>
      </w:r>
      <w:r>
        <w:t>83</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"_Toc162361732" </w:instrText>
      </w:r>
      <w:r>
        <w:fldChar w:fldCharType="separate"/>
      </w:r>
      <w:r>
        <w:rPr>
          <w:rStyle w:val="29"/>
        </w:rPr>
        <w:t>六、 施工组织设计</w:t>
      </w:r>
      <w:r>
        <w:tab/>
      </w:r>
      <w:r>
        <w:fldChar w:fldCharType="begin"/>
      </w:r>
      <w:r>
        <w:instrText xml:space="preserve"> PAGEREF _Toc162361732 \h </w:instrText>
      </w:r>
      <w:r>
        <w:fldChar w:fldCharType="separate"/>
      </w:r>
      <w:r>
        <w:t>84</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"_Toc162361733" </w:instrText>
      </w:r>
      <w:r>
        <w:fldChar w:fldCharType="separate"/>
      </w:r>
      <w:r>
        <w:rPr>
          <w:rStyle w:val="29"/>
        </w:rPr>
        <w:t>七、 甲限乙购材料（设备）品牌表</w:t>
      </w:r>
      <w:r>
        <w:tab/>
      </w:r>
      <w:r>
        <w:fldChar w:fldCharType="begin"/>
      </w:r>
      <w:r>
        <w:instrText xml:space="preserve"> PAGEREF _Toc162361733 \h </w:instrText>
      </w:r>
      <w:r>
        <w:fldChar w:fldCharType="separate"/>
      </w:r>
      <w:r>
        <w:t>85</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"_Toc162361734" </w:instrText>
      </w:r>
      <w:r>
        <w:fldChar w:fldCharType="separate"/>
      </w:r>
      <w:r>
        <w:rPr>
          <w:rStyle w:val="29"/>
        </w:rPr>
        <w:t>八、 项目管理机构</w:t>
      </w:r>
      <w:r>
        <w:tab/>
      </w:r>
      <w:r>
        <w:fldChar w:fldCharType="begin"/>
      </w:r>
      <w:r>
        <w:instrText xml:space="preserve"> PAGEREF _Toc162361734 \h </w:instrText>
      </w:r>
      <w:r>
        <w:fldChar w:fldCharType="separate"/>
      </w:r>
      <w:r>
        <w:t>86</w:t>
      </w:r>
      <w:r>
        <w:fldChar w:fldCharType="end"/>
      </w:r>
      <w:r>
        <w:fldChar w:fldCharType="end"/>
      </w:r>
    </w:p>
    <w:p>
      <w:pPr>
        <w:pStyle w:val="12"/>
        <w:tabs>
          <w:tab w:val="right" w:leader="dot" w:pos="10456"/>
        </w:tabs>
        <w:rPr>
          <w:rFonts w:asciiTheme="minorHAnsi" w:hAnsiTheme="minorHAnsi" w:eastAsiaTheme="minorEastAsia" w:cstheme="minorBidi"/>
          <w:szCs w:val="22"/>
        </w:rPr>
      </w:pPr>
      <w:r>
        <w:fldChar w:fldCharType="begin"/>
      </w:r>
      <w:r>
        <w:instrText xml:space="preserve"> HYPERLINK \l "_Toc162361735" </w:instrText>
      </w:r>
      <w:r>
        <w:fldChar w:fldCharType="separate"/>
      </w:r>
      <w:r>
        <w:rPr>
          <w:rStyle w:val="29"/>
        </w:rPr>
        <w:t>九、 其他材料</w:t>
      </w:r>
      <w:r>
        <w:tab/>
      </w:r>
      <w:r>
        <w:fldChar w:fldCharType="begin"/>
      </w:r>
      <w:r>
        <w:instrText xml:space="preserve"> PAGEREF _Toc162361735 \h </w:instrText>
      </w:r>
      <w:r>
        <w:fldChar w:fldCharType="separate"/>
      </w:r>
      <w:r>
        <w:t>89</w:t>
      </w:r>
      <w:r>
        <w:fldChar w:fldCharType="end"/>
      </w:r>
      <w:r>
        <w:fldChar w:fldCharType="end"/>
      </w:r>
    </w:p>
    <w:p>
      <w:pPr>
        <w:pStyle w:val="18"/>
        <w:tabs>
          <w:tab w:val="right" w:leader="dot" w:pos="10466"/>
          <w:tab w:val="clear" w:pos="9629"/>
        </w:tabs>
        <w:ind w:left="420"/>
        <w:rPr>
          <w:rFonts w:hint="eastAsia"/>
          <w:lang w:val="en-US" w:eastAsia="zh-CN"/>
        </w:rPr>
      </w:pPr>
      <w:r>
        <w:rPr>
          <w:color w:val="auto"/>
          <w:u w:val="none"/>
        </w:rPr>
        <w:fldChar w:fldCharType="begin"/>
      </w:r>
      <w:r>
        <w:rPr>
          <w:color w:val="auto"/>
          <w:u w:val="none"/>
        </w:rPr>
        <w:instrText xml:space="preserve"> HYPERLINK \l "_第九章  资格审查文件" </w:instrText>
      </w:r>
      <w:r>
        <w:rPr>
          <w:color w:val="auto"/>
          <w:u w:val="none"/>
        </w:rPr>
        <w:fldChar w:fldCharType="separate"/>
      </w:r>
      <w:r>
        <w:rPr>
          <w:rStyle w:val="29"/>
        </w:rPr>
        <w:t>第九章  资格审查文件</w:t>
      </w:r>
      <w:r>
        <w:rPr>
          <w:rStyle w:val="29"/>
        </w:rPr>
        <w:tab/>
      </w:r>
      <w:r>
        <w:rPr>
          <w:color w:val="auto"/>
          <w:u w:val="none"/>
        </w:rPr>
        <w:fldChar w:fldCharType="end"/>
      </w:r>
      <w:r>
        <w:rPr>
          <w:rFonts w:hint="eastAsia"/>
          <w:lang w:val="en-US" w:eastAsia="zh-CN"/>
        </w:rPr>
        <w:t>142</w:t>
      </w:r>
    </w:p>
    <w:p>
      <w:pPr>
        <w:ind w:firstLine="482" w:firstLineChars="200"/>
        <w:rPr>
          <w:rStyle w:val="29"/>
          <w:rFonts w:hint="default" w:ascii="Times New Roman" w:hAnsi="Times New Roman" w:eastAsia="宋体" w:cs="Times New Roman"/>
          <w:b/>
          <w:kern w:val="2"/>
          <w:szCs w:val="24"/>
          <w:lang w:val="en-US" w:eastAsia="zh-CN" w:bidi="ar-SA"/>
        </w:rPr>
      </w:pPr>
      <w:r>
        <w:rPr>
          <w:rStyle w:val="29"/>
          <w:rFonts w:hint="eastAsia" w:ascii="Times New Roman" w:hAnsi="Times New Roman" w:eastAsia="宋体" w:cs="Times New Roman"/>
          <w:b/>
          <w:kern w:val="2"/>
          <w:szCs w:val="24"/>
          <w:lang w:val="en-US" w:eastAsia="zh-CN" w:bidi="ar-SA"/>
        </w:rPr>
        <w:t>第十章  中国重汽集团</w:t>
      </w:r>
      <w:r>
        <w:rPr>
          <w:rStyle w:val="29"/>
          <w:rFonts w:ascii="Times New Roman" w:hAnsi="Times New Roman" w:eastAsia="宋体" w:cs="Times New Roman"/>
          <w:b/>
          <w:kern w:val="2"/>
          <w:szCs w:val="24"/>
          <w:lang w:val="en-US" w:eastAsia="zh-CN" w:bidi="ar-SA"/>
        </w:rPr>
        <w:t>SRM</w:t>
      </w:r>
      <w:r>
        <w:rPr>
          <w:rStyle w:val="29"/>
          <w:rFonts w:hint="eastAsia" w:ascii="Times New Roman" w:hAnsi="Times New Roman" w:eastAsia="宋体" w:cs="Times New Roman"/>
          <w:b/>
          <w:kern w:val="2"/>
          <w:szCs w:val="24"/>
          <w:lang w:val="en-US" w:eastAsia="zh-CN" w:bidi="ar-SA"/>
        </w:rPr>
        <w:t>采购一体化使用手册</w:t>
      </w:r>
      <w:r>
        <w:rPr>
          <w:rStyle w:val="29"/>
          <w:rFonts w:hint="default" w:ascii="Arial" w:hAnsi="Arial" w:eastAsia="宋体" w:cs="Arial"/>
          <w:b/>
          <w:kern w:val="2"/>
          <w:szCs w:val="24"/>
          <w:lang w:val="en-US" w:eastAsia="zh-CN" w:bidi="ar-SA"/>
        </w:rPr>
        <w:t>………………………………………………</w:t>
      </w:r>
      <w:r>
        <w:rPr>
          <w:rStyle w:val="29"/>
          <w:rFonts w:hint="eastAsia" w:ascii="Times New Roman" w:hAnsi="Times New Roman" w:eastAsia="宋体" w:cs="Times New Roman"/>
          <w:b/>
          <w:kern w:val="2"/>
          <w:szCs w:val="24"/>
          <w:lang w:val="en-US" w:eastAsia="zh-CN" w:bidi="ar-SA"/>
        </w:rPr>
        <w:t>147</w:t>
      </w:r>
    </w:p>
    <w:p>
      <w:pPr>
        <w:tabs>
          <w:tab w:val="right" w:leader="dot" w:pos="10348"/>
        </w:tabs>
        <w:spacing w:line="360" w:lineRule="auto"/>
        <w:jc w:val="left"/>
      </w:pPr>
      <w:r>
        <w:rPr>
          <w:rFonts w:asciiTheme="minorEastAsia" w:hAnsiTheme="minorEastAsia" w:eastAsiaTheme="minorEastAsia"/>
          <w:szCs w:val="21"/>
        </w:rPr>
        <w:fldChar w:fldCharType="end"/>
      </w:r>
      <w:bookmarkStart w:id="0" w:name="_Toc1616"/>
      <w:bookmarkStart w:id="1" w:name="_Toc17817319"/>
    </w:p>
    <w:p>
      <w:pPr>
        <w:pStyle w:val="18"/>
        <w:tabs>
          <w:tab w:val="right" w:leader="dot" w:pos="10348"/>
        </w:tabs>
        <w:ind w:left="420"/>
        <w:jc w:val="left"/>
        <w:sectPr>
          <w:headerReference r:id="rId3" w:type="default"/>
          <w:footerReference r:id="rId4" w:type="default"/>
          <w:type w:val="continuous"/>
          <w:pgSz w:w="11906" w:h="16838"/>
          <w:pgMar w:top="720" w:right="720" w:bottom="720" w:left="720" w:header="227" w:footer="454" w:gutter="0"/>
          <w:cols w:space="720" w:num="1"/>
          <w:docGrid w:type="lines" w:linePitch="381" w:charSpace="0"/>
        </w:sectPr>
      </w:pPr>
    </w:p>
    <w:p>
      <w:pPr>
        <w:pStyle w:val="2"/>
        <w:jc w:val="center"/>
        <w:rPr>
          <w:sz w:val="48"/>
          <w:szCs w:val="48"/>
        </w:rPr>
        <w:sectPr>
          <w:footerReference r:id="rId5" w:type="default"/>
          <w:pgSz w:w="11906" w:h="16838"/>
          <w:pgMar w:top="720" w:right="720" w:bottom="720" w:left="720" w:header="227" w:footer="454" w:gutter="0"/>
          <w:pgNumType w:start="1"/>
          <w:cols w:space="720" w:num="1"/>
          <w:vAlign w:val="center"/>
          <w:docGrid w:type="lines" w:linePitch="381" w:charSpace="0"/>
        </w:sectPr>
      </w:pPr>
      <w:bookmarkStart w:id="2" w:name="_Toc26549"/>
      <w:bookmarkStart w:id="3" w:name="_Toc162361701"/>
      <w:r>
        <w:rPr>
          <w:sz w:val="48"/>
          <w:szCs w:val="48"/>
        </w:rPr>
        <w:t>第一卷</w:t>
      </w:r>
      <w:bookmarkEnd w:id="0"/>
      <w:bookmarkEnd w:id="1"/>
      <w:bookmarkEnd w:id="2"/>
      <w:bookmarkEnd w:id="3"/>
    </w:p>
    <w:p>
      <w:pPr>
        <w:pStyle w:val="3"/>
        <w:jc w:val="center"/>
        <w:rPr>
          <w:i w:val="0"/>
          <w:sz w:val="32"/>
          <w:szCs w:val="32"/>
        </w:rPr>
      </w:pPr>
      <w:bookmarkStart w:id="4" w:name="_Toc23462"/>
      <w:bookmarkStart w:id="5" w:name="_Toc162361702"/>
      <w:bookmarkStart w:id="6" w:name="_第一章投标邀请函"/>
      <w:bookmarkStart w:id="7" w:name="_Toc16518"/>
      <w:bookmarkStart w:id="8" w:name="_Toc17817321"/>
      <w:bookmarkStart w:id="9" w:name="_Toc9654"/>
      <w:r>
        <w:rPr>
          <w:rFonts w:hint="eastAsia"/>
          <w:i w:val="0"/>
          <w:sz w:val="32"/>
          <w:szCs w:val="32"/>
        </w:rPr>
        <w:t>第一章</w:t>
      </w:r>
      <w:bookmarkEnd w:id="4"/>
      <w:bookmarkEnd w:id="5"/>
      <w:bookmarkEnd w:id="6"/>
      <w:bookmarkEnd w:id="7"/>
      <w:r>
        <w:rPr>
          <w:rFonts w:hint="eastAsia"/>
          <w:i w:val="0"/>
          <w:sz w:val="32"/>
          <w:szCs w:val="32"/>
        </w:rPr>
        <w:t>招标公告</w:t>
      </w:r>
    </w:p>
    <w:p>
      <w:pPr>
        <w:pStyle w:val="3"/>
        <w:jc w:val="center"/>
        <w:rPr>
          <w:sz w:val="20"/>
          <w:szCs w:val="20"/>
          <w:highlight w:val="yellow"/>
        </w:rPr>
      </w:pPr>
      <w:r>
        <w:rPr>
          <w:rFonts w:hint="eastAsia"/>
          <w:i w:val="0"/>
          <w:sz w:val="21"/>
          <w:szCs w:val="21"/>
          <w:highlight w:val="yellow"/>
        </w:rPr>
        <w:t>招标编号：CGZX2024120238</w:t>
      </w:r>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spacing w:line="360" w:lineRule="auto"/>
        <w:ind w:firstLine="482" w:firstLineChars="200"/>
        <w:rPr>
          <w:rFonts w:ascii="宋体" w:cs="宋体"/>
          <w:sz w:val="24"/>
        </w:rPr>
      </w:pPr>
      <w:r>
        <w:rPr>
          <w:rFonts w:hint="eastAsia" w:ascii="宋体" w:cs="宋体"/>
          <w:b/>
          <w:bCs/>
          <w:sz w:val="24"/>
          <w:u w:val="single"/>
          <w:lang w:val="en-US" w:eastAsia="zh-CN"/>
        </w:rPr>
        <w:t>中国重汽集团</w:t>
      </w:r>
      <w:r>
        <w:rPr>
          <w:rFonts w:hint="eastAsia" w:ascii="宋体" w:cs="宋体"/>
          <w:b/>
          <w:bCs/>
          <w:sz w:val="24"/>
          <w:u w:val="single"/>
        </w:rPr>
        <w:t>济南</w:t>
      </w:r>
      <w:r>
        <w:rPr>
          <w:rFonts w:hint="eastAsia" w:ascii="宋体" w:cs="宋体"/>
          <w:b/>
          <w:bCs/>
          <w:sz w:val="24"/>
          <w:u w:val="single"/>
          <w:lang w:val="en-US" w:eastAsia="zh-CN"/>
        </w:rPr>
        <w:t>汽车部件</w:t>
      </w:r>
      <w:r>
        <w:rPr>
          <w:rFonts w:hint="eastAsia" w:ascii="宋体" w:cs="宋体"/>
          <w:b/>
          <w:bCs/>
          <w:sz w:val="24"/>
          <w:u w:val="single"/>
        </w:rPr>
        <w:t>公司</w:t>
      </w:r>
      <w:r>
        <w:rPr>
          <w:rFonts w:hint="eastAsia" w:ascii="宋体" w:cs="宋体"/>
          <w:b/>
          <w:bCs/>
          <w:sz w:val="24"/>
          <w:u w:val="single"/>
          <w:lang w:val="en-US" w:eastAsia="zh-CN"/>
        </w:rPr>
        <w:t>零件线甲、乙醇混合罐迁移改造</w:t>
      </w:r>
      <w:r>
        <w:rPr>
          <w:rFonts w:hint="eastAsia" w:ascii="宋体" w:cs="宋体"/>
          <w:b/>
          <w:bCs/>
          <w:sz w:val="24"/>
          <w:u w:val="single"/>
        </w:rPr>
        <w:t>施工招标</w:t>
      </w:r>
      <w:r>
        <w:rPr>
          <w:rFonts w:hint="eastAsia" w:ascii="宋体" w:cs="宋体"/>
          <w:sz w:val="24"/>
        </w:rPr>
        <w:t>，招标人为</w:t>
      </w:r>
      <w:r>
        <w:rPr>
          <w:rFonts w:hint="eastAsia" w:ascii="宋体" w:hAnsi="宋体" w:cs="宋体"/>
          <w:b/>
          <w:bCs/>
          <w:kern w:val="0"/>
          <w:sz w:val="24"/>
          <w:u w:val="single"/>
          <w:lang w:bidi="en-US"/>
        </w:rPr>
        <w:t>中国重汽集团济南</w:t>
      </w:r>
      <w:r>
        <w:rPr>
          <w:rFonts w:hint="eastAsia" w:ascii="宋体" w:hAnsi="宋体" w:cs="宋体"/>
          <w:b/>
          <w:bCs/>
          <w:kern w:val="0"/>
          <w:sz w:val="24"/>
          <w:u w:val="single"/>
          <w:lang w:val="en-US" w:eastAsia="zh-CN" w:bidi="en-US"/>
        </w:rPr>
        <w:t>汽车部件</w:t>
      </w:r>
      <w:r>
        <w:rPr>
          <w:rFonts w:hint="eastAsia" w:ascii="宋体" w:hAnsi="宋体" w:cs="宋体"/>
          <w:b/>
          <w:bCs/>
          <w:kern w:val="0"/>
          <w:sz w:val="24"/>
          <w:u w:val="single"/>
          <w:lang w:bidi="en-US"/>
        </w:rPr>
        <w:t>有限公司</w:t>
      </w:r>
      <w:r>
        <w:rPr>
          <w:rFonts w:hint="eastAsia" w:ascii="宋体" w:cs="宋体"/>
          <w:sz w:val="24"/>
        </w:rPr>
        <w:t>。建设资金来自企业自筹，出资比例为 100%</w:t>
      </w:r>
      <w:r>
        <w:rPr>
          <w:rFonts w:hint="eastAsia" w:ascii="宋体" w:cs="宋体"/>
          <w:sz w:val="24"/>
          <w:lang w:bidi="ar"/>
        </w:rPr>
        <w:t xml:space="preserve"> ，已具备招标条件，</w:t>
      </w:r>
      <w:r>
        <w:rPr>
          <w:rFonts w:hint="eastAsia" w:ascii="宋体" w:cs="宋体"/>
          <w:bCs/>
          <w:sz w:val="24"/>
          <w:lang w:bidi="ar"/>
        </w:rPr>
        <w:t>现组织</w:t>
      </w:r>
      <w:r>
        <w:rPr>
          <w:rFonts w:hint="eastAsia" w:ascii="宋体" w:cs="宋体"/>
          <w:sz w:val="24"/>
          <w:lang w:bidi="ar"/>
        </w:rPr>
        <w:t>进行公开招标，欢迎合格潜在投标人</w:t>
      </w:r>
      <w:r>
        <w:rPr>
          <w:rFonts w:hint="eastAsia" w:ascii="宋体" w:cs="宋体"/>
          <w:kern w:val="0"/>
          <w:sz w:val="24"/>
          <w:lang w:bidi="ar"/>
        </w:rPr>
        <w:t>前来参加投标</w:t>
      </w:r>
      <w:r>
        <w:rPr>
          <w:rFonts w:hint="eastAsia" w:ascii="宋体" w:cs="宋体"/>
          <w:sz w:val="24"/>
          <w:lang w:bidi="ar"/>
        </w:rPr>
        <w:t>。</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jc w:val="left"/>
        <w:rPr>
          <w:rStyle w:val="43"/>
          <w:rFonts w:hint="eastAsia" w:ascii="宋体" w:hAnsi="宋体" w:eastAsiaTheme="minorEastAsia" w:cstheme="minorBidi"/>
          <w:sz w:val="24"/>
          <w:highlight w:val="none"/>
          <w:u w:val="single"/>
          <w:lang w:val="en-US" w:eastAsia="zh-CN"/>
        </w:rPr>
      </w:pPr>
      <w:bookmarkStart w:id="10" w:name="_Toc144974482"/>
      <w:bookmarkEnd w:id="10"/>
      <w:bookmarkStart w:id="11" w:name="_Toc179632530"/>
      <w:bookmarkEnd w:id="11"/>
      <w:bookmarkStart w:id="12" w:name="_Toc152045514"/>
      <w:bookmarkEnd w:id="12"/>
      <w:bookmarkStart w:id="13" w:name="_Toc152042290"/>
      <w:bookmarkEnd w:id="13"/>
      <w:bookmarkStart w:id="14" w:name="_Toc285809451"/>
      <w:bookmarkEnd w:id="14"/>
      <w:r>
        <w:rPr>
          <w:rFonts w:hint="eastAsia" w:ascii="宋体" w:hAnsi="宋体" w:cs="宋体"/>
          <w:kern w:val="0"/>
          <w:sz w:val="24"/>
          <w:highlight w:val="none"/>
          <w:lang w:bidi="en-US"/>
        </w:rPr>
        <w:t>2.1工程名称：</w:t>
      </w:r>
      <w:r>
        <w:rPr>
          <w:rStyle w:val="43"/>
          <w:rFonts w:hint="eastAsia" w:ascii="宋体" w:hAnsi="宋体" w:eastAsiaTheme="minorEastAsia" w:cstheme="minorBidi"/>
          <w:sz w:val="24"/>
          <w:highlight w:val="none"/>
          <w:u w:val="single"/>
        </w:rPr>
        <w:t>济南</w:t>
      </w:r>
      <w:r>
        <w:rPr>
          <w:rStyle w:val="43"/>
          <w:rFonts w:hint="eastAsia" w:ascii="宋体" w:hAnsi="宋体" w:eastAsiaTheme="minorEastAsia" w:cstheme="minorBidi"/>
          <w:sz w:val="24"/>
          <w:highlight w:val="none"/>
          <w:u w:val="single"/>
          <w:lang w:val="en-US" w:eastAsia="zh-CN"/>
        </w:rPr>
        <w:t>汽车部件</w:t>
      </w:r>
      <w:r>
        <w:rPr>
          <w:rStyle w:val="43"/>
          <w:rFonts w:hint="eastAsia" w:ascii="宋体" w:hAnsi="宋体" w:eastAsiaTheme="minorEastAsia" w:cstheme="minorBidi"/>
          <w:sz w:val="24"/>
          <w:highlight w:val="none"/>
          <w:u w:val="single"/>
        </w:rPr>
        <w:t>公司</w:t>
      </w:r>
      <w:r>
        <w:rPr>
          <w:rFonts w:hint="eastAsia" w:ascii="宋体" w:hAnsi="宋体" w:cs="宋体"/>
          <w:kern w:val="0"/>
          <w:sz w:val="24"/>
          <w:highlight w:val="none"/>
          <w:u w:val="single"/>
          <w:lang w:val="en-US" w:eastAsia="zh-CN" w:bidi="en-US"/>
        </w:rPr>
        <w:t>零件线甲、乙醇混合罐迁移改造施工项目</w:t>
      </w:r>
      <w:r>
        <w:rPr>
          <w:rStyle w:val="43"/>
          <w:rFonts w:hint="eastAsia" w:ascii="宋体" w:hAnsi="宋体" w:eastAsiaTheme="minorEastAsia" w:cstheme="minorBidi"/>
          <w:sz w:val="24"/>
          <w:highlight w:val="none"/>
          <w:u w:val="single"/>
          <w:lang w:val="en-US" w:eastAsia="zh-CN"/>
        </w:rPr>
        <w:t xml:space="preserve"> （</w:t>
      </w:r>
      <w:r>
        <w:rPr>
          <w:rFonts w:ascii="宋体" w:hAnsi="宋体" w:eastAsia="宋体" w:cs="宋体"/>
          <w:sz w:val="24"/>
          <w:szCs w:val="24"/>
          <w:highlight w:val="none"/>
          <w:u w:val="single"/>
        </w:rPr>
        <w:t>罐体单个自重约500公斤</w:t>
      </w:r>
      <w:r>
        <w:rPr>
          <w:rFonts w:hint="eastAsia" w:ascii="宋体" w:hAnsi="宋体" w:eastAsia="宋体" w:cs="宋体"/>
          <w:sz w:val="24"/>
          <w:szCs w:val="24"/>
          <w:highlight w:val="none"/>
          <w:u w:val="single"/>
          <w:lang w:eastAsia="zh-CN"/>
        </w:rPr>
        <w:t>，</w:t>
      </w:r>
      <w:r>
        <w:rPr>
          <w:rFonts w:ascii="宋体" w:hAnsi="宋体" w:eastAsia="宋体" w:cs="宋体"/>
          <w:sz w:val="24"/>
          <w:szCs w:val="24"/>
          <w:highlight w:val="none"/>
          <w:u w:val="single"/>
        </w:rPr>
        <w:t>共两个，承重重量约1800公斤</w:t>
      </w:r>
      <w:r>
        <w:rPr>
          <w:rStyle w:val="43"/>
          <w:rFonts w:hint="eastAsia" w:ascii="宋体" w:hAnsi="宋体" w:eastAsiaTheme="minorEastAsia" w:cstheme="minorBidi"/>
          <w:sz w:val="24"/>
          <w:highlight w:val="none"/>
          <w:u w:val="single"/>
          <w:lang w:val="en-US" w:eastAsia="zh-CN"/>
        </w:rPr>
        <w:t xml:space="preserve">）。  </w:t>
      </w:r>
    </w:p>
    <w:p>
      <w:pPr>
        <w:pStyle w:val="9"/>
        <w:ind w:firstLine="480" w:firstLineChars="200"/>
        <w:rPr>
          <w:rStyle w:val="43"/>
          <w:rFonts w:hint="eastAsia" w:ascii="宋体" w:hAnsi="宋体" w:eastAsiaTheme="minorEastAsia" w:cstheme="minorBidi"/>
          <w:sz w:val="24"/>
          <w:highlight w:val="yellow"/>
          <w:u w:val="single"/>
          <w:lang w:val="en-US" w:eastAsia="zh-CN"/>
        </w:rPr>
      </w:pPr>
      <w:r>
        <w:rPr>
          <w:rFonts w:hint="eastAsia" w:ascii="宋体" w:hAnsi="宋体" w:eastAsia="宋体" w:cs="宋体"/>
          <w:kern w:val="0"/>
          <w:sz w:val="24"/>
          <w:szCs w:val="24"/>
          <w:lang w:val="en-US" w:eastAsia="zh-CN" w:bidi="en-US"/>
        </w:rPr>
        <w:t>项目简介：本项目为存罐平台，与东侧联合厂房贴建（作为其中间仓库），平台上方储存罐体，储存物品的火灾危险性类别为甲类，耐火等级二级</w:t>
      </w:r>
    </w:p>
    <w:p>
      <w:pPr>
        <w:widowControl/>
        <w:spacing w:line="360" w:lineRule="auto"/>
        <w:jc w:val="left"/>
        <w:rPr>
          <w:rFonts w:ascii="宋体" w:hAnsi="宋体" w:cs="宋体"/>
          <w:kern w:val="0"/>
          <w:sz w:val="24"/>
          <w:lang w:bidi="en-US"/>
        </w:rPr>
      </w:pPr>
      <w:r>
        <w:rPr>
          <w:rFonts w:hint="eastAsia" w:ascii="宋体" w:hAnsi="宋体" w:cs="宋体"/>
          <w:kern w:val="0"/>
          <w:sz w:val="24"/>
          <w:lang w:bidi="en-US"/>
        </w:rPr>
        <w:t>2.2工程地点：</w:t>
      </w:r>
      <w:r>
        <w:rPr>
          <w:rStyle w:val="43"/>
          <w:rFonts w:hint="eastAsia" w:ascii="宋体" w:hAnsi="宋体"/>
          <w:sz w:val="24"/>
          <w:u w:val="single"/>
        </w:rPr>
        <w:t>济南</w:t>
      </w:r>
      <w:r>
        <w:rPr>
          <w:rStyle w:val="43"/>
          <w:rFonts w:hint="eastAsia" w:ascii="宋体" w:hAnsi="宋体"/>
          <w:sz w:val="24"/>
          <w:u w:val="single"/>
          <w:lang w:val="en-US" w:eastAsia="zh-CN"/>
        </w:rPr>
        <w:t xml:space="preserve">部件公司底盘零件线  </w:t>
      </w:r>
      <w:r>
        <w:rPr>
          <w:rFonts w:hint="eastAsia" w:ascii="宋体" w:hAnsi="宋体" w:cs="宋体"/>
          <w:kern w:val="0"/>
          <w:sz w:val="24"/>
        </w:rPr>
        <w:t>；</w:t>
      </w:r>
    </w:p>
    <w:p>
      <w:pPr>
        <w:widowControl/>
        <w:spacing w:line="360" w:lineRule="auto"/>
        <w:jc w:val="left"/>
        <w:rPr>
          <w:rFonts w:hint="eastAsia" w:ascii="宋体" w:hAnsi="宋体" w:eastAsia="宋体" w:cs="宋体"/>
          <w:kern w:val="0"/>
          <w:sz w:val="24"/>
          <w:szCs w:val="24"/>
          <w:u w:val="single"/>
          <w:lang w:val="en-US" w:eastAsia="zh-CN" w:bidi="en-US"/>
        </w:rPr>
      </w:pPr>
      <w:r>
        <w:rPr>
          <w:rFonts w:hint="eastAsia" w:ascii="宋体" w:hAnsi="宋体" w:cs="宋体"/>
          <w:kern w:val="0"/>
          <w:sz w:val="24"/>
          <w:lang w:bidi="en-US"/>
        </w:rPr>
        <w:t>2.3工程概况</w:t>
      </w:r>
      <w:r>
        <w:rPr>
          <w:rFonts w:hint="eastAsia" w:ascii="宋体" w:hAnsi="宋体" w:cs="宋体"/>
          <w:kern w:val="0"/>
          <w:sz w:val="24"/>
          <w:lang w:eastAsia="zh-CN" w:bidi="en-US"/>
        </w:rPr>
        <w:t>：</w:t>
      </w:r>
      <w:r>
        <w:rPr>
          <w:rFonts w:hint="eastAsia" w:ascii="宋体" w:hAnsi="宋体" w:eastAsia="宋体" w:cs="宋体"/>
          <w:kern w:val="0"/>
          <w:sz w:val="24"/>
          <w:szCs w:val="24"/>
          <w:u w:val="single"/>
          <w:lang w:val="en-US" w:eastAsia="zh-CN" w:bidi="en-US"/>
        </w:rPr>
        <w:t>建筑物占地面积：27.22平方米，建筑物建筑面积：27.22平方米，其中地上建筑面积27.22平方米，无地下建筑面积，建筑层数：两层（底层架空），建筑高度：9.20m（室外设计地面至屋脊与檐口的平均高度）。</w:t>
      </w:r>
    </w:p>
    <w:p>
      <w:pPr>
        <w:widowControl/>
        <w:spacing w:line="360" w:lineRule="auto"/>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val="en-US" w:eastAsia="zh-CN" w:bidi="en-US"/>
        </w:rPr>
        <w:t>60</w:t>
      </w:r>
      <w:r>
        <w:rPr>
          <w:rFonts w:hint="eastAsia" w:ascii="宋体" w:hAnsi="宋体" w:cs="宋体"/>
          <w:kern w:val="0"/>
          <w:sz w:val="24"/>
          <w:u w:val="single"/>
          <w:lang w:bidi="en-US"/>
        </w:rPr>
        <w:t>个</w:t>
      </w:r>
      <w:r>
        <w:rPr>
          <w:rFonts w:hint="eastAsia" w:ascii="宋体" w:hAnsi="宋体" w:cs="宋体"/>
          <w:kern w:val="0"/>
          <w:sz w:val="24"/>
          <w:lang w:bidi="en-US"/>
        </w:rPr>
        <w:t>日历日</w:t>
      </w:r>
      <w:r>
        <w:rPr>
          <w:rStyle w:val="43"/>
          <w:rFonts w:hint="eastAsia" w:ascii="宋体" w:hAnsi="宋体" w:eastAsiaTheme="minorEastAsia" w:cstheme="minorBidi"/>
          <w:sz w:val="24"/>
        </w:rPr>
        <w:t>（暂定，具体以招标文件为准）</w:t>
      </w:r>
    </w:p>
    <w:p>
      <w:pPr>
        <w:widowControl/>
        <w:spacing w:line="360" w:lineRule="auto"/>
        <w:jc w:val="left"/>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本次招标范围包括但不限于施工图纸范围内的全部工作内容的施工、验收及质量保修，以及清单外新增施工内容等。具体详见</w:t>
      </w:r>
      <w:r>
        <w:rPr>
          <w:rFonts w:hint="eastAsia" w:ascii="宋体" w:hAnsi="宋体" w:cs="宋体"/>
          <w:kern w:val="0"/>
          <w:sz w:val="24"/>
          <w:u w:val="single"/>
          <w:lang w:bidi="en-US"/>
        </w:rPr>
        <w:t>招标文件、图纸及工程量清单</w:t>
      </w:r>
      <w:r>
        <w:rPr>
          <w:rFonts w:hint="eastAsia" w:ascii="宋体" w:hAnsi="宋体"/>
          <w:sz w:val="24"/>
        </w:rPr>
        <w:t>；</w:t>
      </w:r>
    </w:p>
    <w:p>
      <w:pPr>
        <w:widowControl/>
        <w:spacing w:line="360" w:lineRule="auto"/>
        <w:jc w:val="left"/>
        <w:rPr>
          <w:rFonts w:ascii="宋体" w:hAnsi="宋体" w:cs="宋体"/>
          <w:kern w:val="0"/>
          <w:sz w:val="24"/>
          <w:lang w:bidi="en-US"/>
        </w:rPr>
      </w:pPr>
      <w:r>
        <w:rPr>
          <w:rFonts w:hint="eastAsia" w:ascii="宋体" w:hAnsi="宋体" w:cs="宋体"/>
          <w:kern w:val="0"/>
          <w:sz w:val="24"/>
          <w:lang w:bidi="en-US"/>
        </w:rPr>
        <w:t>2.</w:t>
      </w:r>
      <w:r>
        <w:rPr>
          <w:rFonts w:ascii="宋体" w:hAnsi="宋体" w:cs="宋体"/>
          <w:kern w:val="0"/>
          <w:sz w:val="24"/>
          <w:lang w:bidi="en-US"/>
        </w:rPr>
        <w:t>7</w:t>
      </w:r>
      <w:r>
        <w:rPr>
          <w:rFonts w:hint="eastAsia" w:ascii="宋体" w:hAnsi="宋体" w:cs="宋体"/>
          <w:kern w:val="0"/>
          <w:sz w:val="24"/>
          <w:lang w:bidi="en-US"/>
        </w:rPr>
        <w:t>本工程共分：</w:t>
      </w:r>
      <w:r>
        <w:rPr>
          <w:rFonts w:hint="eastAsia" w:ascii="宋体" w:hAnsi="宋体" w:cs="宋体"/>
          <w:kern w:val="0"/>
          <w:sz w:val="24"/>
          <w:u w:val="single"/>
          <w:lang w:bidi="en-US"/>
        </w:rPr>
        <w:t>一个标段。</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必须是在中华人民共和国境内注册的独立法人机构，具有独立承担民事责任能力，注册资金不少于500万人民币；公司成立三年以上（以营业执照成立日期到开标当日满三年为准）；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（2）投标人资质要求：须</w:t>
      </w:r>
      <w:r>
        <w:rPr>
          <w:rFonts w:hint="eastAsia" w:ascii="宋体" w:hAnsi="宋体" w:cs="宋体"/>
          <w:kern w:val="0"/>
          <w:sz w:val="24"/>
        </w:rPr>
        <w:t>具有建筑工</w:t>
      </w:r>
      <w:r>
        <w:rPr>
          <w:rFonts w:hint="eastAsia" w:ascii="宋体" w:hAnsi="宋体"/>
          <w:kern w:val="0"/>
          <w:sz w:val="24"/>
          <w:szCs w:val="21"/>
          <w:lang w:bidi="en-US"/>
        </w:rPr>
        <w:t>程施工总承包三级及以上资质，并具有有效的安全生产许可证；</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w:t>
      </w:r>
      <w:r>
        <w:rPr>
          <w:rFonts w:hint="eastAsia" w:ascii="宋体" w:hAnsi="宋体"/>
          <w:kern w:val="0"/>
          <w:sz w:val="24"/>
          <w:szCs w:val="21"/>
          <w:lang w:val="en-US" w:eastAsia="zh-CN" w:bidi="en-US"/>
        </w:rPr>
        <w:t>及施工人员</w:t>
      </w:r>
      <w:r>
        <w:rPr>
          <w:rFonts w:hint="eastAsia" w:ascii="宋体" w:hAnsi="宋体"/>
          <w:kern w:val="0"/>
          <w:sz w:val="24"/>
          <w:szCs w:val="21"/>
          <w:lang w:bidi="en-US"/>
        </w:rPr>
        <w:t>要求：须具备建筑工程二级注册建造师证书，具有有效的安全考核合格B证且不得担任其他在施建设工程项目的项目经理</w:t>
      </w:r>
      <w:r>
        <w:rPr>
          <w:rFonts w:hint="eastAsia" w:ascii="宋体" w:hAnsi="宋体"/>
          <w:kern w:val="0"/>
          <w:sz w:val="24"/>
          <w:szCs w:val="21"/>
          <w:lang w:eastAsia="zh-CN" w:bidi="en-US"/>
        </w:rPr>
        <w:t>；</w:t>
      </w:r>
      <w:r>
        <w:rPr>
          <w:rFonts w:hint="eastAsia" w:ascii="宋体" w:hAnsi="宋体"/>
          <w:kern w:val="0"/>
          <w:sz w:val="24"/>
          <w:szCs w:val="21"/>
          <w:lang w:val="en-US" w:eastAsia="zh-CN" w:bidi="en-US"/>
        </w:rPr>
        <w:t>相关施工人员要持有应急管理部门发布的相应的特种作业资格证</w:t>
      </w:r>
      <w:r>
        <w:rPr>
          <w:rFonts w:hint="eastAsia" w:ascii="宋体" w:hAnsi="宋体"/>
          <w:kern w:val="0"/>
          <w:sz w:val="24"/>
          <w:szCs w:val="21"/>
          <w:lang w:bidi="en-US"/>
        </w:rPr>
        <w:t>。</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（4）单位负责人为同一人或者存在控股、管理关系的不同投标人，不得同时报名参加本次招标活动，否则须另提供上级单位对本项目投标的授权。</w:t>
      </w:r>
    </w:p>
    <w:p>
      <w:pPr>
        <w:widowControl/>
        <w:spacing w:line="360" w:lineRule="auto"/>
        <w:ind w:left="2" w:firstLine="480" w:firstLineChars="200"/>
        <w:jc w:val="left"/>
        <w:rPr>
          <w:rFonts w:hint="eastAsia" w:ascii="宋体" w:hAnsi="宋体"/>
          <w:kern w:val="0"/>
          <w:sz w:val="24"/>
          <w:lang w:bidi="en-US"/>
        </w:rPr>
      </w:pPr>
      <w:r>
        <w:rPr>
          <w:rFonts w:hint="eastAsia" w:ascii="宋体" w:hAnsi="宋体"/>
          <w:kern w:val="0"/>
          <w:sz w:val="24"/>
          <w:szCs w:val="21"/>
          <w:lang w:bidi="en-US"/>
        </w:rPr>
        <w:t>（5）财务要求：近三年财务状况良好</w:t>
      </w:r>
      <w:r>
        <w:rPr>
          <w:rFonts w:hint="eastAsia" w:ascii="宋体" w:hAnsi="宋体"/>
          <w:kern w:val="0"/>
          <w:sz w:val="24"/>
          <w:lang w:bidi="en-US"/>
        </w:rPr>
        <w:t>（近三年指2021、2022、2023年，2023年未出报告的可以往前推一年，要求包含企业最近半年完税证明、信用证明材料（中国人民银行征信报告）；年度纳税信用评价信息；企业对外担保说明）；</w:t>
      </w:r>
    </w:p>
    <w:p>
      <w:pPr>
        <w:widowControl/>
        <w:spacing w:line="360" w:lineRule="auto"/>
        <w:jc w:val="left"/>
        <w:rPr>
          <w:rFonts w:ascii="宋体" w:hAnsi="宋体"/>
          <w:kern w:val="0"/>
          <w:sz w:val="24"/>
          <w:szCs w:val="21"/>
          <w:lang w:bidi="en-US"/>
        </w:rPr>
      </w:pPr>
      <w:r>
        <w:rPr>
          <w:rFonts w:hint="eastAsia" w:ascii="宋体" w:hAnsi="宋体"/>
          <w:kern w:val="0"/>
          <w:sz w:val="24"/>
          <w:lang w:bidi="en-US"/>
        </w:rPr>
        <w:t>征信报告查询址</w:t>
      </w:r>
      <w:r>
        <w:rPr>
          <w:rFonts w:hint="eastAsia" w:ascii="宋体" w:hAnsi="宋体"/>
          <w:color w:val="0000FF"/>
          <w:kern w:val="0"/>
          <w:sz w:val="24"/>
          <w:lang w:val="en-US" w:eastAsia="zh-CN" w:bidi="en-US"/>
        </w:rPr>
        <w:t>:</w:t>
      </w:r>
      <w:r>
        <w:rPr>
          <w:rFonts w:ascii="宋体" w:hAnsi="宋体" w:cs="宋体"/>
          <w:color w:val="0000FF"/>
          <w:sz w:val="24"/>
        </w:rPr>
        <w:t>http://www.pbccrc.org.cn/zxzx/qyzx/202201/2a31586ca7d240fb8b64cba4b608085e.shtml</w:t>
      </w:r>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（6）信誉要求：</w:t>
      </w:r>
      <w:r>
        <w:rPr>
          <w:rFonts w:hint="eastAsia" w:ascii="宋体" w:cs="宋体"/>
          <w:sz w:val="24"/>
          <w:lang w:bidi="ar"/>
        </w:rPr>
        <w:t>公司信誉良好，无行政处罚及失信记录等信息，无违法违规等不良行为，无招标违规、谎报年度报告信息、提供虚假资质资料等行为或其他行政处罚记录；</w:t>
      </w:r>
    </w:p>
    <w:p>
      <w:pPr>
        <w:widowControl/>
        <w:spacing w:line="360" w:lineRule="auto"/>
        <w:ind w:left="2" w:firstLine="480" w:firstLineChars="200"/>
        <w:jc w:val="left"/>
        <w:rPr>
          <w:rFonts w:ascii="宋体" w:hAnsi="宋体"/>
          <w:kern w:val="0"/>
          <w:sz w:val="24"/>
          <w:lang w:bidi="en-US"/>
        </w:rPr>
      </w:pPr>
      <w:r>
        <w:rPr>
          <w:rFonts w:hint="eastAsia" w:ascii="宋体" w:hAnsi="宋体"/>
          <w:kern w:val="0"/>
          <w:sz w:val="24"/>
          <w:lang w:bidi="en-US"/>
        </w:rPr>
        <w:t>（7）业绩要求：近三年（2021年9月1日以来）内不少于三个合同额在100万元以上的</w:t>
      </w:r>
      <w:r>
        <w:rPr>
          <w:rFonts w:hint="eastAsia" w:ascii="宋体" w:hAnsi="宋体" w:cs="宋体"/>
          <w:kern w:val="0"/>
          <w:sz w:val="24"/>
          <w:lang w:bidi="en-US"/>
        </w:rPr>
        <w:t>工业厂房类（新建、扩建、改造）施工总承包业绩</w:t>
      </w:r>
      <w:r>
        <w:rPr>
          <w:rFonts w:hint="eastAsia" w:ascii="宋体" w:hAnsi="宋体"/>
          <w:kern w:val="0"/>
          <w:sz w:val="24"/>
          <w:lang w:bidi="en-US"/>
        </w:rPr>
        <w:t>；</w:t>
      </w:r>
    </w:p>
    <w:p>
      <w:pPr>
        <w:pStyle w:val="22"/>
        <w:ind w:left="0" w:leftChars="0" w:firstLine="480"/>
      </w:pPr>
      <w:r>
        <w:rPr>
          <w:rFonts w:hint="eastAsia" w:ascii="宋体" w:cs="宋体"/>
          <w:sz w:val="24"/>
        </w:rPr>
        <w:t>（8）供方的直接或间接股东、法定代表人、董事、监事、高管非重汽员工及其亲属。</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highlight w:val="none"/>
          <w:lang w:bidi="en-US"/>
        </w:rPr>
      </w:pPr>
      <w:r>
        <w:rPr>
          <w:rFonts w:hint="eastAsia" w:ascii="宋体" w:hAnsi="宋体" w:cs="宋体"/>
          <w:b/>
          <w:bCs/>
          <w:kern w:val="0"/>
          <w:sz w:val="24"/>
          <w:lang w:bidi="en-US"/>
        </w:rPr>
        <w:t>4．报名及招标文件的获取</w:t>
      </w:r>
      <w:r>
        <w:rPr>
          <w:rFonts w:hint="eastAsia" w:ascii="宋体" w:hAnsi="宋体" w:cs="宋体"/>
          <w:b/>
          <w:bCs/>
          <w:kern w:val="0"/>
          <w:sz w:val="28"/>
          <w:szCs w:val="28"/>
          <w:highlight w:val="none"/>
          <w:em w:val="dot"/>
          <w:lang w:bidi="en-US"/>
        </w:rPr>
        <w:t>（三种报名方式同时报名，详见下方说明）</w:t>
      </w:r>
    </w:p>
    <w:p>
      <w:pPr>
        <w:widowControl/>
        <w:spacing w:line="360" w:lineRule="auto"/>
        <w:ind w:firstLine="480" w:firstLineChars="200"/>
        <w:jc w:val="left"/>
        <w:rPr>
          <w:rFonts w:ascii="宋体" w:hAnsi="宋体" w:cs="宋体"/>
          <w:color w:val="0000FF"/>
          <w:kern w:val="0"/>
          <w:sz w:val="24"/>
          <w:lang w:bidi="en-US"/>
        </w:rPr>
      </w:pPr>
      <w:r>
        <w:rPr>
          <w:rFonts w:hint="eastAsia" w:ascii="宋体" w:hAnsi="宋体" w:cs="宋体"/>
          <w:kern w:val="0"/>
          <w:sz w:val="24"/>
          <w:lang w:bidi="en-US"/>
        </w:rPr>
        <w:t>4.1</w:t>
      </w:r>
      <w:r>
        <w:rPr>
          <w:rFonts w:hint="eastAsia" w:ascii="宋体" w:cs="宋体"/>
          <w:sz w:val="24"/>
          <w:lang w:bidi="ar"/>
        </w:rPr>
        <w:t>凡有意参加投标者，请最晚</w:t>
      </w:r>
      <w:r>
        <w:rPr>
          <w:rFonts w:hint="eastAsia" w:ascii="宋体" w:cs="宋体"/>
          <w:sz w:val="24"/>
          <w:highlight w:val="none"/>
          <w:lang w:bidi="ar"/>
        </w:rPr>
        <w:t>于</w:t>
      </w:r>
      <w:r>
        <w:rPr>
          <w:rFonts w:hint="eastAsia" w:ascii="宋体" w:cs="宋体"/>
          <w:color w:val="000000" w:themeColor="text1"/>
          <w:sz w:val="24"/>
          <w:highlight w:val="none"/>
          <w:lang w:bidi="ar"/>
          <w14:textFill>
            <w14:solidFill>
              <w14:schemeClr w14:val="tx1"/>
            </w14:solidFill>
          </w14:textFill>
        </w:rPr>
        <w:t>202</w:t>
      </w:r>
      <w:r>
        <w:rPr>
          <w:rFonts w:hint="eastAsia" w:ascii="宋体" w:cs="宋体"/>
          <w:color w:val="000000" w:themeColor="text1"/>
          <w:sz w:val="24"/>
          <w:highlight w:val="none"/>
          <w:lang w:val="en-US" w:eastAsia="zh-CN" w:bidi="ar"/>
          <w14:textFill>
            <w14:solidFill>
              <w14:schemeClr w14:val="tx1"/>
            </w14:solidFill>
          </w14:textFill>
        </w:rPr>
        <w:t>5</w:t>
      </w:r>
      <w:r>
        <w:rPr>
          <w:rFonts w:hint="eastAsia" w:ascii="宋体" w:cs="宋体"/>
          <w:color w:val="000000" w:themeColor="text1"/>
          <w:sz w:val="24"/>
          <w:highlight w:val="none"/>
          <w:lang w:bidi="ar"/>
          <w14:textFill>
            <w14:solidFill>
              <w14:schemeClr w14:val="tx1"/>
            </w14:solidFill>
          </w14:textFill>
        </w:rPr>
        <w:t>年</w:t>
      </w:r>
      <w:r>
        <w:rPr>
          <w:rFonts w:hint="eastAsia" w:ascii="宋体" w:cs="宋体"/>
          <w:color w:val="000000" w:themeColor="text1"/>
          <w:sz w:val="24"/>
          <w:highlight w:val="none"/>
          <w:lang w:val="en-US" w:eastAsia="zh-CN" w:bidi="ar"/>
          <w14:textFill>
            <w14:solidFill>
              <w14:schemeClr w14:val="tx1"/>
            </w14:solidFill>
          </w14:textFill>
        </w:rPr>
        <w:t>1</w:t>
      </w:r>
      <w:r>
        <w:rPr>
          <w:rFonts w:hint="eastAsia" w:ascii="宋体" w:cs="宋体"/>
          <w:color w:val="000000" w:themeColor="text1"/>
          <w:sz w:val="24"/>
          <w:highlight w:val="none"/>
          <w:lang w:bidi="ar"/>
          <w14:textFill>
            <w14:solidFill>
              <w14:schemeClr w14:val="tx1"/>
            </w14:solidFill>
          </w14:textFill>
        </w:rPr>
        <w:t>月</w:t>
      </w:r>
      <w:r>
        <w:rPr>
          <w:rFonts w:hint="eastAsia" w:ascii="宋体" w:cs="宋体"/>
          <w:color w:val="000000" w:themeColor="text1"/>
          <w:sz w:val="24"/>
          <w:highlight w:val="none"/>
          <w:lang w:val="en-US" w:eastAsia="zh-CN" w:bidi="ar"/>
          <w14:textFill>
            <w14:solidFill>
              <w14:schemeClr w14:val="tx1"/>
            </w14:solidFill>
          </w14:textFill>
        </w:rPr>
        <w:t>14</w:t>
      </w:r>
      <w:r>
        <w:rPr>
          <w:rFonts w:hint="eastAsia" w:ascii="宋体" w:cs="宋体"/>
          <w:color w:val="000000" w:themeColor="text1"/>
          <w:sz w:val="24"/>
          <w:highlight w:val="none"/>
          <w:lang w:bidi="ar"/>
          <w14:textFill>
            <w14:solidFill>
              <w14:schemeClr w14:val="tx1"/>
            </w14:solidFill>
          </w14:textFill>
        </w:rPr>
        <w:t>日</w:t>
      </w:r>
      <w:r>
        <w:rPr>
          <w:rFonts w:hint="eastAsia" w:ascii="宋体" w:cs="宋体"/>
          <w:color w:val="000000" w:themeColor="text1"/>
          <w:sz w:val="24"/>
          <w:highlight w:val="none"/>
          <w:lang w:val="en-US" w:eastAsia="zh-CN" w:bidi="ar"/>
          <w14:textFill>
            <w14:solidFill>
              <w14:schemeClr w14:val="tx1"/>
            </w14:solidFill>
          </w14:textFill>
        </w:rPr>
        <w:t>前</w:t>
      </w:r>
      <w:r>
        <w:rPr>
          <w:rFonts w:hint="eastAsia" w:ascii="宋体" w:cs="宋体"/>
          <w:color w:val="000000" w:themeColor="text1"/>
          <w:sz w:val="24"/>
          <w:highlight w:val="none"/>
          <w:lang w:bidi="ar"/>
          <w14:textFill>
            <w14:solidFill>
              <w14:schemeClr w14:val="tx1"/>
            </w14:solidFill>
          </w14:textFill>
        </w:rPr>
        <w:t>，</w:t>
      </w:r>
      <w:r>
        <w:rPr>
          <w:rFonts w:hint="eastAsia" w:ascii="宋体" w:cs="宋体"/>
          <w:sz w:val="24"/>
          <w:lang w:bidi="ar"/>
        </w:rPr>
        <w:t>按照以下顺序及所列项相关资料的</w:t>
      </w:r>
      <w:r>
        <w:rPr>
          <w:rFonts w:hint="eastAsia" w:ascii="宋体" w:cs="宋体"/>
          <w:b/>
          <w:bCs/>
          <w:sz w:val="24"/>
          <w:highlight w:val="none"/>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sz w:val="24"/>
          <w:highlight w:val="none"/>
          <w:lang w:bidi="ar"/>
        </w:rPr>
        <w:t>发送至邮箱</w:t>
      </w:r>
      <w:r>
        <w:rPr>
          <w:rFonts w:hint="eastAsia" w:ascii="宋体" w:cs="宋体"/>
          <w:sz w:val="24"/>
          <w:highlight w:val="none"/>
          <w:u w:val="single"/>
          <w:lang w:val="en-US" w:eastAsia="zh-CN" w:bidi="ar"/>
        </w:rPr>
        <w:t>367151@163.com</w:t>
      </w:r>
      <w:r>
        <w:rPr>
          <w:rFonts w:hint="eastAsia" w:ascii="宋体" w:cs="宋体"/>
          <w:sz w:val="24"/>
          <w:highlight w:val="none"/>
          <w:lang w:bidi="ar"/>
        </w:rPr>
        <w:t>并电话联系工作人员查收（</w:t>
      </w:r>
      <w:r>
        <w:rPr>
          <w:rFonts w:hint="eastAsia" w:ascii="宋体" w:cs="宋体"/>
          <w:sz w:val="24"/>
          <w:highlight w:val="none"/>
          <w:lang w:val="en-US" w:eastAsia="zh-CN" w:bidi="ar"/>
        </w:rPr>
        <w:t xml:space="preserve">王志宇、18266130181 </w:t>
      </w:r>
      <w:r>
        <w:rPr>
          <w:rFonts w:hint="eastAsia" w:ascii="宋体" w:cs="宋体"/>
          <w:sz w:val="24"/>
          <w:highlight w:val="none"/>
          <w:lang w:bidi="ar"/>
        </w:rPr>
        <w:t>），邮件名格式为：</w:t>
      </w:r>
      <w:r>
        <w:rPr>
          <w:rFonts w:hint="eastAsia" w:ascii="宋体" w:cs="宋体"/>
          <w:b/>
          <w:bCs/>
          <w:sz w:val="24"/>
          <w:highlight w:val="none"/>
          <w:lang w:bidi="ar"/>
        </w:rPr>
        <w:t>***公司（五个字以内公司简称）***项目报名资料。同时必须在邮件中以文字方式提供投标单位全称、</w:t>
      </w:r>
      <w:r>
        <w:rPr>
          <w:rFonts w:hint="eastAsia" w:ascii="宋体" w:cs="宋体"/>
          <w:b/>
          <w:bCs/>
          <w:sz w:val="24"/>
          <w:lang w:bidi="ar"/>
        </w:rPr>
        <w:t>投标授权人姓名、联系方式</w:t>
      </w:r>
      <w:r>
        <w:rPr>
          <w:rFonts w:hint="eastAsia" w:ascii="宋体" w:cs="宋体"/>
          <w:sz w:val="24"/>
          <w:lang w:bidi="ar"/>
        </w:rPr>
        <w:t>（固定电话、手机、电子邮箱）。</w:t>
      </w:r>
    </w:p>
    <w:p>
      <w:pPr>
        <w:widowControl/>
        <w:numPr>
          <w:ilvl w:val="0"/>
          <w:numId w:val="1"/>
        </w:numPr>
        <w:spacing w:line="360" w:lineRule="auto"/>
        <w:jc w:val="left"/>
        <w:rPr>
          <w:kern w:val="0"/>
          <w:sz w:val="24"/>
          <w:szCs w:val="21"/>
          <w:lang w:bidi="en-US"/>
        </w:rPr>
      </w:pPr>
      <w:r>
        <w:rPr>
          <w:rFonts w:hint="eastAsia" w:ascii="宋体" w:cs="宋体"/>
          <w:sz w:val="24"/>
          <w:lang w:bidi="ar"/>
        </w:rPr>
        <w:t>XXX公司XXX项目投标信息明细表（详见本公告附件1，</w:t>
      </w:r>
      <w:r>
        <w:rPr>
          <w:rFonts w:hint="eastAsia" w:ascii="宋体" w:cs="宋体"/>
          <w:b/>
          <w:bCs/>
          <w:sz w:val="24"/>
          <w:lang w:bidi="ar"/>
        </w:rPr>
        <w:t>注意要求</w:t>
      </w:r>
      <w:r>
        <w:rPr>
          <w:rFonts w:hint="eastAsia" w:ascii="宋体" w:cs="宋体"/>
          <w:b/>
          <w:bCs/>
          <w:color w:val="C00000"/>
          <w:sz w:val="24"/>
          <w:lang w:bidi="ar"/>
        </w:rPr>
        <w:t>附件1同时提供一份EXCEL格式</w:t>
      </w:r>
      <w:r>
        <w:rPr>
          <w:rFonts w:hint="eastAsia" w:ascii="宋体" w:cs="宋体"/>
          <w:b/>
          <w:bCs/>
          <w:sz w:val="24"/>
          <w:lang w:bidi="ar"/>
        </w:rPr>
        <w:t>，与上述PDF扫描件同时发邮箱</w:t>
      </w:r>
      <w:r>
        <w:rPr>
          <w:rFonts w:hint="eastAsia" w:ascii="宋体" w:cs="宋体"/>
          <w:sz w:val="24"/>
          <w:lang w:bidi="ar"/>
        </w:rPr>
        <w:t>）</w:t>
      </w:r>
    </w:p>
    <w:p>
      <w:pPr>
        <w:widowControl/>
        <w:numPr>
          <w:ilvl w:val="0"/>
          <w:numId w:val="2"/>
        </w:numPr>
        <w:spacing w:line="360" w:lineRule="auto"/>
        <w:jc w:val="left"/>
        <w:rPr>
          <w:kern w:val="0"/>
          <w:sz w:val="24"/>
          <w:szCs w:val="21"/>
          <w:lang w:bidi="en-US"/>
        </w:rPr>
      </w:pPr>
      <w:r>
        <w:rPr>
          <w:rFonts w:hint="eastAsia"/>
          <w:kern w:val="0"/>
          <w:sz w:val="24"/>
          <w:szCs w:val="21"/>
          <w:lang w:bidi="en-US"/>
        </w:rPr>
        <w:t>营业执照；</w:t>
      </w:r>
    </w:p>
    <w:p>
      <w:pPr>
        <w:widowControl/>
        <w:numPr>
          <w:ilvl w:val="0"/>
          <w:numId w:val="2"/>
        </w:numPr>
        <w:spacing w:line="360" w:lineRule="auto"/>
        <w:jc w:val="left"/>
        <w:rPr>
          <w:kern w:val="0"/>
          <w:sz w:val="24"/>
          <w:szCs w:val="21"/>
          <w:lang w:bidi="en-US"/>
        </w:rPr>
      </w:pPr>
      <w:r>
        <w:rPr>
          <w:rFonts w:hint="eastAsia"/>
          <w:kern w:val="0"/>
          <w:sz w:val="24"/>
          <w:szCs w:val="21"/>
          <w:lang w:bidi="en-US"/>
        </w:rPr>
        <w:t>资质证书；</w:t>
      </w:r>
    </w:p>
    <w:p>
      <w:pPr>
        <w:widowControl/>
        <w:numPr>
          <w:ilvl w:val="0"/>
          <w:numId w:val="2"/>
        </w:numPr>
        <w:spacing w:line="360" w:lineRule="auto"/>
        <w:jc w:val="left"/>
        <w:rPr>
          <w:kern w:val="0"/>
          <w:sz w:val="24"/>
          <w:szCs w:val="21"/>
          <w:lang w:bidi="en-US"/>
        </w:rPr>
      </w:pPr>
      <w:r>
        <w:rPr>
          <w:rFonts w:hint="eastAsia"/>
          <w:kern w:val="0"/>
          <w:sz w:val="24"/>
          <w:szCs w:val="21"/>
          <w:lang w:bidi="en-US"/>
        </w:rPr>
        <w:t>安全生产许可证；</w:t>
      </w:r>
    </w:p>
    <w:p>
      <w:pPr>
        <w:widowControl/>
        <w:numPr>
          <w:ilvl w:val="0"/>
          <w:numId w:val="2"/>
        </w:numPr>
        <w:spacing w:line="360" w:lineRule="auto"/>
        <w:jc w:val="left"/>
        <w:rPr>
          <w:kern w:val="0"/>
          <w:sz w:val="24"/>
          <w:szCs w:val="21"/>
          <w:lang w:bidi="en-US"/>
        </w:rPr>
      </w:pPr>
      <w:r>
        <w:rPr>
          <w:rFonts w:hint="eastAsia" w:ascii="宋体" w:cs="宋体"/>
          <w:sz w:val="24"/>
          <w:lang w:bidi="ar"/>
        </w:rPr>
        <w:t>信用中国截图；“中国执行信息公开网”截图</w:t>
      </w:r>
      <w:r>
        <w:rPr>
          <w:rFonts w:hint="eastAsia"/>
          <w:kern w:val="0"/>
          <w:sz w:val="24"/>
          <w:szCs w:val="21"/>
          <w:lang w:bidi="en-US"/>
        </w:rPr>
        <w:t>；</w:t>
      </w:r>
    </w:p>
    <w:p>
      <w:pPr>
        <w:widowControl/>
        <w:numPr>
          <w:ilvl w:val="0"/>
          <w:numId w:val="2"/>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投标单位资产情况汇总表，按照下述表格内容及顺序如实填写。填写的依据为经审计事务所审计并盖章的企业财务审计报告等相关资料，并将对应年度（2021-2023年，</w:t>
      </w:r>
      <w:r>
        <w:rPr>
          <w:rFonts w:hint="eastAsia" w:ascii="宋体" w:cs="宋体"/>
          <w:color w:val="0000FF"/>
          <w:sz w:val="24"/>
          <w:lang w:bidi="ar"/>
        </w:rPr>
        <w:t>若2023年未出报告可往前推一年，提供最近三年报告</w:t>
      </w:r>
      <w:r>
        <w:rPr>
          <w:rFonts w:hint="eastAsia" w:ascii="宋体" w:cs="宋体"/>
          <w:sz w:val="24"/>
          <w:lang w:bidi="ar"/>
        </w:rPr>
        <w:t>）企业财务审计报告扫描件附后，</w:t>
      </w:r>
      <w:r>
        <w:rPr>
          <w:rFonts w:hint="eastAsia" w:ascii="宋体" w:hAnsi="宋体"/>
          <w:kern w:val="0"/>
          <w:sz w:val="24"/>
          <w:lang w:bidi="en-US"/>
        </w:rPr>
        <w:t>还应包含企业最近半年完税证明、信用证明材料（中国人民银行征信报告）；年度纳税信用评价信息；企业对外担保说明</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pPr>
              <w:spacing w:line="360" w:lineRule="auto"/>
              <w:jc w:val="center"/>
              <w:rPr>
                <w:rStyle w:val="43"/>
                <w:rFonts w:ascii="宋体"/>
              </w:rPr>
            </w:pPr>
            <w:r>
              <w:rPr>
                <w:rStyle w:val="43"/>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注册资金（万元）</w:t>
            </w:r>
          </w:p>
        </w:tc>
        <w:tc>
          <w:tcPr>
            <w:tcW w:w="6861" w:type="dxa"/>
            <w:gridSpan w:val="3"/>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实收资金（万元）</w:t>
            </w:r>
          </w:p>
        </w:tc>
        <w:tc>
          <w:tcPr>
            <w:tcW w:w="6861" w:type="dxa"/>
            <w:gridSpan w:val="3"/>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年度资产情况</w:t>
            </w:r>
          </w:p>
        </w:tc>
        <w:tc>
          <w:tcPr>
            <w:tcW w:w="2295" w:type="dxa"/>
          </w:tcPr>
          <w:p>
            <w:pPr>
              <w:spacing w:line="360" w:lineRule="auto"/>
              <w:jc w:val="center"/>
              <w:rPr>
                <w:rStyle w:val="43"/>
                <w:rFonts w:ascii="宋体"/>
              </w:rPr>
            </w:pPr>
            <w:r>
              <w:rPr>
                <w:rStyle w:val="43"/>
                <w:rFonts w:hint="eastAsia" w:ascii="宋体"/>
              </w:rPr>
              <w:t>2021年</w:t>
            </w:r>
          </w:p>
        </w:tc>
        <w:tc>
          <w:tcPr>
            <w:tcW w:w="2283" w:type="dxa"/>
          </w:tcPr>
          <w:p>
            <w:pPr>
              <w:spacing w:line="360" w:lineRule="auto"/>
              <w:jc w:val="center"/>
              <w:rPr>
                <w:rStyle w:val="43"/>
                <w:rFonts w:ascii="宋体"/>
              </w:rPr>
            </w:pPr>
            <w:r>
              <w:rPr>
                <w:rStyle w:val="43"/>
                <w:rFonts w:hint="eastAsia" w:ascii="宋体"/>
              </w:rPr>
              <w:t>2022年</w:t>
            </w:r>
          </w:p>
        </w:tc>
        <w:tc>
          <w:tcPr>
            <w:tcW w:w="2283" w:type="dxa"/>
          </w:tcPr>
          <w:p>
            <w:pPr>
              <w:spacing w:line="360" w:lineRule="auto"/>
              <w:jc w:val="center"/>
              <w:rPr>
                <w:rStyle w:val="43"/>
                <w:rFonts w:ascii="宋体"/>
              </w:rPr>
            </w:pPr>
            <w:r>
              <w:rPr>
                <w:rStyle w:val="43"/>
                <w:rFonts w:hint="eastAsia" w:ascii="宋体"/>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流动资产（万元）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非流动资产（万元）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营业收入（万元）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年底资产总值（万元）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年底负债总值（万元）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资产负债率（</w:t>
            </w:r>
            <w:r>
              <w:rPr>
                <w:rStyle w:val="43"/>
                <w:rFonts w:hint="eastAsia" w:ascii="宋体"/>
                <w:u w:val="single"/>
              </w:rPr>
              <w:t xml:space="preserve">  </w:t>
            </w:r>
            <w:r>
              <w:rPr>
                <w:rStyle w:val="43"/>
                <w:rFonts w:hint="eastAsia" w:ascii="宋体"/>
              </w:rPr>
              <w:t>%）</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净利润（万元）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43"/>
                <w:rFonts w:ascii="宋体"/>
              </w:rPr>
            </w:pPr>
            <w:r>
              <w:rPr>
                <w:rStyle w:val="43"/>
                <w:rFonts w:hint="eastAsia" w:ascii="宋体"/>
              </w:rPr>
              <w:t>未分配利润（万元）</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43"/>
                <w:rFonts w:hint="eastAsia" w:ascii="宋体"/>
              </w:rPr>
              <w:t>营运资金</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43"/>
                <w:rFonts w:hint="eastAsia" w:ascii="宋体"/>
                <w:sz w:val="20"/>
                <w:szCs w:val="20"/>
              </w:rPr>
              <w:t>（本年营业收入-上年营业收入）÷上年营业收入</w:t>
            </w:r>
          </w:p>
        </w:tc>
        <w:tc>
          <w:tcPr>
            <w:tcW w:w="2295"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c>
          <w:tcPr>
            <w:tcW w:w="2283" w:type="dxa"/>
          </w:tcPr>
          <w:p>
            <w:pPr>
              <w:spacing w:line="360" w:lineRule="auto"/>
              <w:jc w:val="center"/>
              <w:rPr>
                <w:rStyle w:val="43"/>
                <w:rFonts w:ascii="宋体"/>
              </w:rPr>
            </w:pPr>
          </w:p>
        </w:tc>
      </w:tr>
    </w:tbl>
    <w:p>
      <w:pPr>
        <w:widowControl/>
        <w:numPr>
          <w:ilvl w:val="0"/>
          <w:numId w:val="2"/>
        </w:numPr>
        <w:spacing w:line="360" w:lineRule="auto"/>
        <w:jc w:val="left"/>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2"/>
        </w:numPr>
        <w:spacing w:line="360" w:lineRule="auto"/>
        <w:jc w:val="left"/>
        <w:rPr>
          <w:rFonts w:ascii="宋体"/>
          <w:kern w:val="0"/>
          <w:sz w:val="24"/>
          <w:szCs w:val="21"/>
          <w:lang w:bidi="en-US"/>
        </w:rPr>
      </w:pPr>
      <w:r>
        <w:rPr>
          <w:rFonts w:hint="eastAsia"/>
          <w:kern w:val="0"/>
          <w:sz w:val="24"/>
          <w:szCs w:val="21"/>
          <w:lang w:bidi="en-US"/>
        </w:rPr>
        <w:t>拟派项目经理注册建造师证书证及</w:t>
      </w:r>
      <w:r>
        <w:rPr>
          <w:rFonts w:hint="eastAsia" w:ascii="宋体"/>
          <w:kern w:val="0"/>
          <w:sz w:val="24"/>
          <w:szCs w:val="21"/>
          <w:lang w:bidi="en-US"/>
        </w:rPr>
        <w:t>有效的安全考核合格B证项目项目经理的履历简介、从业业绩（要求报名拟派项目经理须为投标项目经理，且中标后必须到场履职）。</w:t>
      </w:r>
    </w:p>
    <w:p>
      <w:pPr>
        <w:widowControl/>
        <w:numPr>
          <w:ilvl w:val="0"/>
          <w:numId w:val="2"/>
        </w:numPr>
        <w:spacing w:line="360" w:lineRule="auto"/>
        <w:jc w:val="left"/>
        <w:rPr>
          <w:kern w:val="0"/>
          <w:sz w:val="24"/>
          <w:szCs w:val="21"/>
          <w:lang w:bidi="en-US"/>
        </w:rPr>
      </w:pPr>
      <w:r>
        <w:rPr>
          <w:rFonts w:hint="eastAsia"/>
          <w:kern w:val="0"/>
          <w:sz w:val="24"/>
          <w:szCs w:val="21"/>
          <w:lang w:bidi="en-US"/>
        </w:rPr>
        <w:t>类似工业建筑项目业绩，要求提供合同扫描件，数量不限，能报尽报，填写附件2；</w:t>
      </w:r>
    </w:p>
    <w:p>
      <w:pPr>
        <w:widowControl/>
        <w:numPr>
          <w:ilvl w:val="0"/>
          <w:numId w:val="2"/>
        </w:numPr>
        <w:spacing w:line="360" w:lineRule="auto"/>
        <w:jc w:val="left"/>
        <w:rPr>
          <w:kern w:val="0"/>
          <w:sz w:val="24"/>
          <w:szCs w:val="21"/>
          <w:lang w:bidi="en-US"/>
        </w:rPr>
      </w:pPr>
      <w:r>
        <w:rPr>
          <w:rFonts w:hint="eastAsia"/>
          <w:kern w:val="0"/>
          <w:sz w:val="24"/>
          <w:szCs w:val="21"/>
          <w:lang w:bidi="en-US"/>
        </w:rPr>
        <w:t>唯一的法人授权委托书、授权人和被授权人身份证、及在本单位近12个月社保缴纳证明；</w:t>
      </w:r>
    </w:p>
    <w:p>
      <w:pPr>
        <w:widowControl/>
        <w:numPr>
          <w:ilvl w:val="0"/>
          <w:numId w:val="2"/>
        </w:numPr>
        <w:spacing w:line="360" w:lineRule="auto"/>
        <w:jc w:val="left"/>
        <w:rPr>
          <w:kern w:val="0"/>
          <w:sz w:val="24"/>
          <w:szCs w:val="21"/>
          <w:lang w:bidi="en-US"/>
        </w:rPr>
      </w:pPr>
      <w:r>
        <w:rPr>
          <w:rFonts w:hint="eastAsia"/>
          <w:kern w:val="0"/>
          <w:sz w:val="24"/>
          <w:szCs w:val="21"/>
          <w:lang w:bidi="en-US"/>
        </w:rPr>
        <w:t>联系人、联系方式、电子邮箱。</w:t>
      </w:r>
    </w:p>
    <w:p>
      <w:pPr>
        <w:spacing w:line="360" w:lineRule="auto"/>
        <w:ind w:firstLine="482" w:firstLineChars="200"/>
        <w:rPr>
          <w:rFonts w:ascii="宋体" w:cs="宋体"/>
          <w:b/>
          <w:bCs/>
          <w:color w:val="000000"/>
          <w:sz w:val="24"/>
          <w:u w:val="single"/>
          <w:shd w:val="solid" w:color="D8D8D8" w:fill="FFFFFF"/>
          <w:lang w:bidi="ar"/>
        </w:rPr>
      </w:pPr>
      <w:r>
        <w:rPr>
          <w:rFonts w:hint="eastAsia" w:ascii="宋体" w:cs="宋体"/>
          <w:b/>
          <w:bCs/>
          <w:color w:val="000000"/>
          <w:sz w:val="24"/>
          <w:u w:val="single"/>
          <w:shd w:val="solid" w:color="D8D8D8" w:fill="FFFFFF"/>
          <w:lang w:bidi="ar"/>
        </w:rPr>
        <w:t>以上报名资料均要加盖公章.</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pPr>
        <w:spacing w:line="360" w:lineRule="auto"/>
        <w:ind w:firstLine="482" w:firstLineChars="200"/>
        <w:jc w:val="left"/>
        <w:rPr>
          <w:rFonts w:ascii="宋体" w:cs="宋体"/>
          <w:b/>
          <w:bCs/>
          <w:color w:val="C00000"/>
          <w:sz w:val="24"/>
          <w:lang w:bidi="ar"/>
        </w:rPr>
      </w:pPr>
      <w:r>
        <w:rPr>
          <w:rFonts w:hint="eastAsia" w:ascii="宋体" w:cs="宋体"/>
          <w:b/>
          <w:bCs/>
          <w:color w:val="C00000"/>
          <w:sz w:val="24"/>
          <w:lang w:bidi="ar"/>
        </w:rPr>
        <w:t>报名同时请按照本公告附件3《非生产供应商注册操作手册》完成平台注册（网址：</w:t>
      </w:r>
      <w:r>
        <w:fldChar w:fldCharType="begin"/>
      </w:r>
      <w:r>
        <w:instrText xml:space="preserve"> HYPERLINK "http://ecaitong.sinotruk.com:8012/" \l "/login），注册时，业务主管部门选择" </w:instrText>
      </w:r>
      <w:r>
        <w:fldChar w:fldCharType="separate"/>
      </w:r>
      <w:r>
        <w:rPr>
          <w:rStyle w:val="29"/>
          <w:color w:val="C00000"/>
        </w:rPr>
        <w:t>http</w:t>
      </w:r>
      <w:r>
        <w:rPr>
          <w:rStyle w:val="29"/>
          <w:rFonts w:hint="eastAsia"/>
          <w:color w:val="C00000"/>
        </w:rPr>
        <w:t>s</w:t>
      </w:r>
      <w:r>
        <w:rPr>
          <w:rStyle w:val="29"/>
          <w:color w:val="C00000"/>
        </w:rPr>
        <w:t>://ecaitong.sinotruk.com:8012/#/login），注册时，从</w:t>
      </w:r>
      <w:r>
        <w:rPr>
          <w:rStyle w:val="29"/>
          <w:b/>
          <w:bCs/>
          <w:color w:val="C00000"/>
          <w:highlight w:val="yellow"/>
          <w:em w:val="dot"/>
        </w:rPr>
        <w:t>非生产</w:t>
      </w:r>
      <w:r>
        <w:rPr>
          <w:rStyle w:val="29"/>
          <w:color w:val="C00000"/>
        </w:rPr>
        <w:t>供应商（招标）板块进入，</w:t>
      </w:r>
      <w:r>
        <w:rPr>
          <w:rStyle w:val="29"/>
          <w:color w:val="000000" w:themeColor="text1"/>
          <w:highlight w:val="red"/>
          <w14:textFill>
            <w14:solidFill>
              <w14:schemeClr w14:val="tx1"/>
            </w14:solidFill>
          </w14:textFill>
        </w:rPr>
        <w:t>财务状况为必填项，要求如实填写；账号信息</w:t>
      </w:r>
      <w:r>
        <w:rPr>
          <w:rStyle w:val="29"/>
          <w:b/>
          <w:bCs/>
          <w:color w:val="000000" w:themeColor="text1"/>
          <w:highlight w:val="red"/>
          <w:em w:val="dot"/>
          <w14:textFill>
            <w14:solidFill>
              <w14:schemeClr w14:val="tx1"/>
            </w14:solidFill>
          </w14:textFill>
        </w:rPr>
        <w:t>不允许有任何空格</w:t>
      </w:r>
      <w:r>
        <w:rPr>
          <w:rStyle w:val="29"/>
          <w:color w:val="000000" w:themeColor="text1"/>
          <w:highlight w:val="red"/>
          <w14:textFill>
            <w14:solidFill>
              <w14:schemeClr w14:val="tx1"/>
            </w14:solidFill>
          </w14:textFill>
        </w:rPr>
        <w:t>且</w:t>
      </w:r>
      <w:r>
        <w:rPr>
          <w:rStyle w:val="29"/>
          <w:b/>
          <w:bCs/>
          <w:color w:val="000000" w:themeColor="text1"/>
          <w:highlight w:val="red"/>
          <w:em w:val="dot"/>
          <w14:textFill>
            <w14:solidFill>
              <w14:schemeClr w14:val="tx1"/>
            </w14:solidFill>
          </w14:textFill>
        </w:rPr>
        <w:t>必须填写对公账号</w:t>
      </w:r>
      <w:r>
        <w:rPr>
          <w:rStyle w:val="29"/>
          <w:color w:val="000000" w:themeColor="text1"/>
          <w:highlight w:val="red"/>
          <w14:textFill>
            <w14:solidFill>
              <w14:schemeClr w14:val="tx1"/>
            </w14:solidFill>
          </w14:textFill>
        </w:rPr>
        <w:t>（不按要求填写的将影响投标保证金退还）</w:t>
      </w:r>
      <w:r>
        <w:rPr>
          <w:rStyle w:val="29"/>
          <w:color w:val="C00000"/>
        </w:rPr>
        <w:t>。</w:t>
      </w:r>
      <w:r>
        <w:rPr>
          <w:rStyle w:val="29"/>
          <w:color w:val="C00000"/>
          <w:highlight w:val="cyan"/>
        </w:rPr>
        <w:t>项目编号</w:t>
      </w:r>
      <w:r>
        <w:rPr>
          <w:rStyle w:val="29"/>
          <w:color w:val="C00000"/>
          <w:highlight w:val="cyan"/>
        </w:rPr>
        <w:fldChar w:fldCharType="end"/>
      </w:r>
      <w:r>
        <w:rPr>
          <w:rFonts w:hint="eastAsia" w:ascii="宋体" w:cs="宋体"/>
          <w:b/>
          <w:bCs/>
          <w:color w:val="C00000"/>
          <w:sz w:val="24"/>
          <w:highlight w:val="cyan"/>
          <w:u w:val="single"/>
          <w:lang w:bidi="ar"/>
        </w:rPr>
        <w:t>见本公告标题下方</w:t>
      </w:r>
      <w:r>
        <w:rPr>
          <w:rStyle w:val="29"/>
          <w:color w:val="C00000"/>
          <w:lang w:bidi="ar"/>
        </w:rPr>
        <w:t>。</w:t>
      </w:r>
      <w:r>
        <w:rPr>
          <w:rFonts w:hint="eastAsia" w:ascii="宋体" w:cs="宋体"/>
          <w:b/>
          <w:bCs/>
          <w:color w:val="C00000"/>
          <w:sz w:val="24"/>
          <w:highlight w:val="yellow"/>
          <w:lang w:bidi="ar"/>
        </w:rPr>
        <w:t>e采通注册并</w:t>
      </w:r>
      <w:r>
        <w:rPr>
          <w:rFonts w:hint="eastAsia" w:ascii="宋体" w:cs="宋体"/>
          <w:b/>
          <w:bCs/>
          <w:color w:val="C00000"/>
          <w:sz w:val="24"/>
          <w:highlight w:val="yellow"/>
          <w:em w:val="dot"/>
          <w:lang w:bidi="ar"/>
        </w:rPr>
        <w:t>审核通过后</w:t>
      </w:r>
      <w:r>
        <w:rPr>
          <w:rFonts w:hint="eastAsia" w:ascii="宋体" w:cs="宋体"/>
          <w:b/>
          <w:bCs/>
          <w:color w:val="C00000"/>
          <w:sz w:val="24"/>
          <w:lang w:bidi="ar"/>
        </w:rPr>
        <w:t>方能参与本项目应标及后续投标，审核通过后请电话告知招标方联系人。</w:t>
      </w:r>
    </w:p>
    <w:p>
      <w:pPr>
        <w:spacing w:line="360" w:lineRule="auto"/>
        <w:ind w:firstLine="562" w:firstLineChars="200"/>
        <w:jc w:val="left"/>
        <w:rPr>
          <w:rFonts w:ascii="宋体" w:cs="宋体"/>
          <w:b/>
          <w:bCs/>
          <w:color w:val="000000" w:themeColor="text1"/>
          <w:sz w:val="28"/>
          <w:szCs w:val="28"/>
          <w:highlight w:val="red"/>
          <w:em w:val="dot"/>
          <w:lang w:bidi="ar"/>
          <w14:textFill>
            <w14:solidFill>
              <w14:schemeClr w14:val="tx1"/>
            </w14:solidFill>
          </w14:textFill>
        </w:rPr>
      </w:pPr>
      <w:r>
        <w:rPr>
          <w:rFonts w:hint="eastAsia" w:ascii="宋体" w:cs="宋体"/>
          <w:b/>
          <w:bCs/>
          <w:color w:val="000000" w:themeColor="text1"/>
          <w:sz w:val="28"/>
          <w:szCs w:val="28"/>
          <w:highlight w:val="red"/>
          <w:em w:val="dot"/>
          <w:lang w:bidi="ar"/>
          <w14:textFill>
            <w14:solidFill>
              <w14:schemeClr w14:val="tx1"/>
            </w14:solidFill>
          </w14:textFill>
        </w:rPr>
        <w:t>供应商需同时在阳光采购服务平台进行注册，注册后搜索该项目并进行报名，在本公告要求的截止时间前根据平台要求提供报名资料。</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1</w:t>
      </w:r>
      <w:r>
        <w:rPr>
          <w:rFonts w:hint="eastAsia" w:ascii="宋体" w:hAnsi="宋体" w:cs="宋体"/>
          <w:kern w:val="0"/>
          <w:sz w:val="24"/>
          <w:lang w:bidi="en-US"/>
        </w:rPr>
        <w:t>招标文件获取：另行通知。</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2</w:t>
      </w:r>
      <w:r>
        <w:rPr>
          <w:rFonts w:hint="eastAsia" w:ascii="宋体" w:hAnsi="宋体" w:cs="宋体"/>
          <w:kern w:val="0"/>
          <w:sz w:val="24"/>
          <w:lang w:bidi="en-US"/>
        </w:rPr>
        <w:t>招标文件工本费：无。</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3</w:t>
      </w:r>
      <w:r>
        <w:rPr>
          <w:rFonts w:hint="eastAsia" w:ascii="宋体" w:hAnsi="宋体" w:cs="宋体"/>
          <w:kern w:val="0"/>
          <w:sz w:val="24"/>
          <w:lang w:bidi="en-US"/>
        </w:rPr>
        <w:t>投标保证金金额、形式和递交：详见招标文件。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w:t>
      </w:r>
      <w:r>
        <w:rPr>
          <w:rFonts w:hint="eastAsia" w:ascii="宋体" w:hAnsi="宋体" w:cs="宋体"/>
          <w:kern w:val="0"/>
          <w:sz w:val="24"/>
          <w:lang w:val="en-US" w:eastAsia="zh-CN" w:bidi="en-US"/>
        </w:rPr>
        <w:t>4</w:t>
      </w:r>
      <w:r>
        <w:rPr>
          <w:rFonts w:hint="eastAsia" w:ascii="宋体" w:hAnsi="宋体" w:cs="宋体"/>
          <w:kern w:val="0"/>
          <w:sz w:val="24"/>
          <w:lang w:bidi="en-US"/>
        </w:rPr>
        <w:t>中标服务费：无。</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本次公告同时在山东省阳光采购服务平台、中国招标投标公共服务平台及中国重型汽车集团有限公司网站上发布。</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5" w:name="_Toc234382576"/>
      <w:bookmarkEnd w:id="15"/>
      <w:r>
        <w:rPr>
          <w:rFonts w:hint="eastAsia" w:ascii="宋体" w:hAnsi="宋体" w:cs="宋体"/>
          <w:b/>
          <w:bCs/>
          <w:kern w:val="0"/>
          <w:sz w:val="24"/>
          <w:lang w:bidi="en-US"/>
        </w:rPr>
        <w:t>．联系方式</w:t>
      </w:r>
    </w:p>
    <w:p>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招 标 人：中国重汽集团济南</w:t>
      </w:r>
      <w:r>
        <w:rPr>
          <w:rFonts w:hint="eastAsia" w:ascii="宋体" w:hAnsi="宋体" w:cs="宋体"/>
          <w:kern w:val="0"/>
          <w:sz w:val="24"/>
          <w:lang w:val="en-US" w:eastAsia="zh-CN" w:bidi="en-US"/>
        </w:rPr>
        <w:t>汽车部件有限公司</w:t>
      </w:r>
    </w:p>
    <w:p>
      <w:pPr>
        <w:widowControl/>
        <w:spacing w:line="500" w:lineRule="exact"/>
        <w:ind w:firstLine="480" w:firstLineChars="200"/>
        <w:jc w:val="left"/>
        <w:rPr>
          <w:rFonts w:hint="eastAsia"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济南市章丘区圣井街道潘王路西重汽工业园北三厂</w:t>
      </w:r>
    </w:p>
    <w:p>
      <w:pPr>
        <w:widowControl/>
        <w:spacing w:line="500" w:lineRule="exact"/>
        <w:ind w:firstLine="480" w:firstLineChars="200"/>
        <w:jc w:val="left"/>
        <w:rPr>
          <w:rFonts w:hint="default" w:ascii="宋体" w:hAnsi="宋体" w:cs="宋体"/>
          <w:kern w:val="0"/>
          <w:sz w:val="24"/>
          <w:highlight w:val="none"/>
          <w:lang w:val="en-US" w:eastAsia="zh-CN" w:bidi="en-US"/>
        </w:rPr>
      </w:pPr>
      <w:r>
        <w:rPr>
          <w:rFonts w:hint="eastAsia" w:ascii="宋体" w:hAnsi="宋体" w:cs="宋体"/>
          <w:kern w:val="0"/>
          <w:sz w:val="24"/>
          <w:highlight w:val="none"/>
          <w:lang w:bidi="en-US"/>
        </w:rPr>
        <w:t>联 系 人：</w:t>
      </w:r>
      <w:r>
        <w:rPr>
          <w:rFonts w:hint="eastAsia" w:ascii="宋体" w:hAnsi="宋体" w:cs="宋体"/>
          <w:kern w:val="0"/>
          <w:sz w:val="24"/>
          <w:highlight w:val="none"/>
          <w:lang w:val="en-US" w:eastAsia="zh-CN" w:bidi="en-US"/>
        </w:rPr>
        <w:t xml:space="preserve">王志宇              </w:t>
      </w:r>
    </w:p>
    <w:p>
      <w:pPr>
        <w:widowControl/>
        <w:spacing w:line="500" w:lineRule="exact"/>
        <w:ind w:firstLine="480" w:firstLineChars="200"/>
        <w:jc w:val="left"/>
        <w:rPr>
          <w:rFonts w:hint="default" w:ascii="宋体" w:hAnsi="宋体" w:eastAsia="宋体" w:cs="宋体"/>
          <w:kern w:val="0"/>
          <w:sz w:val="24"/>
          <w:highlight w:val="none"/>
          <w:lang w:val="en-US" w:eastAsia="zh-CN" w:bidi="en-US"/>
        </w:rPr>
      </w:pPr>
      <w:r>
        <w:rPr>
          <w:rFonts w:hint="eastAsia" w:ascii="宋体" w:hAnsi="宋体" w:cs="宋体"/>
          <w:kern w:val="0"/>
          <w:sz w:val="24"/>
          <w:highlight w:val="none"/>
          <w:lang w:bidi="en-US"/>
        </w:rPr>
        <w:t>电    话：</w:t>
      </w:r>
      <w:r>
        <w:rPr>
          <w:rFonts w:hint="eastAsia" w:ascii="宋体" w:hAnsi="宋体" w:cs="宋体"/>
          <w:kern w:val="0"/>
          <w:sz w:val="24"/>
          <w:highlight w:val="none"/>
          <w:lang w:val="en-US" w:eastAsia="zh-CN" w:bidi="en-US"/>
        </w:rPr>
        <w:t>18266130181</w:t>
      </w:r>
    </w:p>
    <w:p>
      <w:pPr>
        <w:widowControl/>
        <w:spacing w:line="500" w:lineRule="exact"/>
        <w:ind w:firstLine="480" w:firstLineChars="200"/>
        <w:jc w:val="left"/>
        <w:rPr>
          <w:rFonts w:hint="default" w:ascii="宋体" w:hAnsi="宋体" w:eastAsia="宋体" w:cs="宋体"/>
          <w:kern w:val="0"/>
          <w:sz w:val="24"/>
          <w:highlight w:val="none"/>
          <w:lang w:val="en-US" w:eastAsia="zh-CN" w:bidi="en-US"/>
        </w:rPr>
      </w:pPr>
      <w:r>
        <w:rPr>
          <w:rFonts w:hint="eastAsia" w:ascii="宋体" w:hAnsi="宋体" w:cs="宋体"/>
          <w:kern w:val="0"/>
          <w:sz w:val="24"/>
          <w:highlight w:val="none"/>
          <w:lang w:eastAsia="en-US" w:bidi="en-US"/>
        </w:rPr>
        <w:t>电子邮件：</w:t>
      </w:r>
      <w:r>
        <w:rPr>
          <w:rFonts w:hint="eastAsia" w:ascii="宋体" w:hAnsi="宋体" w:cs="宋体"/>
          <w:kern w:val="0"/>
          <w:sz w:val="24"/>
          <w:highlight w:val="none"/>
          <w:lang w:val="en-US" w:eastAsia="zh-CN" w:bidi="en-US"/>
        </w:rPr>
        <w:t xml:space="preserve">367151@163.com                    </w:t>
      </w:r>
    </w:p>
    <w:p>
      <w:pPr>
        <w:widowControl/>
        <w:spacing w:line="500" w:lineRule="exact"/>
        <w:ind w:firstLine="480" w:firstLineChars="200"/>
        <w:jc w:val="right"/>
        <w:rPr>
          <w:rFonts w:ascii="宋体" w:hAnsi="宋体"/>
          <w:kern w:val="0"/>
          <w:sz w:val="24"/>
          <w:szCs w:val="21"/>
          <w:highlight w:val="none"/>
          <w:lang w:bidi="en-US"/>
        </w:rPr>
      </w:pPr>
      <w:r>
        <w:rPr>
          <w:rFonts w:hint="eastAsia" w:ascii="宋体" w:hAnsi="宋体"/>
          <w:kern w:val="0"/>
          <w:sz w:val="24"/>
          <w:szCs w:val="21"/>
          <w:highlight w:val="none"/>
          <w:lang w:eastAsia="en-US" w:bidi="en-US"/>
        </w:rPr>
        <w:t>202</w:t>
      </w:r>
      <w:r>
        <w:rPr>
          <w:rFonts w:hint="eastAsia" w:ascii="宋体" w:hAnsi="宋体"/>
          <w:kern w:val="0"/>
          <w:sz w:val="24"/>
          <w:szCs w:val="21"/>
          <w:highlight w:val="none"/>
          <w:lang w:bidi="en-US"/>
        </w:rPr>
        <w:t>4</w:t>
      </w:r>
      <w:r>
        <w:rPr>
          <w:rFonts w:hint="eastAsia" w:ascii="宋体" w:hAnsi="宋体"/>
          <w:kern w:val="0"/>
          <w:sz w:val="24"/>
          <w:szCs w:val="21"/>
          <w:highlight w:val="none"/>
          <w:lang w:eastAsia="en-US" w:bidi="en-US"/>
        </w:rPr>
        <w:t>年</w:t>
      </w:r>
      <w:r>
        <w:rPr>
          <w:rFonts w:hint="eastAsia" w:ascii="宋体" w:hAnsi="宋体"/>
          <w:kern w:val="0"/>
          <w:sz w:val="24"/>
          <w:szCs w:val="21"/>
          <w:highlight w:val="none"/>
          <w:lang w:val="en-US" w:eastAsia="zh-CN" w:bidi="en-US"/>
        </w:rPr>
        <w:t>12</w:t>
      </w:r>
      <w:r>
        <w:rPr>
          <w:rFonts w:hint="eastAsia" w:ascii="宋体" w:hAnsi="宋体"/>
          <w:kern w:val="0"/>
          <w:sz w:val="24"/>
          <w:szCs w:val="21"/>
          <w:highlight w:val="none"/>
          <w:lang w:eastAsia="en-US" w:bidi="en-US"/>
        </w:rPr>
        <w:t>月</w:t>
      </w:r>
    </w:p>
    <w:p>
      <w:pPr>
        <w:pStyle w:val="16"/>
        <w:rPr>
          <w:rFonts w:ascii="宋体" w:hAnsi="宋体"/>
          <w:color w:val="FF0000"/>
          <w:kern w:val="0"/>
          <w:sz w:val="24"/>
          <w:szCs w:val="21"/>
          <w:lang w:bidi="en-US"/>
        </w:rPr>
      </w:pPr>
    </w:p>
    <w:p>
      <w:pPr>
        <w:rPr>
          <w:rFonts w:ascii="宋体" w:hAnsi="宋体"/>
          <w:kern w:val="0"/>
          <w:sz w:val="24"/>
          <w:szCs w:val="21"/>
          <w:lang w:bidi="en-US"/>
        </w:rPr>
      </w:pPr>
    </w:p>
    <w:p>
      <w:pPr>
        <w:rPr>
          <w:rFonts w:ascii="宋体" w:hAnsi="宋体"/>
          <w:kern w:val="0"/>
          <w:sz w:val="24"/>
          <w:szCs w:val="21"/>
          <w:lang w:bidi="en-US"/>
        </w:rPr>
        <w:sectPr>
          <w:headerReference r:id="rId6" w:type="default"/>
          <w:footerReference r:id="rId7" w:type="default"/>
          <w:type w:val="continuous"/>
          <w:pgSz w:w="11906" w:h="16838"/>
          <w:pgMar w:top="1003" w:right="1174" w:bottom="947" w:left="1174" w:header="227" w:footer="227" w:gutter="0"/>
          <w:cols w:space="720" w:num="1"/>
          <w:docGrid w:type="lines" w:linePitch="381" w:charSpace="0"/>
        </w:sectPr>
      </w:pPr>
    </w:p>
    <w:p>
      <w:pPr>
        <w:pStyle w:val="9"/>
        <w:rPr>
          <w:rFonts w:ascii="宋体" w:hAnsi="宋体" w:eastAsia="宋体"/>
          <w:kern w:val="0"/>
          <w:sz w:val="24"/>
          <w:szCs w:val="21"/>
          <w:lang w:bidi="en-US"/>
        </w:rPr>
      </w:pPr>
    </w:p>
    <w:p>
      <w:pPr>
        <w:rPr>
          <w:rFonts w:ascii="宋体" w:hAnsi="宋体"/>
          <w:kern w:val="0"/>
          <w:sz w:val="24"/>
          <w:szCs w:val="21"/>
          <w:lang w:bidi="en-US"/>
        </w:rPr>
      </w:pPr>
    </w:p>
    <w:p>
      <w:pPr>
        <w:pStyle w:val="16"/>
        <w:sectPr>
          <w:headerReference r:id="rId10" w:type="first"/>
          <w:headerReference r:id="rId8" w:type="default"/>
          <w:footerReference r:id="rId11" w:type="default"/>
          <w:headerReference r:id="rId9" w:type="even"/>
          <w:type w:val="continuous"/>
          <w:pgSz w:w="11906" w:h="16838"/>
          <w:pgMar w:top="720" w:right="720" w:bottom="720" w:left="720" w:header="227" w:footer="227" w:gutter="0"/>
          <w:cols w:space="720" w:num="1"/>
          <w:docGrid w:type="lines" w:linePitch="381" w:charSpace="0"/>
        </w:sectPr>
      </w:pPr>
    </w:p>
    <w:p>
      <w:pPr>
        <w:pStyle w:val="3"/>
        <w:jc w:val="center"/>
        <w:rPr>
          <w:i w:val="0"/>
          <w:iCs w:val="0"/>
          <w:sz w:val="32"/>
          <w:szCs w:val="32"/>
        </w:rPr>
      </w:pPr>
      <w:bookmarkStart w:id="16" w:name="_Toc162361703"/>
      <w:bookmarkStart w:id="17" w:name="_第二章  投标人须知"/>
      <w:r>
        <w:rPr>
          <w:rFonts w:hint="eastAsia"/>
          <w:i w:val="0"/>
          <w:iCs w:val="0"/>
          <w:sz w:val="32"/>
          <w:szCs w:val="32"/>
        </w:rPr>
        <w:t xml:space="preserve">第二章  </w:t>
      </w:r>
      <w:r>
        <w:rPr>
          <w:i w:val="0"/>
          <w:iCs w:val="0"/>
          <w:sz w:val="32"/>
          <w:szCs w:val="32"/>
        </w:rPr>
        <w:t>投标人须知</w:t>
      </w:r>
      <w:bookmarkEnd w:id="8"/>
      <w:bookmarkEnd w:id="9"/>
      <w:bookmarkEnd w:id="16"/>
    </w:p>
    <w:bookmarkEnd w:id="17"/>
    <w:p>
      <w:pPr>
        <w:pStyle w:val="4"/>
        <w:spacing w:before="0" w:after="0"/>
        <w:jc w:val="center"/>
        <w:rPr>
          <w:sz w:val="30"/>
          <w:szCs w:val="30"/>
        </w:rPr>
      </w:pPr>
      <w:bookmarkStart w:id="18" w:name="_Toc162361704"/>
      <w:bookmarkStart w:id="19" w:name="_Toc6745"/>
      <w:bookmarkStart w:id="20" w:name="_Toc17817322"/>
      <w:bookmarkStart w:id="21" w:name="_投标人须知前附表"/>
      <w:r>
        <w:rPr>
          <w:sz w:val="30"/>
          <w:szCs w:val="30"/>
        </w:rPr>
        <w:t>投标人须知前附表</w:t>
      </w:r>
      <w:bookmarkEnd w:id="18"/>
      <w:bookmarkEnd w:id="19"/>
      <w:bookmarkEnd w:id="20"/>
    </w:p>
    <w:bookmarkEnd w:id="21"/>
    <w:tbl>
      <w:tblPr>
        <w:tblStyle w:val="23"/>
        <w:tblW w:w="101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62"/>
        <w:gridCol w:w="2293"/>
        <w:gridCol w:w="693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962" w:type="dxa"/>
            <w:tcBorders>
              <w:top w:val="single" w:color="000000" w:sz="12" w:space="0"/>
              <w:left w:val="single" w:color="000000" w:sz="12" w:space="0"/>
              <w:bottom w:val="single" w:color="000000" w:sz="6" w:space="0"/>
              <w:right w:val="single" w:color="000000" w:sz="6" w:space="0"/>
            </w:tcBorders>
            <w:vAlign w:val="center"/>
          </w:tcPr>
          <w:p>
            <w:pPr>
              <w:rPr>
                <w:rStyle w:val="43"/>
                <w:rFonts w:ascii="宋体" w:hAnsi="宋体"/>
                <w:b/>
                <w:szCs w:val="21"/>
              </w:rPr>
            </w:pPr>
            <w:r>
              <w:rPr>
                <w:rStyle w:val="43"/>
                <w:rFonts w:ascii="宋体" w:hAnsi="宋体"/>
                <w:b/>
                <w:szCs w:val="21"/>
              </w:rPr>
              <w:t>条款号</w:t>
            </w:r>
          </w:p>
        </w:tc>
        <w:tc>
          <w:tcPr>
            <w:tcW w:w="2293" w:type="dxa"/>
            <w:tcBorders>
              <w:top w:val="single" w:color="000000" w:sz="12" w:space="0"/>
              <w:left w:val="single" w:color="000000" w:sz="6" w:space="0"/>
              <w:bottom w:val="single" w:color="000000" w:sz="6" w:space="0"/>
              <w:right w:val="single" w:color="000000" w:sz="6" w:space="0"/>
            </w:tcBorders>
            <w:vAlign w:val="center"/>
          </w:tcPr>
          <w:p>
            <w:pPr>
              <w:jc w:val="center"/>
              <w:rPr>
                <w:rStyle w:val="43"/>
                <w:rFonts w:ascii="宋体" w:hAnsi="宋体"/>
                <w:b/>
                <w:szCs w:val="21"/>
              </w:rPr>
            </w:pPr>
            <w:r>
              <w:rPr>
                <w:rStyle w:val="43"/>
                <w:rFonts w:ascii="宋体" w:hAnsi="宋体"/>
                <w:b/>
                <w:szCs w:val="21"/>
              </w:rPr>
              <w:t>条款名称</w:t>
            </w:r>
          </w:p>
        </w:tc>
        <w:tc>
          <w:tcPr>
            <w:tcW w:w="6930" w:type="dxa"/>
            <w:tcBorders>
              <w:top w:val="single" w:color="000000" w:sz="12" w:space="0"/>
              <w:left w:val="single" w:color="000000" w:sz="6" w:space="0"/>
              <w:bottom w:val="single" w:color="000000" w:sz="6" w:space="0"/>
              <w:right w:val="single" w:color="000000" w:sz="12" w:space="0"/>
            </w:tcBorders>
            <w:vAlign w:val="center"/>
          </w:tcPr>
          <w:p>
            <w:pPr>
              <w:jc w:val="center"/>
              <w:rPr>
                <w:rStyle w:val="43"/>
                <w:rFonts w:ascii="宋体" w:hAnsi="宋体"/>
                <w:b/>
                <w:szCs w:val="21"/>
              </w:rPr>
            </w:pPr>
            <w:r>
              <w:rPr>
                <w:rStyle w:val="43"/>
                <w:rFonts w:ascii="宋体" w:hAnsi="宋体"/>
                <w:b/>
                <w:szCs w:val="21"/>
              </w:rPr>
              <w:t>编  列  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1.1.2</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招标人</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jc w:val="center"/>
              <w:rPr>
                <w:rFonts w:hint="eastAsia" w:ascii="宋体" w:hAnsi="宋体" w:cs="宋体"/>
                <w:kern w:val="0"/>
                <w:szCs w:val="21"/>
                <w:lang w:val="en-US" w:eastAsia="zh-CN" w:bidi="en-US"/>
              </w:rPr>
            </w:pPr>
            <w:r>
              <w:rPr>
                <w:rFonts w:hint="eastAsia" w:ascii="宋体" w:hAnsi="宋体" w:cs="宋体"/>
                <w:kern w:val="0"/>
                <w:szCs w:val="21"/>
                <w:lang w:val="en-US" w:eastAsia="zh-CN" w:bidi="en-US"/>
              </w:rPr>
              <w:t>名  称：中国重汽集团济南汽车部件有限公司</w:t>
            </w:r>
          </w:p>
          <w:p>
            <w:pPr>
              <w:spacing w:line="276" w:lineRule="auto"/>
              <w:jc w:val="center"/>
              <w:rPr>
                <w:rFonts w:hint="eastAsia" w:ascii="宋体" w:hAnsi="宋体" w:cs="宋体"/>
                <w:kern w:val="0"/>
                <w:szCs w:val="21"/>
                <w:lang w:val="en-US" w:eastAsia="zh-CN" w:bidi="en-US"/>
              </w:rPr>
            </w:pPr>
            <w:r>
              <w:rPr>
                <w:rFonts w:hint="eastAsia" w:ascii="宋体" w:hAnsi="宋体" w:cs="宋体"/>
                <w:kern w:val="0"/>
                <w:szCs w:val="21"/>
                <w:lang w:val="en-US" w:eastAsia="zh-CN" w:bidi="en-US"/>
              </w:rPr>
              <w:t>地  址：济南市章丘区圣井街道潘王路西重汽工业园北三厂</w:t>
            </w:r>
          </w:p>
          <w:p>
            <w:pPr>
              <w:spacing w:line="276" w:lineRule="auto"/>
              <w:jc w:val="center"/>
              <w:rPr>
                <w:rFonts w:hint="eastAsia" w:ascii="宋体" w:hAnsi="宋体" w:eastAsia="宋体"/>
                <w:szCs w:val="21"/>
                <w:lang w:val="en-US" w:eastAsia="zh-CN"/>
              </w:rPr>
            </w:pPr>
            <w:r>
              <w:rPr>
                <w:rFonts w:hint="eastAsia" w:ascii="宋体" w:hAnsi="宋体"/>
                <w:szCs w:val="21"/>
              </w:rPr>
              <w:t>联系人：</w:t>
            </w:r>
            <w:r>
              <w:rPr>
                <w:rFonts w:hint="eastAsia" w:ascii="宋体" w:hAnsi="宋体"/>
                <w:szCs w:val="21"/>
                <w:lang w:val="en-US" w:eastAsia="zh-CN"/>
              </w:rPr>
              <w:t>王志宇</w:t>
            </w:r>
          </w:p>
          <w:p>
            <w:pPr>
              <w:spacing w:line="276" w:lineRule="auto"/>
              <w:jc w:val="center"/>
              <w:rPr>
                <w:rStyle w:val="43"/>
                <w:rFonts w:hint="default" w:ascii="宋体" w:hAnsi="宋体" w:eastAsia="宋体"/>
                <w:lang w:val="en-US" w:eastAsia="zh-CN"/>
              </w:rPr>
            </w:pPr>
            <w:r>
              <w:rPr>
                <w:rFonts w:hint="eastAsia" w:ascii="宋体" w:hAnsi="宋体"/>
                <w:szCs w:val="21"/>
              </w:rPr>
              <w:t>电  话：</w:t>
            </w:r>
            <w:r>
              <w:rPr>
                <w:rFonts w:hint="eastAsia" w:ascii="宋体" w:hAnsi="宋体"/>
                <w:szCs w:val="21"/>
                <w:lang w:val="en-US" w:eastAsia="zh-CN"/>
              </w:rPr>
              <w:t>18266130181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2"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1.1.4</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项目名称</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hint="default" w:ascii="宋体" w:hAnsi="宋体"/>
                <w:szCs w:val="21"/>
                <w:lang w:val="en-US"/>
              </w:rPr>
            </w:pPr>
            <w:r>
              <w:rPr>
                <w:rFonts w:hint="eastAsia" w:ascii="宋体" w:hAnsi="宋体" w:cs="宋体"/>
                <w:kern w:val="0"/>
                <w:szCs w:val="21"/>
                <w:lang w:val="en-US" w:eastAsia="zh-CN" w:bidi="en-US"/>
              </w:rPr>
              <w:t>中国重汽集团济南汽车部件公司零件线甲、乙醇混合罐迁移改造施工招标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w:t>
            </w:r>
            <w:r>
              <w:rPr>
                <w:rStyle w:val="43"/>
                <w:rFonts w:hint="eastAsia" w:ascii="宋体" w:hAnsi="宋体"/>
                <w:szCs w:val="21"/>
              </w:rPr>
              <w:t>5</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jc w:val="center"/>
              <w:rPr>
                <w:rStyle w:val="43"/>
                <w:rFonts w:ascii="宋体" w:hAnsi="宋体"/>
                <w:szCs w:val="21"/>
              </w:rPr>
            </w:pPr>
            <w:r>
              <w:rPr>
                <w:rStyle w:val="43"/>
                <w:rFonts w:ascii="宋体" w:hAnsi="宋体"/>
                <w:szCs w:val="21"/>
              </w:rPr>
              <w:t>建设地点</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hint="eastAsia" w:ascii="宋体" w:hAnsi="宋体" w:eastAsia="宋体"/>
                <w:szCs w:val="21"/>
                <w:lang w:eastAsia="zh-CN"/>
              </w:rPr>
            </w:pPr>
            <w:r>
              <w:rPr>
                <w:rFonts w:hint="eastAsia" w:ascii="宋体" w:hAnsi="宋体" w:cs="宋体"/>
                <w:kern w:val="0"/>
                <w:szCs w:val="21"/>
                <w:lang w:val="en-US" w:eastAsia="zh-CN" w:bidi="en-US"/>
              </w:rPr>
              <w:t>济南市章丘区圣井街道潘王路西重汽工业园北三厂-济南部件公司底盘零件线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1.2.1</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资金来源</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ascii="宋体" w:hAnsi="宋体"/>
                <w:szCs w:val="21"/>
              </w:rPr>
            </w:pPr>
            <w:r>
              <w:rPr>
                <w:rStyle w:val="43"/>
                <w:rFonts w:ascii="宋体" w:hAnsi="宋体"/>
                <w:szCs w:val="21"/>
              </w:rPr>
              <w:t>自筹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1.2.2</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出资比例</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ascii="宋体" w:hAnsi="宋体"/>
                <w:szCs w:val="21"/>
              </w:rPr>
            </w:pPr>
            <w:r>
              <w:rPr>
                <w:rStyle w:val="43"/>
                <w:rFonts w:ascii="宋体" w:hAnsi="宋体"/>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1.2.3</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资金落实情况</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ascii="宋体" w:hAnsi="宋体"/>
                <w:szCs w:val="21"/>
              </w:rPr>
            </w:pPr>
            <w:r>
              <w:rPr>
                <w:rStyle w:val="43"/>
                <w:rFonts w:ascii="宋体" w:hAnsi="宋体"/>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1.3.1</w:t>
            </w:r>
          </w:p>
        </w:tc>
        <w:tc>
          <w:tcPr>
            <w:tcW w:w="2293" w:type="dxa"/>
            <w:tcBorders>
              <w:top w:val="single" w:color="000000" w:sz="6" w:space="0"/>
              <w:left w:val="single" w:color="000000" w:sz="6" w:space="0"/>
              <w:bottom w:val="single" w:color="000000" w:sz="6" w:space="0"/>
              <w:right w:val="single" w:color="000000" w:sz="6" w:space="0"/>
            </w:tcBorders>
            <w:vAlign w:val="center"/>
          </w:tcPr>
          <w:p>
            <w:pPr>
              <w:jc w:val="center"/>
              <w:rPr>
                <w:rStyle w:val="43"/>
                <w:rFonts w:ascii="宋体" w:hAnsi="宋体"/>
                <w:szCs w:val="21"/>
              </w:rPr>
            </w:pPr>
            <w:r>
              <w:rPr>
                <w:rStyle w:val="43"/>
                <w:rFonts w:ascii="宋体" w:hAnsi="宋体"/>
                <w:szCs w:val="21"/>
              </w:rPr>
              <w:t>招标范围</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ind w:firstLine="422" w:firstLineChars="200"/>
              <w:rPr>
                <w:rFonts w:hint="eastAsia" w:ascii="宋体" w:hAnsi="宋体" w:eastAsia="宋体" w:cs="宋体"/>
                <w:kern w:val="0"/>
                <w:sz w:val="24"/>
                <w:u w:val="single"/>
                <w:lang w:eastAsia="zh-CN" w:bidi="en-US"/>
              </w:rPr>
            </w:pPr>
            <w:r>
              <w:rPr>
                <w:rFonts w:hint="eastAsia" w:eastAsia="宋体"/>
                <w:b/>
                <w:bCs/>
                <w:color w:val="0000FF"/>
                <w:lang w:val="en-US" w:eastAsia="zh-CN"/>
              </w:rPr>
              <w:t>对</w:t>
            </w:r>
            <w:r>
              <w:rPr>
                <w:rFonts w:hint="eastAsia"/>
                <w:b/>
                <w:bCs/>
                <w:color w:val="0000FF"/>
                <w:lang w:val="en-US" w:eastAsia="zh-CN"/>
              </w:rPr>
              <w:t>底盘零件线现有甲、乙醇混合罐体进行迁移改造</w:t>
            </w:r>
            <w:r>
              <w:rPr>
                <w:rFonts w:hint="eastAsia" w:eastAsia="宋体"/>
                <w:b/>
                <w:bCs/>
                <w:color w:val="0000FF"/>
                <w:lang w:val="en-US" w:eastAsia="zh-CN"/>
              </w:rPr>
              <w:t>等配套设</w:t>
            </w:r>
            <w:r>
              <w:rPr>
                <w:rFonts w:hint="eastAsia" w:eastAsia="宋体"/>
                <w:b/>
                <w:bCs/>
                <w:color w:val="0000FF"/>
                <w:szCs w:val="21"/>
                <w:lang w:val="en-US" w:eastAsia="zh-CN"/>
              </w:rPr>
              <w:t>施</w:t>
            </w:r>
            <w:r>
              <w:rPr>
                <w:rFonts w:hint="eastAsia" w:eastAsia="宋体"/>
                <w:szCs w:val="21"/>
                <w:lang w:val="en-US" w:eastAsia="zh-CN"/>
              </w:rPr>
              <w:t>。</w:t>
            </w:r>
            <w:r>
              <w:rPr>
                <w:rFonts w:hint="eastAsia" w:eastAsia="宋体"/>
                <w:szCs w:val="21"/>
              </w:rPr>
              <w:t>本</w:t>
            </w:r>
            <w:r>
              <w:rPr>
                <w:rFonts w:hint="eastAsia" w:eastAsia="宋体"/>
              </w:rPr>
              <w:t>次招标范围包括但不限于施工图纸范围内的全部工作内容的</w:t>
            </w:r>
            <w:r>
              <w:rPr>
                <w:rFonts w:hint="eastAsia"/>
                <w:lang w:val="en-US" w:eastAsia="zh-CN"/>
              </w:rPr>
              <w:t>供货、安装</w:t>
            </w:r>
            <w:r>
              <w:rPr>
                <w:rFonts w:hint="eastAsia" w:eastAsia="宋体"/>
              </w:rPr>
              <w:t>施工、验收及质量保修，以及清单外新增施工内容等。具体详见招标文件、图纸及工程量清单</w:t>
            </w:r>
            <w:r>
              <w:rPr>
                <w:rFonts w:hint="eastAsia" w:eastAsia="宋体"/>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1.3.2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jc w:val="center"/>
              <w:rPr>
                <w:rFonts w:ascii="宋体" w:hAnsi="宋体" w:cs="宋体"/>
                <w:b/>
                <w:bCs/>
                <w:szCs w:val="21"/>
              </w:rPr>
            </w:pPr>
            <w:r>
              <w:rPr>
                <w:rStyle w:val="43"/>
                <w:rFonts w:hint="eastAsia" w:ascii="宋体" w:hAnsi="宋体"/>
                <w:szCs w:val="21"/>
              </w:rPr>
              <w:t>计划工期</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ind w:firstLine="210" w:firstLineChars="100"/>
              <w:rPr>
                <w:highlight w:val="none"/>
              </w:rPr>
            </w:pPr>
          </w:p>
          <w:p>
            <w:pPr>
              <w:pStyle w:val="9"/>
              <w:ind w:firstLine="630" w:firstLineChars="300"/>
              <w:rPr>
                <w:rFonts w:hint="default" w:ascii="Times New Roman" w:hAnsi="Times New Roman" w:eastAsia="宋体" w:cs="Times New Roman"/>
                <w:kern w:val="2"/>
                <w:sz w:val="21"/>
                <w:szCs w:val="24"/>
                <w:highlight w:val="none"/>
                <w:lang w:val="en-US" w:eastAsia="zh-CN" w:bidi="ar-SA"/>
              </w:rPr>
            </w:pPr>
            <w:r>
              <w:rPr>
                <w:rFonts w:hint="eastAsia" w:eastAsia="宋体" w:cs="Times New Roman"/>
                <w:kern w:val="2"/>
                <w:sz w:val="21"/>
                <w:szCs w:val="24"/>
                <w:highlight w:val="none"/>
                <w:lang w:val="en-US" w:eastAsia="zh-CN" w:bidi="ar-SA"/>
              </w:rPr>
              <w:t>60</w:t>
            </w:r>
            <w:r>
              <w:rPr>
                <w:rFonts w:hint="eastAsia" w:ascii="Times New Roman" w:hAnsi="Times New Roman" w:eastAsia="宋体" w:cs="Times New Roman"/>
                <w:kern w:val="2"/>
                <w:sz w:val="21"/>
                <w:szCs w:val="24"/>
                <w:highlight w:val="none"/>
                <w:lang w:val="en-US" w:eastAsia="zh-CN" w:bidi="ar-SA"/>
              </w:rPr>
              <w:t>天内</w:t>
            </w:r>
          </w:p>
          <w:p>
            <w:pPr>
              <w:pStyle w:val="9"/>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1.3.3</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Style w:val="43"/>
                <w:rFonts w:ascii="宋体" w:hAnsi="宋体"/>
                <w:szCs w:val="21"/>
              </w:rPr>
            </w:pPr>
            <w:r>
              <w:rPr>
                <w:rStyle w:val="43"/>
                <w:rFonts w:ascii="宋体" w:hAnsi="宋体"/>
                <w:szCs w:val="21"/>
              </w:rPr>
              <w:t>质量要求</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质量标准：</w:t>
            </w:r>
            <w:r>
              <w:rPr>
                <w:rStyle w:val="43"/>
                <w:rFonts w:ascii="宋体" w:hAnsi="宋体"/>
                <w:szCs w:val="21"/>
                <w:u w:val="single"/>
              </w:rPr>
              <w:t>合格</w:t>
            </w:r>
            <w:r>
              <w:rPr>
                <w:rStyle w:val="43"/>
                <w:rFonts w:ascii="宋体" w:hAnsi="宋体"/>
                <w:szCs w:val="21"/>
              </w:rPr>
              <w:t>；</w:t>
            </w:r>
          </w:p>
          <w:p>
            <w:pPr>
              <w:spacing w:line="276" w:lineRule="auto"/>
              <w:rPr>
                <w:rStyle w:val="43"/>
                <w:rFonts w:ascii="宋体" w:hAnsi="宋体"/>
                <w:szCs w:val="21"/>
              </w:rPr>
            </w:pPr>
            <w:r>
              <w:rPr>
                <w:rStyle w:val="43"/>
                <w:rFonts w:ascii="宋体" w:hAnsi="宋体"/>
                <w:szCs w:val="21"/>
              </w:rPr>
              <w:t>关于质量要求的详细说明见第七章“技术标准和要求”。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restart"/>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1.4.1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Style w:val="43"/>
                <w:rFonts w:ascii="宋体" w:hAnsi="宋体"/>
                <w:szCs w:val="21"/>
              </w:rPr>
            </w:pPr>
            <w:r>
              <w:rPr>
                <w:rStyle w:val="43"/>
                <w:rFonts w:ascii="宋体" w:hAnsi="宋体"/>
                <w:szCs w:val="21"/>
              </w:rPr>
              <w:t>投标人资格</w:t>
            </w:r>
          </w:p>
        </w:tc>
        <w:tc>
          <w:tcPr>
            <w:tcW w:w="6930" w:type="dxa"/>
            <w:tcBorders>
              <w:top w:val="single" w:color="000000" w:sz="6" w:space="0"/>
              <w:left w:val="single" w:color="000000" w:sz="6" w:space="0"/>
              <w:bottom w:val="single" w:color="000000" w:sz="6" w:space="0"/>
              <w:right w:val="single" w:color="000000" w:sz="12" w:space="0"/>
            </w:tcBorders>
          </w:tcPr>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 本次招标要求投标人具备：</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（2）投标人资质要求：须具有建筑工程施工总承包三级及以上资质，并具有有效的安全生产许可证；</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（3）投标人拟派项目负责人要求：须具备建筑工程二级注册建造师证书，具有有效的安全考核合格B证且不得担任其他在施建设工程项目的项目经理。</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（4）单位负责人为同一人或者存在控股、管理关系的不同投标人，不得同时报名参加本次招标活动，否则须另提供上级单位对本项目投标的授权。</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5）财务要求：近三年财务状况良好（近三年指2021、2022、2023年，2023年未出报告的可以往前推一年，要求包含企业最近半年完税证明、信用证明材料（中国人民银行征信报告）；年度纳税信用评价信息；企业对外担保说明）；</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（6）信誉要求：公司信誉良好，无行政处罚及失信记录等信息，无违法违规等不良行为，无招标违规、谎报年度报告信息、提供虚假资质资料等行为或其他行政处罚记录；</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（7）业绩要求：近三年（2021年9月1日以来）内不少于三个合同额在100万元以上的工业厂房类（新建、扩建、改造）施工总承包业绩；</w:t>
            </w:r>
          </w:p>
          <w:p>
            <w:pPr>
              <w:widowControl/>
              <w:spacing w:line="360" w:lineRule="auto"/>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（8）供方的直接或间接股东、法定代表人、董事、监事、高管非重汽员工及其亲属。</w:t>
            </w:r>
          </w:p>
          <w:p>
            <w:pPr>
              <w:widowControl/>
              <w:spacing w:line="360" w:lineRule="auto"/>
              <w:ind w:firstLine="420" w:firstLineChars="200"/>
              <w:jc w:val="left"/>
              <w:rPr>
                <w:rStyle w:val="43"/>
                <w:rFonts w:ascii="宋体" w:hAnsi="宋体"/>
                <w:b/>
                <w:szCs w:val="21"/>
              </w:rPr>
            </w:pPr>
            <w:r>
              <w:rPr>
                <w:rFonts w:hint="eastAsia" w:ascii="宋体" w:hAnsi="宋体" w:eastAsia="宋体" w:cs="宋体"/>
                <w:kern w:val="0"/>
                <w:sz w:val="21"/>
                <w:szCs w:val="21"/>
                <w:lang w:bidi="en-US"/>
              </w:rPr>
              <w:t>2 被邀请单位</w:t>
            </w:r>
            <w:r>
              <w:rPr>
                <w:rFonts w:hint="eastAsia" w:ascii="宋体" w:hAnsi="宋体" w:eastAsia="宋体" w:cs="宋体"/>
                <w:kern w:val="0"/>
                <w:sz w:val="21"/>
                <w:szCs w:val="21"/>
                <w:u w:val="single"/>
                <w:lang w:bidi="en-US"/>
              </w:rPr>
              <w:t xml:space="preserve"> 不可以 </w:t>
            </w:r>
            <w:r>
              <w:rPr>
                <w:rFonts w:hint="eastAsia" w:ascii="宋体" w:hAnsi="宋体" w:eastAsia="宋体" w:cs="宋体"/>
                <w:kern w:val="0"/>
                <w:sz w:val="21"/>
                <w:szCs w:val="21"/>
                <w:lang w:bidi="en-US"/>
              </w:rPr>
              <w:t>组成联合体投标。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912" w:hRule="atLeas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近年财务状况的年份要求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u w:val="single"/>
              </w:rPr>
              <w:t>20</w:t>
            </w:r>
            <w:r>
              <w:rPr>
                <w:rStyle w:val="43"/>
                <w:rFonts w:hint="eastAsia" w:ascii="宋体" w:hAnsi="宋体"/>
                <w:szCs w:val="21"/>
                <w:u w:val="single"/>
              </w:rPr>
              <w:t>2</w:t>
            </w:r>
            <w:r>
              <w:rPr>
                <w:rStyle w:val="43"/>
                <w:rFonts w:hint="eastAsia" w:ascii="宋体" w:hAnsi="宋体"/>
                <w:szCs w:val="21"/>
                <w:u w:val="single"/>
                <w:lang w:val="en-US" w:eastAsia="zh-CN"/>
              </w:rPr>
              <w:t>1</w:t>
            </w:r>
            <w:r>
              <w:rPr>
                <w:rStyle w:val="43"/>
                <w:rFonts w:ascii="宋体" w:hAnsi="宋体"/>
                <w:szCs w:val="21"/>
                <w:u w:val="single"/>
              </w:rPr>
              <w:t>、20</w:t>
            </w:r>
            <w:r>
              <w:rPr>
                <w:rStyle w:val="43"/>
                <w:rFonts w:hint="eastAsia" w:ascii="宋体" w:hAnsi="宋体"/>
                <w:szCs w:val="21"/>
                <w:u w:val="single"/>
              </w:rPr>
              <w:t>2</w:t>
            </w:r>
            <w:r>
              <w:rPr>
                <w:rStyle w:val="43"/>
                <w:rFonts w:hint="eastAsia" w:ascii="宋体" w:hAnsi="宋体"/>
                <w:szCs w:val="21"/>
                <w:u w:val="single"/>
                <w:lang w:val="en-US" w:eastAsia="zh-CN"/>
              </w:rPr>
              <w:t>2</w:t>
            </w:r>
            <w:r>
              <w:rPr>
                <w:rStyle w:val="43"/>
                <w:rFonts w:ascii="宋体" w:hAnsi="宋体"/>
                <w:szCs w:val="21"/>
                <w:u w:val="single"/>
              </w:rPr>
              <w:t>、20</w:t>
            </w:r>
            <w:r>
              <w:rPr>
                <w:rStyle w:val="43"/>
                <w:rFonts w:hint="eastAsia" w:ascii="宋体" w:hAnsi="宋体"/>
                <w:szCs w:val="21"/>
                <w:u w:val="single"/>
                <w:lang w:val="en-US" w:eastAsia="zh-CN"/>
              </w:rPr>
              <w:t>23</w:t>
            </w:r>
            <w:r>
              <w:rPr>
                <w:rStyle w:val="43"/>
                <w:rFonts w:ascii="宋体" w:hAnsi="宋体"/>
                <w:szCs w:val="21"/>
              </w:rPr>
              <w:t>年</w:t>
            </w:r>
            <w:r>
              <w:rPr>
                <w:rStyle w:val="43"/>
                <w:rFonts w:hint="eastAsia" w:ascii="宋体" w:hAnsi="宋体"/>
                <w:szCs w:val="21"/>
              </w:rPr>
              <w:t>，要求包含企业最近半年完税证明、信用证明材料（中国人民银行企业信用报告）、年度纳税信用评价信息、企业对外担保说明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近年承担的类似工程的年份要求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u w:val="single"/>
              </w:rPr>
              <w:t xml:space="preserve"> 三 </w:t>
            </w:r>
            <w:r>
              <w:rPr>
                <w:rStyle w:val="43"/>
                <w:rFonts w:ascii="宋体" w:hAnsi="宋体"/>
                <w:szCs w:val="21"/>
              </w:rPr>
              <w:t>年，指</w:t>
            </w:r>
            <w:r>
              <w:rPr>
                <w:rStyle w:val="43"/>
                <w:rFonts w:ascii="宋体" w:hAnsi="宋体"/>
                <w:szCs w:val="21"/>
                <w:u w:val="single"/>
              </w:rPr>
              <w:t>20</w:t>
            </w:r>
            <w:r>
              <w:rPr>
                <w:rStyle w:val="43"/>
                <w:rFonts w:hint="eastAsia" w:ascii="宋体" w:hAnsi="宋体"/>
                <w:szCs w:val="21"/>
                <w:u w:val="single"/>
              </w:rPr>
              <w:t>2</w:t>
            </w:r>
            <w:r>
              <w:rPr>
                <w:rStyle w:val="43"/>
                <w:rFonts w:ascii="宋体" w:hAnsi="宋体"/>
                <w:szCs w:val="21"/>
                <w:u w:val="single"/>
              </w:rPr>
              <w:t>1</w:t>
            </w:r>
            <w:r>
              <w:rPr>
                <w:rStyle w:val="43"/>
                <w:rFonts w:ascii="宋体" w:hAnsi="宋体"/>
                <w:szCs w:val="21"/>
              </w:rPr>
              <w:t>年</w:t>
            </w:r>
            <w:r>
              <w:rPr>
                <w:rStyle w:val="43"/>
                <w:rFonts w:hint="eastAsia" w:ascii="宋体" w:hAnsi="宋体"/>
                <w:szCs w:val="21"/>
                <w:u w:val="single"/>
                <w:lang w:val="en-US" w:eastAsia="zh-CN"/>
              </w:rPr>
              <w:t>9</w:t>
            </w:r>
            <w:r>
              <w:rPr>
                <w:rStyle w:val="43"/>
                <w:rFonts w:ascii="宋体" w:hAnsi="宋体"/>
                <w:szCs w:val="21"/>
              </w:rPr>
              <w:t>月</w:t>
            </w:r>
            <w:r>
              <w:rPr>
                <w:rStyle w:val="43"/>
                <w:rFonts w:ascii="宋体" w:hAnsi="宋体"/>
                <w:szCs w:val="21"/>
                <w:u w:val="single"/>
              </w:rPr>
              <w:t>1</w:t>
            </w:r>
            <w:r>
              <w:rPr>
                <w:rStyle w:val="43"/>
                <w:rFonts w:ascii="宋体" w:hAnsi="宋体"/>
                <w:szCs w:val="21"/>
              </w:rPr>
              <w:t>日至开标之日（以合同签订时间为准）。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近年发生的诉讼及仲裁情况的年份要求</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u w:val="single"/>
              </w:rPr>
              <w:t xml:space="preserve"> 三 </w:t>
            </w:r>
            <w:r>
              <w:rPr>
                <w:rStyle w:val="43"/>
                <w:rFonts w:ascii="宋体" w:hAnsi="宋体"/>
                <w:szCs w:val="21"/>
              </w:rPr>
              <w:t>年，指</w:t>
            </w:r>
            <w:r>
              <w:rPr>
                <w:rStyle w:val="43"/>
                <w:rFonts w:ascii="宋体" w:hAnsi="宋体"/>
                <w:szCs w:val="21"/>
                <w:u w:val="single"/>
              </w:rPr>
              <w:t>20</w:t>
            </w:r>
            <w:r>
              <w:rPr>
                <w:rStyle w:val="43"/>
                <w:rFonts w:hint="eastAsia" w:ascii="宋体" w:hAnsi="宋体"/>
                <w:szCs w:val="21"/>
                <w:u w:val="single"/>
              </w:rPr>
              <w:t>2</w:t>
            </w:r>
            <w:r>
              <w:rPr>
                <w:rStyle w:val="43"/>
                <w:rFonts w:ascii="宋体" w:hAnsi="宋体"/>
                <w:szCs w:val="21"/>
                <w:u w:val="single"/>
              </w:rPr>
              <w:t>1</w:t>
            </w:r>
            <w:r>
              <w:rPr>
                <w:rStyle w:val="43"/>
                <w:rFonts w:ascii="宋体" w:hAnsi="宋体"/>
                <w:szCs w:val="21"/>
              </w:rPr>
              <w:t>年</w:t>
            </w:r>
            <w:r>
              <w:rPr>
                <w:rStyle w:val="43"/>
                <w:rFonts w:hint="eastAsia" w:ascii="宋体" w:hAnsi="宋体"/>
                <w:szCs w:val="21"/>
                <w:u w:val="single"/>
                <w:lang w:val="en-US" w:eastAsia="zh-CN"/>
              </w:rPr>
              <w:t>9</w:t>
            </w:r>
            <w:r>
              <w:rPr>
                <w:rStyle w:val="43"/>
                <w:rFonts w:ascii="宋体" w:hAnsi="宋体"/>
                <w:szCs w:val="21"/>
              </w:rPr>
              <w:t>月</w:t>
            </w:r>
            <w:r>
              <w:rPr>
                <w:rStyle w:val="43"/>
                <w:rFonts w:ascii="宋体" w:hAnsi="宋体"/>
                <w:szCs w:val="21"/>
                <w:u w:val="single"/>
              </w:rPr>
              <w:t>1</w:t>
            </w:r>
            <w:r>
              <w:rPr>
                <w:rStyle w:val="43"/>
                <w:rFonts w:ascii="宋体" w:hAnsi="宋体"/>
                <w:szCs w:val="21"/>
              </w:rPr>
              <w:t>日至开标之日。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962" w:type="dxa"/>
            <w:vMerge w:val="continue"/>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是否允许递交备选投标方案</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ascii="宋体" w:hAnsi="宋体"/>
                <w:szCs w:val="21"/>
                <w:u w:val="single"/>
              </w:rPr>
            </w:pPr>
            <w:r>
              <w:rPr>
                <w:rStyle w:val="43"/>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1.4.2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是否接受联合体投标</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center"/>
              <w:rPr>
                <w:rStyle w:val="43"/>
                <w:rFonts w:ascii="宋体" w:hAnsi="宋体"/>
                <w:szCs w:val="21"/>
              </w:rPr>
            </w:pPr>
            <w:r>
              <w:rPr>
                <w:rStyle w:val="43"/>
                <w:rFonts w:ascii="宋体" w:hAnsi="宋体"/>
                <w:szCs w:val="21"/>
              </w:rPr>
              <w:t>不接受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1.9.1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踏勘现场</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Fonts w:hint="eastAsia" w:ascii="宋体" w:hAnsi="宋体"/>
                <w:szCs w:val="21"/>
                <w:highlight w:val="none"/>
              </w:rPr>
            </w:pPr>
            <w:r>
              <w:rPr>
                <w:rFonts w:hint="eastAsia" w:ascii="宋体" w:hAnsi="宋体"/>
                <w:szCs w:val="21"/>
                <w:highlight w:val="none"/>
              </w:rPr>
              <w:t>组织统一踏勘</w:t>
            </w:r>
          </w:p>
          <w:p>
            <w:pPr>
              <w:spacing w:line="276" w:lineRule="auto"/>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现场踏勘联系人及联系方式：王志宇18266130181               </w:t>
            </w:r>
          </w:p>
          <w:p>
            <w:pPr>
              <w:spacing w:line="276" w:lineRule="auto"/>
              <w:rPr>
                <w:rFonts w:ascii="宋体" w:hAnsi="宋体"/>
                <w:szCs w:val="21"/>
                <w:highlight w:val="none"/>
              </w:rPr>
            </w:pPr>
            <w:r>
              <w:rPr>
                <w:rFonts w:hint="eastAsia" w:ascii="宋体" w:hAnsi="宋体"/>
                <w:szCs w:val="21"/>
                <w:highlight w:val="none"/>
              </w:rPr>
              <w:t>时间：</w:t>
            </w:r>
            <w:r>
              <w:rPr>
                <w:rFonts w:hint="eastAsia" w:ascii="宋体" w:hAnsi="宋体"/>
                <w:szCs w:val="21"/>
                <w:highlight w:val="none"/>
                <w:lang w:val="en-US" w:eastAsia="zh-CN"/>
              </w:rPr>
              <w:t>25年1月13日前</w:t>
            </w:r>
            <w:r>
              <w:rPr>
                <w:rFonts w:hint="eastAsia" w:ascii="宋体" w:hAnsi="宋体"/>
                <w:szCs w:val="21"/>
                <w:highlight w:val="none"/>
              </w:rPr>
              <w:t>，</w:t>
            </w:r>
            <w:r>
              <w:rPr>
                <w:rFonts w:hint="eastAsia" w:ascii="宋体" w:hAnsi="宋体"/>
                <w:color w:val="0000FF"/>
                <w:szCs w:val="21"/>
                <w:highlight w:val="none"/>
              </w:rPr>
              <w:t>请自行前往，提前对接踏勘联系人进行入厂报备。</w:t>
            </w:r>
          </w:p>
          <w:p>
            <w:pPr>
              <w:spacing w:line="276" w:lineRule="auto"/>
              <w:rPr>
                <w:rStyle w:val="43"/>
                <w:rFonts w:ascii="宋体" w:hAnsi="宋体"/>
                <w:szCs w:val="21"/>
                <w:highlight w:val="none"/>
                <w:u w:val="single"/>
              </w:rPr>
            </w:pPr>
            <w:r>
              <w:rPr>
                <w:rStyle w:val="43"/>
                <w:rFonts w:hint="eastAsia" w:ascii="宋体" w:hAnsi="宋体"/>
                <w:b/>
                <w:bCs/>
                <w:color w:val="C00000"/>
                <w:szCs w:val="21"/>
                <w:highlight w:val="none"/>
              </w:rPr>
              <w:t>如因对现场情况了解、考虑不周造成的投标风险和一切后果由投标人自行承担。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1.10.1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投标预备会</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不召开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1.10.2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投标人提出问题的截止时间</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highlight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lang w:val="en-US" w:eastAsia="zh-CN"/>
              </w:rPr>
              <w:t xml:space="preserve"> 1 </w:t>
            </w:r>
            <w:r>
              <w:rPr>
                <w:rFonts w:hint="eastAsia" w:ascii="宋体" w:hAnsi="宋体"/>
                <w:szCs w:val="21"/>
                <w:highlight w:val="none"/>
              </w:rPr>
              <w:t>月</w:t>
            </w:r>
            <w:r>
              <w:rPr>
                <w:rFonts w:hint="eastAsia" w:ascii="宋体" w:hAnsi="宋体"/>
                <w:szCs w:val="21"/>
                <w:highlight w:val="none"/>
                <w:lang w:val="en-US" w:eastAsia="zh-CN"/>
              </w:rPr>
              <w:t xml:space="preserve">14 </w:t>
            </w:r>
            <w:r>
              <w:rPr>
                <w:rFonts w:hint="eastAsia" w:ascii="宋体" w:hAnsi="宋体"/>
                <w:szCs w:val="21"/>
                <w:highlight w:val="none"/>
              </w:rPr>
              <w:t>日</w:t>
            </w:r>
            <w:r>
              <w:rPr>
                <w:rStyle w:val="43"/>
                <w:rFonts w:ascii="宋体" w:hAnsi="宋体"/>
                <w:szCs w:val="21"/>
                <w:highlight w:val="none"/>
                <w:u w:val="single"/>
              </w:rPr>
              <w:t>1</w:t>
            </w:r>
            <w:r>
              <w:rPr>
                <w:rStyle w:val="43"/>
                <w:rFonts w:hint="eastAsia" w:ascii="宋体" w:hAnsi="宋体"/>
                <w:szCs w:val="21"/>
                <w:highlight w:val="none"/>
                <w:u w:val="single"/>
                <w:lang w:val="en-US" w:eastAsia="zh-CN"/>
              </w:rPr>
              <w:t>2</w:t>
            </w:r>
            <w:r>
              <w:rPr>
                <w:rStyle w:val="43"/>
                <w:rFonts w:hint="eastAsia" w:ascii="宋体" w:hAnsi="宋体"/>
                <w:szCs w:val="21"/>
                <w:highlight w:val="none"/>
                <w:u w:val="single"/>
              </w:rPr>
              <w:t>:</w:t>
            </w:r>
            <w:r>
              <w:rPr>
                <w:rStyle w:val="43"/>
                <w:rFonts w:ascii="宋体" w:hAnsi="宋体"/>
                <w:szCs w:val="21"/>
                <w:highlight w:val="none"/>
                <w:u w:val="single"/>
              </w:rPr>
              <w:t>00前</w:t>
            </w:r>
            <w:r>
              <w:rPr>
                <w:rStyle w:val="43"/>
                <w:rFonts w:ascii="宋体" w:hAnsi="宋体"/>
                <w:szCs w:val="21"/>
                <w:highlight w:val="none"/>
              </w:rPr>
              <w:t>，发电子邮件（WORD版及加盖公章的扫描件）至，并电话通知</w:t>
            </w:r>
            <w:r>
              <w:rPr>
                <w:rStyle w:val="43"/>
                <w:rFonts w:hint="eastAsia" w:ascii="宋体" w:hAnsi="宋体"/>
                <w:szCs w:val="21"/>
                <w:highlight w:val="none"/>
              </w:rPr>
              <w:t>工作人员查收。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9"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highlight w:val="none"/>
              </w:rPr>
            </w:pPr>
            <w:r>
              <w:rPr>
                <w:rStyle w:val="43"/>
                <w:rFonts w:ascii="宋体" w:hAnsi="宋体"/>
                <w:szCs w:val="21"/>
                <w:highlight w:val="none"/>
              </w:rPr>
              <w:t>1.10.3</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highlight w:val="none"/>
              </w:rPr>
            </w:pPr>
            <w:r>
              <w:rPr>
                <w:rStyle w:val="43"/>
                <w:rFonts w:ascii="宋体" w:hAnsi="宋体"/>
                <w:szCs w:val="21"/>
                <w:highlight w:val="none"/>
              </w:rPr>
              <w:t>招标人书面澄清时间</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left"/>
              <w:rPr>
                <w:rStyle w:val="43"/>
                <w:rFonts w:hint="eastAsia" w:ascii="宋体" w:hAnsi="宋体" w:eastAsia="宋体"/>
                <w:szCs w:val="21"/>
                <w:highlight w:val="none"/>
                <w:u w:val="single"/>
                <w:lang w:val="en-US" w:eastAsia="zh-CN"/>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lang w:val="en-US" w:eastAsia="zh-CN"/>
              </w:rPr>
              <w:t xml:space="preserve"> 1月14日 17点 </w:t>
            </w:r>
            <w:r>
              <w:rPr>
                <w:rStyle w:val="43"/>
                <w:rFonts w:ascii="宋体" w:hAnsi="宋体"/>
                <w:szCs w:val="21"/>
                <w:highlight w:val="none"/>
                <w:u w:val="single"/>
              </w:rPr>
              <w:t>前</w:t>
            </w:r>
            <w:r>
              <w:rPr>
                <w:rStyle w:val="43"/>
                <w:rFonts w:hint="eastAsia" w:ascii="宋体" w:hAnsi="宋体"/>
                <w:szCs w:val="21"/>
                <w:highlight w:val="none"/>
                <w:u w:val="single"/>
                <w:lang w:val="en-US" w:eastAsia="zh-CN"/>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1.11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工程分包</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原则上不允许，如需专业分包须经招标人审核同意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962" w:type="dxa"/>
            <w:tcBorders>
              <w:top w:val="single" w:color="000000" w:sz="6" w:space="0"/>
              <w:left w:val="single" w:color="000000" w:sz="12" w:space="0"/>
              <w:bottom w:val="single" w:color="000000" w:sz="12" w:space="0"/>
              <w:right w:val="single" w:color="000000" w:sz="6" w:space="0"/>
            </w:tcBorders>
            <w:vAlign w:val="center"/>
          </w:tcPr>
          <w:p>
            <w:pPr>
              <w:rPr>
                <w:rStyle w:val="43"/>
                <w:rFonts w:ascii="宋体" w:hAnsi="宋体"/>
                <w:szCs w:val="21"/>
              </w:rPr>
            </w:pPr>
            <w:r>
              <w:rPr>
                <w:rStyle w:val="43"/>
                <w:rFonts w:ascii="宋体" w:hAnsi="宋体"/>
                <w:szCs w:val="21"/>
              </w:rPr>
              <w:t>1.12</w:t>
            </w:r>
          </w:p>
        </w:tc>
        <w:tc>
          <w:tcPr>
            <w:tcW w:w="2293" w:type="dxa"/>
            <w:tcBorders>
              <w:top w:val="single" w:color="000000" w:sz="6" w:space="0"/>
              <w:left w:val="single" w:color="000000" w:sz="6" w:space="0"/>
              <w:bottom w:val="single" w:color="000000" w:sz="12"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偏离</w:t>
            </w:r>
          </w:p>
        </w:tc>
        <w:tc>
          <w:tcPr>
            <w:tcW w:w="6930" w:type="dxa"/>
            <w:tcBorders>
              <w:top w:val="single" w:color="000000" w:sz="6" w:space="0"/>
              <w:left w:val="single" w:color="000000" w:sz="6" w:space="0"/>
              <w:bottom w:val="single" w:color="000000" w:sz="12"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2.1</w:t>
            </w:r>
          </w:p>
        </w:tc>
        <w:tc>
          <w:tcPr>
            <w:tcW w:w="2293" w:type="dxa"/>
            <w:tcBorders>
              <w:top w:val="single" w:color="000000" w:sz="12"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构成招标文件的其他材料</w:t>
            </w:r>
          </w:p>
        </w:tc>
        <w:tc>
          <w:tcPr>
            <w:tcW w:w="6930" w:type="dxa"/>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shd w:val="pct10" w:color="auto" w:fill="FFFFFF"/>
              </w:rPr>
            </w:pPr>
            <w:r>
              <w:rPr>
                <w:rStyle w:val="43"/>
                <w:rFonts w:ascii="宋体" w:hAnsi="宋体"/>
                <w:szCs w:val="21"/>
              </w:rPr>
              <w:t>本项目的招标答疑文件及补充通知（如有）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2.2.1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投标人要求澄清招标文件的截止时间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u w:val="single"/>
              </w:rPr>
            </w:pPr>
            <w:r>
              <w:rPr>
                <w:rFonts w:hint="eastAsia" w:ascii="宋体" w:hAnsi="宋体"/>
                <w:szCs w:val="21"/>
                <w:highlight w:val="red"/>
              </w:rPr>
              <w:t>202</w:t>
            </w:r>
            <w:r>
              <w:rPr>
                <w:rFonts w:hint="eastAsia" w:ascii="宋体" w:hAnsi="宋体"/>
                <w:szCs w:val="21"/>
                <w:highlight w:val="red"/>
                <w:lang w:val="en-US" w:eastAsia="zh-CN"/>
              </w:rPr>
              <w:t>5</w:t>
            </w:r>
            <w:r>
              <w:rPr>
                <w:rFonts w:hint="eastAsia" w:ascii="宋体" w:hAnsi="宋体"/>
                <w:szCs w:val="21"/>
                <w:highlight w:val="red"/>
              </w:rPr>
              <w:t>年</w:t>
            </w:r>
            <w:r>
              <w:rPr>
                <w:rFonts w:hint="eastAsia" w:ascii="宋体" w:hAnsi="宋体"/>
                <w:szCs w:val="21"/>
                <w:highlight w:val="red"/>
                <w:lang w:val="en-US" w:eastAsia="zh-CN"/>
              </w:rPr>
              <w:t>1</w:t>
            </w:r>
            <w:r>
              <w:rPr>
                <w:rFonts w:hint="eastAsia" w:ascii="宋体" w:hAnsi="宋体"/>
                <w:szCs w:val="21"/>
                <w:highlight w:val="red"/>
              </w:rPr>
              <w:t>月</w:t>
            </w:r>
            <w:r>
              <w:rPr>
                <w:rFonts w:hint="eastAsia" w:ascii="宋体" w:hAnsi="宋体"/>
                <w:szCs w:val="21"/>
                <w:highlight w:val="red"/>
                <w:lang w:val="en-US" w:eastAsia="zh-CN"/>
              </w:rPr>
              <w:t>14</w:t>
            </w:r>
            <w:r>
              <w:rPr>
                <w:rFonts w:hint="eastAsia" w:ascii="宋体" w:hAnsi="宋体"/>
                <w:szCs w:val="21"/>
                <w:highlight w:val="red"/>
              </w:rPr>
              <w:t>日</w:t>
            </w:r>
            <w:r>
              <w:rPr>
                <w:rStyle w:val="43"/>
                <w:rFonts w:ascii="宋体" w:hAnsi="宋体"/>
                <w:szCs w:val="21"/>
                <w:highlight w:val="red"/>
                <w:u w:val="single"/>
              </w:rPr>
              <w:t>1</w:t>
            </w:r>
            <w:r>
              <w:rPr>
                <w:rStyle w:val="43"/>
                <w:rFonts w:hint="eastAsia" w:ascii="宋体" w:hAnsi="宋体"/>
                <w:szCs w:val="21"/>
                <w:highlight w:val="red"/>
                <w:u w:val="single"/>
                <w:lang w:val="en-US" w:eastAsia="zh-CN"/>
              </w:rPr>
              <w:t>7</w:t>
            </w:r>
            <w:r>
              <w:rPr>
                <w:rStyle w:val="43"/>
                <w:rFonts w:hint="eastAsia" w:ascii="宋体" w:hAnsi="宋体"/>
                <w:szCs w:val="21"/>
                <w:highlight w:val="red"/>
                <w:u w:val="single"/>
              </w:rPr>
              <w:t>:</w:t>
            </w:r>
            <w:r>
              <w:rPr>
                <w:rStyle w:val="43"/>
                <w:rFonts w:ascii="宋体" w:hAnsi="宋体"/>
                <w:szCs w:val="21"/>
                <w:highlight w:val="red"/>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2.2.2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highlight w:val="red"/>
              </w:rPr>
            </w:pPr>
            <w:r>
              <w:rPr>
                <w:rStyle w:val="43"/>
                <w:rFonts w:ascii="宋体" w:hAnsi="宋体"/>
                <w:szCs w:val="21"/>
                <w:highlight w:val="red"/>
              </w:rPr>
              <w:t>投标截止时间</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highlight w:val="red"/>
                <w:u w:val="single"/>
              </w:rPr>
            </w:pPr>
            <w:r>
              <w:rPr>
                <w:rFonts w:hint="eastAsia" w:ascii="宋体" w:hAnsi="宋体"/>
                <w:szCs w:val="21"/>
                <w:highlight w:val="red"/>
              </w:rPr>
              <w:t>202</w:t>
            </w:r>
            <w:r>
              <w:rPr>
                <w:rFonts w:hint="eastAsia" w:ascii="宋体" w:hAnsi="宋体"/>
                <w:szCs w:val="21"/>
                <w:highlight w:val="red"/>
                <w:lang w:val="en-US" w:eastAsia="zh-CN"/>
              </w:rPr>
              <w:t>5</w:t>
            </w:r>
            <w:r>
              <w:rPr>
                <w:rFonts w:hint="eastAsia" w:ascii="宋体" w:hAnsi="宋体"/>
                <w:szCs w:val="21"/>
                <w:highlight w:val="red"/>
              </w:rPr>
              <w:t>年</w:t>
            </w:r>
            <w:r>
              <w:rPr>
                <w:rFonts w:hint="eastAsia" w:ascii="宋体" w:hAnsi="宋体"/>
                <w:szCs w:val="21"/>
                <w:highlight w:val="red"/>
                <w:lang w:val="en-US" w:eastAsia="zh-CN"/>
              </w:rPr>
              <w:t>1</w:t>
            </w:r>
            <w:r>
              <w:rPr>
                <w:rFonts w:hint="eastAsia" w:ascii="宋体" w:hAnsi="宋体"/>
                <w:szCs w:val="21"/>
                <w:highlight w:val="red"/>
              </w:rPr>
              <w:t>月</w:t>
            </w:r>
            <w:r>
              <w:rPr>
                <w:rFonts w:hint="eastAsia" w:ascii="宋体" w:hAnsi="宋体"/>
                <w:szCs w:val="21"/>
                <w:highlight w:val="red"/>
                <w:lang w:val="en-US" w:eastAsia="zh-CN"/>
              </w:rPr>
              <w:t>14</w:t>
            </w:r>
            <w:r>
              <w:rPr>
                <w:rFonts w:hint="eastAsia" w:ascii="宋体" w:hAnsi="宋体"/>
                <w:szCs w:val="21"/>
                <w:highlight w:val="red"/>
              </w:rPr>
              <w:t>日</w:t>
            </w:r>
            <w:r>
              <w:rPr>
                <w:rStyle w:val="43"/>
                <w:rFonts w:hint="eastAsia" w:ascii="宋体" w:hAnsi="宋体"/>
                <w:szCs w:val="21"/>
                <w:highlight w:val="red"/>
                <w:u w:val="single"/>
                <w:lang w:val="en-US" w:eastAsia="zh-CN"/>
              </w:rPr>
              <w:t>17</w:t>
            </w:r>
            <w:r>
              <w:rPr>
                <w:rStyle w:val="43"/>
                <w:rFonts w:hint="eastAsia" w:ascii="宋体" w:hAnsi="宋体"/>
                <w:szCs w:val="21"/>
                <w:highlight w:val="red"/>
                <w:u w:val="single"/>
              </w:rPr>
              <w:t>:</w:t>
            </w:r>
            <w:r>
              <w:rPr>
                <w:rStyle w:val="43"/>
                <w:rFonts w:ascii="宋体" w:hAnsi="宋体"/>
                <w:szCs w:val="21"/>
                <w:highlight w:val="red"/>
                <w:u w:val="single"/>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2.2.3</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投标人确认收到招标文件澄清的时间及方式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ind w:left="-2" w:leftChars="-1" w:firstLine="2" w:firstLineChars="1"/>
              <w:rPr>
                <w:rStyle w:val="43"/>
                <w:rFonts w:ascii="宋体" w:hAnsi="宋体"/>
                <w:szCs w:val="21"/>
                <w:u w:val="single"/>
              </w:rPr>
            </w:pPr>
            <w:r>
              <w:rPr>
                <w:rStyle w:val="43"/>
                <w:rFonts w:ascii="宋体" w:hAnsi="宋体"/>
                <w:szCs w:val="21"/>
              </w:rPr>
              <w:t>在收到相应澄清文件后</w:t>
            </w:r>
            <w:r>
              <w:rPr>
                <w:rStyle w:val="43"/>
                <w:rFonts w:ascii="宋体" w:hAnsi="宋体"/>
                <w:szCs w:val="21"/>
                <w:u w:val="single"/>
              </w:rPr>
              <w:t>24</w:t>
            </w:r>
            <w:r>
              <w:rPr>
                <w:rStyle w:val="43"/>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2.3.2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投标人确认收到招标文件修改的时间及方式</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在收到相应修改文件后</w:t>
            </w:r>
            <w:r>
              <w:rPr>
                <w:rStyle w:val="43"/>
                <w:rFonts w:ascii="宋体" w:hAnsi="宋体"/>
                <w:szCs w:val="21"/>
                <w:u w:val="single"/>
              </w:rPr>
              <w:t>24</w:t>
            </w:r>
            <w:r>
              <w:rPr>
                <w:rStyle w:val="43"/>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3.1.1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构成投标文件的其他材料</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jc w:val="left"/>
              <w:rPr>
                <w:rStyle w:val="43"/>
                <w:rFonts w:ascii="宋体" w:hAnsi="宋体"/>
                <w:szCs w:val="21"/>
              </w:rPr>
            </w:pPr>
            <w:r>
              <w:rPr>
                <w:rStyle w:val="43"/>
                <w:rFonts w:ascii="宋体" w:hAnsi="宋体"/>
                <w:szCs w:val="21"/>
              </w:rPr>
              <w:t>投标人的澄清及承诺（如果有）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3.3.1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投标有效期</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ind w:firstLine="420" w:firstLineChars="200"/>
              <w:jc w:val="left"/>
              <w:rPr>
                <w:rStyle w:val="43"/>
                <w:rFonts w:ascii="宋体" w:hAnsi="宋体"/>
                <w:szCs w:val="21"/>
              </w:rPr>
            </w:pPr>
            <w:r>
              <w:rPr>
                <w:rStyle w:val="43"/>
                <w:rFonts w:ascii="宋体" w:hAnsi="宋体"/>
                <w:szCs w:val="21"/>
                <w:highlight w:val="red"/>
                <w:u w:val="single"/>
              </w:rPr>
              <w:t>90</w:t>
            </w:r>
            <w:r>
              <w:rPr>
                <w:rStyle w:val="43"/>
                <w:rFonts w:ascii="宋体" w:hAnsi="宋体"/>
                <w:szCs w:val="21"/>
                <w:highlight w:val="red"/>
              </w:rPr>
              <w:t>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rPr>
                <w:rStyle w:val="43"/>
                <w:rFonts w:ascii="宋体" w:hAnsi="宋体"/>
                <w:szCs w:val="21"/>
              </w:rPr>
            </w:pPr>
            <w:r>
              <w:rPr>
                <w:rStyle w:val="43"/>
                <w:rFonts w:ascii="宋体" w:hAnsi="宋体"/>
                <w:szCs w:val="21"/>
              </w:rPr>
              <w:t>3.4.1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投标保证金的递交及相关费用的收取</w:t>
            </w:r>
          </w:p>
        </w:tc>
        <w:tc>
          <w:tcPr>
            <w:tcW w:w="6930" w:type="dxa"/>
            <w:tcBorders>
              <w:top w:val="single" w:color="000000" w:sz="6" w:space="0"/>
              <w:left w:val="single" w:color="000000" w:sz="6" w:space="0"/>
              <w:bottom w:val="single" w:color="000000" w:sz="6" w:space="0"/>
              <w:right w:val="single" w:color="000000" w:sz="12" w:space="0"/>
            </w:tcBorders>
          </w:tcPr>
          <w:p>
            <w:r>
              <w:t>投标保证金的形式：</w:t>
            </w:r>
          </w:p>
          <w:p>
            <w:r>
              <w:rPr>
                <w:rFonts w:hint="eastAsia"/>
              </w:rPr>
              <w:t>（1）</w:t>
            </w:r>
            <w:r>
              <w:t>电汇或网银</w:t>
            </w:r>
            <w:r>
              <w:rPr>
                <w:rFonts w:hint="eastAsia"/>
              </w:rPr>
              <w:t>；</w:t>
            </w:r>
          </w:p>
          <w:p>
            <w:r>
              <w:rPr>
                <w:rFonts w:hint="eastAsia"/>
              </w:rPr>
              <w:t>投标保证金需从基本户转出。</w:t>
            </w:r>
          </w:p>
          <w:p>
            <w:r>
              <w:t>投标保证金的金额：</w:t>
            </w:r>
            <w:r>
              <w:rPr>
                <w:rFonts w:hint="eastAsia"/>
              </w:rPr>
              <w:t>人民币</w:t>
            </w:r>
            <w:r>
              <w:rPr>
                <w:rFonts w:hint="eastAsia"/>
                <w:lang w:val="en-US" w:eastAsia="zh-CN"/>
              </w:rPr>
              <w:t>壹万</w:t>
            </w:r>
            <w:r>
              <w:rPr>
                <w:rFonts w:hint="eastAsia"/>
              </w:rPr>
              <w:t>元整（¥</w:t>
            </w:r>
            <w:r>
              <w:rPr>
                <w:rFonts w:hint="eastAsia"/>
                <w:lang w:val="en-US" w:eastAsia="zh-CN"/>
              </w:rPr>
              <w:t>5</w:t>
            </w:r>
            <w:r>
              <w:t>000</w:t>
            </w:r>
            <w:r>
              <w:rPr>
                <w:rFonts w:hint="eastAsia"/>
              </w:rPr>
              <w:t>元）</w:t>
            </w:r>
          </w:p>
          <w:p>
            <w:pPr>
              <w:rPr>
                <w:rFonts w:hint="eastAsia"/>
                <w:color w:val="000000" w:themeColor="text1"/>
                <w:highlight w:val="red"/>
                <w14:textFill>
                  <w14:solidFill>
                    <w14:schemeClr w14:val="tx1"/>
                  </w14:solidFill>
                </w14:textFill>
              </w:rPr>
            </w:pPr>
            <w:r>
              <w:rPr>
                <w:color w:val="000000" w:themeColor="text1"/>
                <w:highlight w:val="red"/>
                <w14:textFill>
                  <w14:solidFill>
                    <w14:schemeClr w14:val="tx1"/>
                  </w14:solidFill>
                </w14:textFill>
              </w:rPr>
              <w:t>投标保证金提交截止期限：</w:t>
            </w:r>
            <w:r>
              <w:rPr>
                <w:rFonts w:hint="eastAsia"/>
                <w:color w:val="000000" w:themeColor="text1"/>
                <w:highlight w:val="red"/>
                <w14:textFill>
                  <w14:solidFill>
                    <w14:schemeClr w14:val="tx1"/>
                  </w14:solidFill>
                </w14:textFill>
              </w:rPr>
              <w:t>202</w:t>
            </w:r>
            <w:r>
              <w:rPr>
                <w:rFonts w:hint="eastAsia"/>
                <w:color w:val="000000" w:themeColor="text1"/>
                <w:highlight w:val="red"/>
                <w:lang w:val="en-US" w:eastAsia="zh-CN"/>
                <w14:textFill>
                  <w14:solidFill>
                    <w14:schemeClr w14:val="tx1"/>
                  </w14:solidFill>
                </w14:textFill>
              </w:rPr>
              <w:t>5</w:t>
            </w:r>
            <w:r>
              <w:rPr>
                <w:rFonts w:hint="eastAsia"/>
                <w:color w:val="000000" w:themeColor="text1"/>
                <w:highlight w:val="red"/>
                <w14:textFill>
                  <w14:solidFill>
                    <w14:schemeClr w14:val="tx1"/>
                  </w14:solidFill>
                </w14:textFill>
              </w:rPr>
              <w:t>年</w:t>
            </w:r>
            <w:r>
              <w:rPr>
                <w:rFonts w:hint="eastAsia"/>
                <w:color w:val="000000" w:themeColor="text1"/>
                <w:highlight w:val="red"/>
                <w:lang w:val="en-US" w:eastAsia="zh-CN"/>
                <w14:textFill>
                  <w14:solidFill>
                    <w14:schemeClr w14:val="tx1"/>
                  </w14:solidFill>
                </w14:textFill>
              </w:rPr>
              <w:t>1</w:t>
            </w:r>
            <w:r>
              <w:rPr>
                <w:rFonts w:hint="eastAsia"/>
                <w:color w:val="000000" w:themeColor="text1"/>
                <w:highlight w:val="red"/>
                <w14:textFill>
                  <w14:solidFill>
                    <w14:schemeClr w14:val="tx1"/>
                  </w14:solidFill>
                </w14:textFill>
              </w:rPr>
              <w:t>月</w:t>
            </w:r>
            <w:r>
              <w:rPr>
                <w:rFonts w:hint="eastAsia"/>
                <w:color w:val="000000" w:themeColor="text1"/>
                <w:highlight w:val="red"/>
                <w:lang w:val="en-US" w:eastAsia="zh-CN"/>
                <w14:textFill>
                  <w14:solidFill>
                    <w14:schemeClr w14:val="tx1"/>
                  </w14:solidFill>
                </w14:textFill>
              </w:rPr>
              <w:t>14</w:t>
            </w:r>
            <w:r>
              <w:rPr>
                <w:rFonts w:hint="eastAsia"/>
                <w:color w:val="000000" w:themeColor="text1"/>
                <w:highlight w:val="red"/>
                <w14:textFill>
                  <w14:solidFill>
                    <w14:schemeClr w14:val="tx1"/>
                  </w14:solidFill>
                </w14:textFill>
              </w:rPr>
              <w:t>日</w:t>
            </w:r>
            <w:r>
              <w:rPr>
                <w:rFonts w:hint="eastAsia"/>
                <w:color w:val="000000" w:themeColor="text1"/>
                <w:highlight w:val="red"/>
                <w:lang w:val="en-US" w:eastAsia="zh-CN"/>
                <w14:textFill>
                  <w14:solidFill>
                    <w14:schemeClr w14:val="tx1"/>
                  </w14:solidFill>
                </w14:textFill>
              </w:rPr>
              <w:t>15</w:t>
            </w:r>
            <w:r>
              <w:rPr>
                <w:color w:val="000000" w:themeColor="text1"/>
                <w:highlight w:val="red"/>
                <w14:textFill>
                  <w14:solidFill>
                    <w14:schemeClr w14:val="tx1"/>
                  </w14:solidFill>
                </w14:textFill>
              </w:rPr>
              <w:t>:00前</w:t>
            </w:r>
            <w:r>
              <w:rPr>
                <w:rFonts w:hint="eastAsia"/>
                <w:color w:val="000000" w:themeColor="text1"/>
                <w:highlight w:val="red"/>
                <w14:textFill>
                  <w14:solidFill>
                    <w14:schemeClr w14:val="tx1"/>
                  </w14:solidFill>
                </w14:textFill>
              </w:rPr>
              <w:t>。</w:t>
            </w:r>
          </w:p>
          <w:p>
            <w:pPr>
              <w:pStyle w:val="9"/>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中国重汽集团济南汽车部件有限公司</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税号：91370181MA3REL3Y80</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地址：济南市章丘区圣井街道潘王路西重汽工业园北三厂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电话：58069720</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开户行：北京银行股份有限公司济南分行营业部</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账号：20000042845000032899980</w:t>
            </w:r>
          </w:p>
          <w:p>
            <w:pPr>
              <w:rPr>
                <w:b/>
                <w:bCs/>
              </w:rPr>
            </w:pPr>
            <w:r>
              <w:rPr>
                <w:rFonts w:hint="eastAsia"/>
                <w:b/>
                <w:bCs/>
              </w:rPr>
              <w:t>保证金未按上述规定缴纳的，视为自动放弃投标资格。</w:t>
            </w:r>
          </w:p>
          <w:p>
            <w:r>
              <w:rPr/>
              <w:sym w:font="Wingdings 2" w:char="F052"/>
            </w:r>
            <w:r>
              <w:t>中标人的投标保证金自动转为履约保证金，待竣工验收后根据履约情况予以退还。</w:t>
            </w:r>
          </w:p>
          <w:p>
            <w:pPr>
              <w:rPr>
                <w:b/>
                <w:bCs/>
              </w:rPr>
            </w:pPr>
            <w:r>
              <w:rPr>
                <w:rFonts w:hint="eastAsia"/>
                <w:b/>
                <w:bCs/>
                <w:highlight w:val="yellow"/>
              </w:rPr>
              <w:t>特别提醒：</w:t>
            </w:r>
          </w:p>
          <w:p>
            <w:r>
              <w:rPr>
                <w:rFonts w:hint="eastAsia"/>
              </w:rPr>
              <w:t>1、投标保证金付款的</w:t>
            </w:r>
            <w:r>
              <w:rPr>
                <w:rFonts w:hint="eastAsia"/>
                <w:b/>
                <w:bCs/>
                <w:color w:val="C00000"/>
              </w:rPr>
              <w:t>银行摘要信息中要求</w:t>
            </w:r>
            <w:r>
              <w:rPr>
                <w:rFonts w:hint="eastAsia"/>
                <w:b/>
                <w:bCs/>
                <w:color w:val="C00000"/>
                <w:lang w:val="en-US" w:eastAsia="zh-CN"/>
              </w:rPr>
              <w:t>注明项目名称，并</w:t>
            </w:r>
            <w:r>
              <w:rPr>
                <w:rFonts w:hint="eastAsia"/>
                <w:b/>
                <w:bCs/>
                <w:color w:val="C00000"/>
              </w:rPr>
              <w:t>有“保证金”字样</w:t>
            </w:r>
            <w:r>
              <w:rPr>
                <w:rFonts w:hint="eastAsia"/>
                <w:b/>
                <w:bCs/>
              </w:rPr>
              <w:t>。</w:t>
            </w:r>
          </w:p>
          <w:p>
            <w:r>
              <w:rPr>
                <w:rFonts w:hint="eastAsia"/>
              </w:rPr>
              <w:t>2、</w:t>
            </w:r>
            <w:r>
              <w:t>投标保证金的退还</w:t>
            </w:r>
          </w:p>
          <w:p>
            <w:r>
              <w:t xml:space="preserve">按照招投标法保证金返还相关条款约定，结合我公司财务管理流程等综合因素，保证金退款流程申请成功退款到账时间为： </w:t>
            </w:r>
          </w:p>
          <w:p>
            <w:r>
              <w:rPr/>
              <w:sym w:font="Wingdings 2" w:char="F052"/>
            </w:r>
            <w:r>
              <w:rPr>
                <w:rFonts w:hint="eastAsia"/>
              </w:rPr>
              <w:t>未中标的投标人投标保证金将在中标通知书发出后60日内予以无息退还；中标人的投标保证金将转为履约保证金的，待具备退还条件后予以无息退还</w:t>
            </w:r>
            <w:r>
              <w:t>。</w:t>
            </w:r>
          </w:p>
          <w:p>
            <w:pPr>
              <w:pStyle w:val="9"/>
            </w:pPr>
          </w:p>
          <w:p>
            <w:pPr>
              <w:pStyle w:val="22"/>
              <w:ind w:left="199" w:leftChars="95" w:firstLine="199" w:firstLineChars="95"/>
            </w:pPr>
            <w:r>
              <w:t>请各投标单位知悉且视为认同此条款。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3.6.3</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签字和（或）盖章要求</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投标文件封面处及投标函均应加盖投标人印章并经法定代表人或其委托代理人签字或盖章。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3.6.4</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投标文件副本份数</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hint="eastAsia" w:ascii="宋体" w:hAnsi="宋体"/>
                <w:szCs w:val="21"/>
              </w:rPr>
              <w:t>贰</w:t>
            </w:r>
            <w:r>
              <w:rPr>
                <w:rStyle w:val="43"/>
                <w:rFonts w:ascii="宋体" w:hAnsi="宋体"/>
                <w:szCs w:val="21"/>
              </w:rPr>
              <w:t>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3.6.5</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pPr>
            <w:r>
              <w:t>装订要求</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pPr>
            <w:r>
              <w:t>按照</w:t>
            </w:r>
            <w:r>
              <w:rPr>
                <w:rFonts w:hint="eastAsia"/>
              </w:rPr>
              <w:t>总则、</w:t>
            </w:r>
            <w:r>
              <w:t>投标人须知第3.1.1项规定的投标文件组成内容，投标文件应按以下要求装订；</w:t>
            </w:r>
          </w:p>
          <w:p>
            <w:pPr>
              <w:spacing w:line="276" w:lineRule="auto"/>
            </w:pPr>
            <w:r>
              <w:rPr>
                <w:rFonts w:hint="eastAsia"/>
              </w:rPr>
              <w:t>（1）</w:t>
            </w:r>
            <w:r>
              <w:rPr>
                <w:rFonts w:hint="eastAsia"/>
                <w:b/>
                <w:bCs/>
              </w:rPr>
              <w:t>工程唱标单</w:t>
            </w:r>
            <w:r>
              <w:rPr>
                <w:rFonts w:hint="eastAsia"/>
              </w:rPr>
              <w:t>：一式二份，单独密封。</w:t>
            </w:r>
          </w:p>
          <w:p>
            <w:pPr>
              <w:spacing w:line="276" w:lineRule="auto"/>
              <w:rPr>
                <w:rStyle w:val="43"/>
                <w:rFonts w:hint="default" w:ascii="宋体" w:hAnsi="宋体" w:eastAsia="宋体"/>
                <w:b/>
                <w:bCs/>
                <w:szCs w:val="21"/>
                <w:highlight w:val="cyan"/>
                <w:lang w:val="en-US" w:eastAsia="zh-CN"/>
              </w:rPr>
            </w:pPr>
            <w:r>
              <w:rPr>
                <w:rFonts w:hint="eastAsia"/>
              </w:rPr>
              <w:t>（2）</w:t>
            </w:r>
            <w:r>
              <w:rPr>
                <w:rFonts w:hint="eastAsia"/>
                <w:b/>
                <w:bCs/>
              </w:rPr>
              <w:t>投标文件电子版</w:t>
            </w:r>
            <w:r>
              <w:rPr>
                <w:rFonts w:hint="eastAsia"/>
              </w:rPr>
              <w:t>：</w:t>
            </w:r>
            <w:r>
              <w:rPr>
                <w:rStyle w:val="43"/>
                <w:rFonts w:ascii="宋体" w:hAnsi="宋体"/>
                <w:szCs w:val="21"/>
              </w:rPr>
              <w:t>U盘</w:t>
            </w:r>
            <w:r>
              <w:rPr>
                <w:rStyle w:val="43"/>
                <w:rFonts w:hint="eastAsia" w:ascii="宋体" w:hAnsi="宋体"/>
                <w:szCs w:val="21"/>
              </w:rPr>
              <w:t>，一份，</w:t>
            </w:r>
            <w:r>
              <w:rPr>
                <w:rStyle w:val="43"/>
                <w:rFonts w:ascii="宋体" w:hAnsi="宋体"/>
                <w:szCs w:val="21"/>
              </w:rPr>
              <w:t>单独放入一个密封袋中</w:t>
            </w:r>
            <w:r>
              <w:rPr>
                <w:rStyle w:val="43"/>
                <w:rFonts w:hint="eastAsia" w:ascii="宋体" w:hAnsi="宋体"/>
                <w:szCs w:val="21"/>
              </w:rPr>
              <w:t>。投标文件电子版应包含</w:t>
            </w:r>
            <w:r>
              <w:rPr>
                <w:rStyle w:val="43"/>
                <w:rFonts w:ascii="宋体" w:hAnsi="宋体"/>
                <w:szCs w:val="21"/>
              </w:rPr>
              <w:t>PDF</w:t>
            </w:r>
            <w:r>
              <w:rPr>
                <w:rStyle w:val="43"/>
                <w:rFonts w:hint="eastAsia" w:ascii="宋体" w:hAnsi="宋体"/>
                <w:szCs w:val="21"/>
              </w:rPr>
              <w:t>、</w:t>
            </w:r>
            <w:r>
              <w:rPr>
                <w:rStyle w:val="43"/>
                <w:rFonts w:ascii="宋体" w:hAnsi="宋体"/>
                <w:szCs w:val="21"/>
              </w:rPr>
              <w:t>WORD</w:t>
            </w:r>
            <w:r>
              <w:rPr>
                <w:rStyle w:val="43"/>
                <w:rFonts w:hint="eastAsia" w:ascii="宋体" w:hAnsi="宋体"/>
                <w:szCs w:val="21"/>
              </w:rPr>
              <w:t>、</w:t>
            </w:r>
            <w:r>
              <w:rPr>
                <w:rStyle w:val="43"/>
                <w:rFonts w:ascii="宋体" w:hAnsi="宋体"/>
                <w:szCs w:val="21"/>
              </w:rPr>
              <w:t>EXCEL格式</w:t>
            </w:r>
            <w:r>
              <w:rPr>
                <w:rStyle w:val="43"/>
                <w:rFonts w:hint="eastAsia" w:ascii="宋体" w:hAnsi="宋体"/>
                <w:szCs w:val="21"/>
              </w:rPr>
              <w:t>（P</w:t>
            </w:r>
            <w:r>
              <w:rPr>
                <w:rStyle w:val="43"/>
                <w:rFonts w:ascii="宋体" w:hAnsi="宋体"/>
                <w:szCs w:val="21"/>
              </w:rPr>
              <w:t>DF</w:t>
            </w:r>
            <w:r>
              <w:rPr>
                <w:rStyle w:val="43"/>
                <w:rFonts w:hint="eastAsia" w:ascii="宋体" w:hAnsi="宋体"/>
                <w:szCs w:val="21"/>
              </w:rPr>
              <w:t>版需逐页加盖公章），确保与上传重汽e采通的投标文件电子版一致。</w:t>
            </w:r>
            <w:r>
              <w:rPr>
                <w:rStyle w:val="43"/>
                <w:rFonts w:hint="eastAsia" w:ascii="宋体" w:hAnsi="宋体"/>
                <w:b/>
                <w:bCs/>
                <w:szCs w:val="21"/>
                <w:highlight w:val="cyan"/>
                <w:lang w:val="en-US" w:eastAsia="zh-CN"/>
              </w:rPr>
              <w:t>电子版与上传到e采通的文件不一致的，以上传到e采通的为准。</w:t>
            </w:r>
          </w:p>
          <w:p>
            <w:pPr>
              <w:spacing w:line="276" w:lineRule="auto"/>
            </w:pPr>
            <w:r>
              <w:rPr>
                <w:rFonts w:hint="eastAsia"/>
              </w:rPr>
              <w:t>（3）</w:t>
            </w:r>
            <w:r>
              <w:rPr>
                <w:b/>
                <w:bCs/>
              </w:rPr>
              <w:t>资格审查文件</w:t>
            </w:r>
            <w:r>
              <w:t>：第九章内容（只需一份，单独装密封）</w:t>
            </w:r>
          </w:p>
          <w:p>
            <w:pPr>
              <w:spacing w:line="276" w:lineRule="auto"/>
            </w:pPr>
            <w:r>
              <w:t>（2）</w:t>
            </w:r>
            <w:r>
              <w:rPr>
                <w:b/>
                <w:bCs/>
              </w:rPr>
              <w:t>商务标及技术标文件</w:t>
            </w:r>
            <w:r>
              <w:t>，分两册装订，分别为：</w:t>
            </w:r>
          </w:p>
          <w:p>
            <w:pPr>
              <w:spacing w:line="276" w:lineRule="auto"/>
            </w:pPr>
            <w:r>
              <w:t>商务标册：包括（1）至（5）的内容</w:t>
            </w:r>
            <w:r>
              <w:rPr>
                <w:b/>
                <w:bCs/>
              </w:rPr>
              <w:t>（一正</w:t>
            </w:r>
            <w:r>
              <w:rPr>
                <w:rFonts w:hint="eastAsia"/>
                <w:b/>
                <w:bCs/>
                <w:lang w:val="en-US" w:eastAsia="zh-CN"/>
              </w:rPr>
              <w:t>一</w:t>
            </w:r>
            <w:r>
              <w:rPr>
                <w:b/>
                <w:bCs/>
              </w:rPr>
              <w:t>副）</w:t>
            </w:r>
          </w:p>
          <w:p>
            <w:pPr>
              <w:spacing w:line="276" w:lineRule="auto"/>
            </w:pPr>
            <w:r>
              <w:t>以上文件每册采用胶装方式装订，应牢固、不易拆散和换页，不得采用活页装订。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4.1.2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pPr>
            <w:r>
              <w:t>封套上写明</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pPr>
            <w:r>
              <w:rPr>
                <w:rFonts w:hint="eastAsia"/>
              </w:rPr>
              <w:t>1) 项目编号、项目名称；</w:t>
            </w:r>
          </w:p>
          <w:p>
            <w:pPr>
              <w:spacing w:line="276" w:lineRule="auto"/>
            </w:pPr>
            <w:r>
              <w:rPr>
                <w:rFonts w:hint="eastAsia"/>
              </w:rPr>
              <w:t>2) 唱标单、投标文件电子版、商务标书、资格审查文件；</w:t>
            </w:r>
          </w:p>
          <w:p>
            <w:pPr>
              <w:spacing w:line="276" w:lineRule="auto"/>
            </w:pPr>
            <w:r>
              <w:rPr>
                <w:rFonts w:hint="eastAsia"/>
              </w:rPr>
              <w:t>3) 投标人名称（加盖公章）、地址、固定电话、授权人手机号；</w:t>
            </w:r>
          </w:p>
          <w:p>
            <w:pPr>
              <w:spacing w:line="276" w:lineRule="auto"/>
            </w:pPr>
            <w:r>
              <w:rPr>
                <w:rFonts w:hint="eastAsia"/>
              </w:rPr>
              <w:t>4）每一密封件在封口处注明“于    年  月   日  时  分</w:t>
            </w:r>
            <w:r>
              <w:t>（按实际开标时间填写）</w:t>
            </w:r>
            <w:r>
              <w:rPr>
                <w:rFonts w:hint="eastAsia"/>
              </w:rPr>
              <w:t>之前不准启封”字样。</w:t>
            </w:r>
          </w:p>
          <w:p>
            <w:pPr>
              <w:spacing w:line="276" w:lineRule="auto"/>
            </w:pPr>
            <w:r>
              <w:rPr>
                <w:rFonts w:hint="eastAsia"/>
              </w:rPr>
              <w:t>5）工程唱标单需准备一式二份，并单独密封。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4.2.2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jc w:val="both"/>
              <w:rPr>
                <w:rStyle w:val="43"/>
                <w:rFonts w:ascii="宋体" w:hAnsi="宋体"/>
                <w:szCs w:val="21"/>
              </w:rPr>
            </w:pPr>
            <w:r>
              <w:rPr>
                <w:rStyle w:val="43"/>
                <w:rFonts w:ascii="宋体" w:hAnsi="宋体"/>
                <w:szCs w:val="21"/>
              </w:rPr>
              <w:t>递交投标文件地点</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Fonts w:hint="eastAsia" w:eastAsia="宋体"/>
                <w:highlight w:val="yellow"/>
                <w:lang w:val="en-US" w:eastAsia="zh-CN"/>
              </w:rPr>
            </w:pPr>
            <w:r>
              <w:rPr>
                <w:rFonts w:hint="eastAsia"/>
                <w:highlight w:val="yellow"/>
              </w:rPr>
              <w:t>济南市章丘区圣井街道潘王路西重汽工业园北三</w:t>
            </w:r>
            <w:r>
              <w:rPr>
                <w:rFonts w:hint="eastAsia"/>
                <w:highlight w:val="yellow"/>
                <w:lang w:val="en-US" w:eastAsia="zh-CN"/>
              </w:rPr>
              <w:t>厂</w:t>
            </w:r>
          </w:p>
          <w:p>
            <w:pPr>
              <w:spacing w:line="276" w:lineRule="auto"/>
              <w:rPr>
                <w:b/>
                <w:bCs/>
                <w:color w:val="C00000"/>
              </w:rPr>
            </w:pPr>
            <w:r>
              <w:rPr>
                <w:rFonts w:hint="eastAsia"/>
                <w:b/>
                <w:bCs/>
              </w:rPr>
              <w:t>同时，</w:t>
            </w:r>
            <w:r>
              <w:rPr>
                <w:rFonts w:hint="eastAsia"/>
                <w:b/>
                <w:bCs/>
                <w:color w:val="C00000"/>
              </w:rPr>
              <w:t>投标人须在投标截止时间前</w:t>
            </w:r>
            <w:r>
              <w:rPr>
                <w:rFonts w:hint="eastAsia"/>
                <w:b/>
                <w:bCs/>
                <w:color w:val="C00000"/>
                <w:lang w:eastAsia="zh-CN"/>
              </w:rPr>
              <w:t>（</w:t>
            </w:r>
            <w:r>
              <w:rPr>
                <w:rFonts w:hint="eastAsia"/>
                <w:b/>
                <w:bCs/>
                <w:color w:val="C00000"/>
                <w:highlight w:val="yellow"/>
                <w:lang w:val="en-US" w:eastAsia="zh-CN"/>
              </w:rPr>
              <w:t>为避免系统问题，建议至少提前一天</w:t>
            </w:r>
            <w:r>
              <w:rPr>
                <w:rFonts w:hint="eastAsia"/>
                <w:b/>
                <w:bCs/>
                <w:color w:val="C00000"/>
                <w:lang w:eastAsia="zh-CN"/>
              </w:rPr>
              <w:t>）</w:t>
            </w:r>
            <w:r>
              <w:rPr>
                <w:rFonts w:hint="eastAsia"/>
                <w:b/>
                <w:bCs/>
                <w:color w:val="C00000"/>
              </w:rPr>
              <w:t>将电子版投标文件上传到重汽e采通平台（网址：</w:t>
            </w:r>
            <w:r>
              <w:rPr>
                <w:rFonts w:hint="eastAsia"/>
                <w:b/>
                <w:bCs/>
                <w:color w:val="C00000"/>
              </w:rPr>
              <w:fldChar w:fldCharType="begin"/>
            </w:r>
            <w:r>
              <w:rPr>
                <w:b/>
                <w:bCs/>
                <w:color w:val="C00000"/>
              </w:rPr>
              <w:instrText xml:space="preserve"> HYPERLINK "http://ecaitong.sinotruk.com:8012/%20normalLink" </w:instrText>
            </w:r>
            <w:r>
              <w:rPr>
                <w:rFonts w:hint="eastAsia"/>
                <w:b/>
                <w:bCs/>
                <w:color w:val="C00000"/>
              </w:rPr>
              <w:fldChar w:fldCharType="separate"/>
            </w:r>
            <w:r>
              <w:rPr>
                <w:rFonts w:hint="eastAsia"/>
                <w:b/>
                <w:bCs/>
                <w:color w:val="C00000"/>
              </w:rPr>
              <w:t>http</w:t>
            </w:r>
            <w:r>
              <w:rPr>
                <w:rFonts w:hint="eastAsia"/>
                <w:b/>
                <w:bCs/>
                <w:color w:val="C00000"/>
                <w:lang w:val="en-US" w:eastAsia="zh-CN"/>
              </w:rPr>
              <w:t>s</w:t>
            </w:r>
            <w:r>
              <w:rPr>
                <w:rFonts w:hint="eastAsia"/>
                <w:b/>
                <w:bCs/>
                <w:color w:val="C00000"/>
              </w:rPr>
              <w:t>://ecaitong.sinotruk.com:8012/</w:t>
            </w:r>
            <w:r>
              <w:rPr>
                <w:rFonts w:hint="eastAsia"/>
                <w:b/>
                <w:bCs/>
                <w:color w:val="C00000"/>
              </w:rPr>
              <w:fldChar w:fldCharType="end"/>
            </w:r>
            <w:r>
              <w:rPr>
                <w:rFonts w:hint="eastAsia"/>
                <w:b/>
                <w:bCs/>
                <w:color w:val="C00000"/>
              </w:rPr>
              <w:t>），操作方式详见最新版《SRM-系统用户手册-非生产招投标（供应商使用）》。</w:t>
            </w:r>
            <w:r>
              <w:rPr>
                <w:rFonts w:hint="eastAsia"/>
                <w:b/>
                <w:bCs/>
                <w:color w:val="C00000"/>
                <w:highlight w:val="yellow"/>
              </w:rPr>
              <w:t>若逾期未完成重汽e采通上传标书，</w:t>
            </w:r>
            <w:r>
              <w:rPr>
                <w:rFonts w:hint="eastAsia"/>
                <w:b/>
                <w:bCs/>
                <w:color w:val="C00000"/>
                <w:highlight w:val="yellow"/>
                <w:lang w:val="en-US" w:eastAsia="zh-CN"/>
              </w:rPr>
              <w:t>系统自动关闭，</w:t>
            </w:r>
            <w:r>
              <w:rPr>
                <w:rFonts w:hint="eastAsia"/>
                <w:b/>
                <w:bCs/>
                <w:color w:val="C00000"/>
                <w:highlight w:val="yellow"/>
              </w:rPr>
              <w:t>即便递交了纸质版投标文件，一律视为无效投标</w:t>
            </w:r>
            <w:r>
              <w:rPr>
                <w:rFonts w:hint="eastAsia"/>
                <w:b/>
                <w:bCs/>
                <w:color w:val="C00000"/>
              </w:rPr>
              <w:t>。</w:t>
            </w:r>
          </w:p>
          <w:p>
            <w:pPr>
              <w:spacing w:line="276" w:lineRule="auto"/>
              <w:rPr>
                <w:rFonts w:hint="eastAsia"/>
                <w:b/>
                <w:bCs/>
              </w:rPr>
            </w:pPr>
            <w:r>
              <w:rPr>
                <w:rFonts w:hint="eastAsia"/>
                <w:b/>
                <w:bCs/>
              </w:rPr>
              <w:t>注意：投标人必须在投标前根据《非生产供应商注册操作手册》完成账号注册</w:t>
            </w:r>
            <w:r>
              <w:rPr>
                <w:b/>
                <w:bCs/>
              </w:rPr>
              <w:t>，使用企业账号gsy+供应商编码，初始密码为scm@2022</w:t>
            </w:r>
            <w:r>
              <w:rPr>
                <w:rFonts w:hint="eastAsia"/>
                <w:b/>
                <w:bCs/>
              </w:rPr>
              <w:t>或@2023</w:t>
            </w:r>
            <w:r>
              <w:rPr>
                <w:b/>
                <w:bCs/>
              </w:rPr>
              <w:t>登录，进入“招投标中心-非生产类招投标-供应商应标”</w:t>
            </w:r>
            <w:r>
              <w:rPr>
                <w:rFonts w:hint="eastAsia"/>
                <w:b/>
                <w:bCs/>
              </w:rPr>
              <w:t>。</w:t>
            </w:r>
          </w:p>
          <w:p>
            <w:pPr>
              <w:spacing w:line="276" w:lineRule="auto"/>
              <w:rPr>
                <w:rFonts w:hint="eastAsia"/>
                <w:b/>
                <w:bCs/>
              </w:rPr>
            </w:pPr>
          </w:p>
          <w:p>
            <w:pPr>
              <w:spacing w:line="276" w:lineRule="auto"/>
              <w:rPr>
                <w:b/>
                <w:bCs/>
              </w:rPr>
            </w:pPr>
            <w:r>
              <w:rPr>
                <w:rFonts w:hint="eastAsia"/>
                <w:b/>
                <w:bCs/>
              </w:rPr>
              <w:t>除此之外，投标人还应在开标前在重汽e采通平台上传资格审查资料电子版（即招标公告/投标邀请函第3.1条明确的各项资质要求，按顺序排列，每页均加盖公章，</w:t>
            </w:r>
            <w:r>
              <w:rPr>
                <w:rFonts w:hint="eastAsia"/>
                <w:b/>
                <w:bCs/>
                <w:lang w:val="en-US" w:eastAsia="zh-CN"/>
              </w:rPr>
              <w:t>根据e采通系统要求分别上传</w:t>
            </w:r>
            <w:r>
              <w:rPr>
                <w:rFonts w:hint="eastAsia"/>
                <w:b/>
                <w:bCs/>
              </w:rPr>
              <w:t>）供校验，完成</w:t>
            </w:r>
            <w:r>
              <w:rPr>
                <w:rFonts w:hint="eastAsia"/>
                <w:b/>
                <w:bCs/>
                <w:highlight w:val="yellow"/>
              </w:rPr>
              <w:t>应标</w:t>
            </w:r>
            <w:r>
              <w:rPr>
                <w:rFonts w:hint="eastAsia"/>
                <w:b/>
                <w:bCs/>
              </w:rPr>
              <w:t>。</w:t>
            </w:r>
          </w:p>
          <w:p>
            <w:pPr>
              <w:spacing w:line="276" w:lineRule="auto"/>
              <w:rPr>
                <w:rFonts w:hint="eastAsia"/>
                <w:b/>
                <w:bCs/>
              </w:rPr>
            </w:pPr>
            <w:r>
              <w:rPr>
                <w:rFonts w:hint="eastAsia"/>
                <w:b/>
                <w:bCs/>
              </w:rPr>
              <w:t>注：资格审查未通过，不允许进入技术和商务开标、评审。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4.2.3</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是否退还投标文件</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5.1</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开标时间和地点</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hint="default" w:ascii="宋体" w:hAnsi="宋体" w:eastAsia="宋体"/>
                <w:szCs w:val="21"/>
                <w:highlight w:val="yellow"/>
                <w:lang w:val="en-US" w:eastAsia="zh-CN"/>
              </w:rPr>
            </w:pPr>
            <w:r>
              <w:rPr>
                <w:rStyle w:val="43"/>
                <w:rFonts w:ascii="宋体" w:hAnsi="宋体"/>
                <w:szCs w:val="21"/>
                <w:highlight w:val="yellow"/>
              </w:rPr>
              <w:t>开标时间：同投标截止时间</w:t>
            </w:r>
            <w:r>
              <w:rPr>
                <w:rStyle w:val="43"/>
                <w:rFonts w:hint="eastAsia" w:ascii="宋体" w:hAnsi="宋体"/>
                <w:szCs w:val="21"/>
                <w:highlight w:val="yellow"/>
                <w:lang w:eastAsia="zh-CN"/>
              </w:rPr>
              <w:t>、</w:t>
            </w:r>
            <w:r>
              <w:rPr>
                <w:rStyle w:val="43"/>
                <w:rFonts w:hint="eastAsia" w:ascii="宋体" w:hAnsi="宋体"/>
                <w:szCs w:val="21"/>
                <w:highlight w:val="yellow"/>
                <w:lang w:val="en-US" w:eastAsia="zh-CN"/>
              </w:rPr>
              <w:t>具体以实际为主</w:t>
            </w:r>
          </w:p>
          <w:p>
            <w:pPr>
              <w:spacing w:line="276" w:lineRule="auto"/>
              <w:rPr>
                <w:rStyle w:val="43"/>
                <w:rFonts w:hint="eastAsia" w:ascii="宋体" w:hAnsi="宋体" w:eastAsia="宋体"/>
                <w:szCs w:val="21"/>
                <w:lang w:val="en-US" w:eastAsia="zh-CN"/>
              </w:rPr>
            </w:pPr>
            <w:r>
              <w:rPr>
                <w:rStyle w:val="43"/>
                <w:rFonts w:ascii="宋体" w:hAnsi="宋体"/>
                <w:szCs w:val="21"/>
                <w:highlight w:val="yellow"/>
              </w:rPr>
              <w:t>开标地点：</w:t>
            </w:r>
            <w:r>
              <w:rPr>
                <w:rStyle w:val="43"/>
                <w:rFonts w:hint="eastAsia" w:ascii="宋体" w:hAnsi="宋体"/>
                <w:szCs w:val="21"/>
                <w:highlight w:val="yellow"/>
              </w:rPr>
              <w:t>济南市章丘区圣井街道潘王路西重汽工业园北三厂</w:t>
            </w:r>
            <w:r>
              <w:rPr>
                <w:rStyle w:val="43"/>
                <w:rFonts w:hint="eastAsia" w:ascii="宋体" w:hAnsi="宋体"/>
                <w:szCs w:val="21"/>
                <w:highlight w:val="yellow"/>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5.2</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开标程序</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详见投标人须知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6.1.1</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评标委员会的组建</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评标委员会构成：3人或</w:t>
            </w:r>
            <w:r>
              <w:rPr>
                <w:rStyle w:val="43"/>
                <w:rFonts w:hint="eastAsia" w:ascii="宋体" w:hAnsi="宋体"/>
                <w:szCs w:val="21"/>
                <w:lang w:val="en-US" w:eastAsia="zh-CN"/>
              </w:rPr>
              <w:t>5人</w:t>
            </w:r>
            <w:r>
              <w:rPr>
                <w:rStyle w:val="43"/>
                <w:rFonts w:ascii="宋体" w:hAnsi="宋体"/>
                <w:szCs w:val="21"/>
              </w:rPr>
              <w:t>以上单数。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7.1</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是否授权评标委员会确定中标人</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7.3.1</w:t>
            </w: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履约担保</w:t>
            </w:r>
          </w:p>
        </w:tc>
        <w:tc>
          <w:tcPr>
            <w:tcW w:w="6930" w:type="dxa"/>
            <w:tcBorders>
              <w:top w:val="single" w:color="000000" w:sz="6" w:space="0"/>
              <w:left w:val="single" w:color="000000" w:sz="6" w:space="0"/>
              <w:bottom w:val="single" w:color="000000" w:sz="6" w:space="0"/>
              <w:right w:val="single" w:color="000000" w:sz="12" w:space="0"/>
            </w:tcBorders>
          </w:tcPr>
          <w:p>
            <w:pPr>
              <w:pStyle w:val="9"/>
            </w:pPr>
            <w:r>
              <w:rPr>
                <w:rFonts w:hint="eastAsia" w:eastAsia="宋体"/>
                <w:sz w:val="21"/>
                <w:szCs w:val="24"/>
              </w:rPr>
              <w:sym w:font="Wingdings 2" w:char="F052"/>
            </w:r>
            <w:r>
              <w:rPr>
                <w:rFonts w:hint="eastAsia" w:eastAsia="宋体"/>
                <w:sz w:val="21"/>
                <w:szCs w:val="24"/>
              </w:rPr>
              <w:t>投标保证金转为履约保证金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 需要补充的其他内容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10.1词语定义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4"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10.1.1</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类似工程</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hint="default" w:ascii="宋体" w:hAnsi="宋体" w:eastAsia="宋体"/>
                <w:szCs w:val="21"/>
                <w:lang w:val="en-US" w:eastAsia="zh-CN"/>
              </w:rPr>
            </w:pPr>
            <w:r>
              <w:rPr>
                <w:rStyle w:val="43"/>
                <w:rFonts w:ascii="宋体" w:hAnsi="宋体"/>
                <w:b/>
                <w:bCs/>
                <w:szCs w:val="21"/>
              </w:rPr>
              <w:t>类似工程是指：</w:t>
            </w:r>
            <w:r>
              <w:rPr>
                <w:rStyle w:val="43"/>
                <w:rFonts w:hint="eastAsia" w:ascii="宋体" w:hAnsi="宋体"/>
                <w:b/>
                <w:bCs/>
                <w:szCs w:val="21"/>
              </w:rPr>
              <w:t>单项合同额不低于</w:t>
            </w:r>
            <w:r>
              <w:rPr>
                <w:rStyle w:val="43"/>
                <w:rFonts w:hint="eastAsia" w:ascii="宋体" w:hAnsi="宋体"/>
                <w:b/>
                <w:bCs/>
                <w:szCs w:val="21"/>
                <w:lang w:val="en-US" w:eastAsia="zh-CN"/>
              </w:rPr>
              <w:t>100</w:t>
            </w:r>
            <w:r>
              <w:rPr>
                <w:rStyle w:val="43"/>
                <w:rFonts w:hint="eastAsia" w:ascii="宋体" w:hAnsi="宋体"/>
                <w:b/>
                <w:bCs/>
                <w:szCs w:val="21"/>
              </w:rPr>
              <w:t>万元</w:t>
            </w:r>
            <w:r>
              <w:rPr>
                <w:rStyle w:val="43"/>
                <w:rFonts w:hint="eastAsia" w:ascii="宋体" w:hAnsi="宋体"/>
                <w:b/>
                <w:bCs/>
                <w:szCs w:val="21"/>
                <w:lang w:val="en-US" w:eastAsia="zh-CN"/>
              </w:rPr>
              <w:t>的工业厂房类（新建、扩建、改造）施工总承包业绩</w:t>
            </w:r>
            <w:r>
              <w:rPr>
                <w:rStyle w:val="43"/>
                <w:rFonts w:hint="eastAsia" w:ascii="宋体" w:hAnsi="宋体"/>
                <w:b/>
                <w:bCs/>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7" w:hRule="exact"/>
          <w:jc w:val="center"/>
        </w:trPr>
        <w:tc>
          <w:tcPr>
            <w:tcW w:w="962" w:type="dxa"/>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10.1.2</w:t>
            </w: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不良行为记录</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不良行为记录是指：</w:t>
            </w:r>
            <w:r>
              <w:rPr>
                <w:rStyle w:val="43"/>
                <w:szCs w:val="21"/>
              </w:rPr>
              <w:t>a、</w:t>
            </w:r>
            <w:r>
              <w:rPr>
                <w:rStyle w:val="43"/>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43"/>
                <w:b/>
                <w:szCs w:val="21"/>
              </w:rPr>
              <w:t>b、经中国裁判文书网查询投标人有单位行贿犯罪记录的（投标人自行查询，并附在投标文件中）。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10185" w:type="dxa"/>
            <w:gridSpan w:val="3"/>
            <w:tcBorders>
              <w:top w:val="single" w:color="000000" w:sz="6" w:space="0"/>
              <w:left w:val="single" w:color="000000" w:sz="12" w:space="0"/>
              <w:bottom w:val="single" w:color="000000" w:sz="12"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10.2 “暗标”评审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12"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2293" w:type="dxa"/>
            <w:tcBorders>
              <w:top w:val="single" w:color="000000" w:sz="12"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施工组织设计是否采用“暗标”评审方式</w:t>
            </w:r>
          </w:p>
        </w:tc>
        <w:tc>
          <w:tcPr>
            <w:tcW w:w="6930" w:type="dxa"/>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不采用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10.3  投标文件电子版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vAlign w:val="center"/>
          </w:tcPr>
          <w:p>
            <w:pPr>
              <w:spacing w:line="276" w:lineRule="auto"/>
              <w:rPr>
                <w:rStyle w:val="43"/>
                <w:rFonts w:ascii="宋体" w:hAnsi="宋体"/>
                <w:szCs w:val="21"/>
              </w:rPr>
            </w:pPr>
            <w:r>
              <w:rPr>
                <w:rStyle w:val="43"/>
                <w:rFonts w:ascii="宋体" w:hAnsi="宋体"/>
                <w:szCs w:val="21"/>
              </w:rPr>
              <w:t>是否要求投标人在递交投标文件时，同时递交投标文件电子版</w:t>
            </w:r>
          </w:p>
        </w:tc>
        <w:tc>
          <w:tcPr>
            <w:tcW w:w="6930" w:type="dxa"/>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要求，投标文件电子版内容：</w:t>
            </w:r>
          </w:p>
          <w:p>
            <w:pPr>
              <w:spacing w:line="276" w:lineRule="auto"/>
              <w:rPr>
                <w:rStyle w:val="43"/>
                <w:rFonts w:ascii="宋体" w:hAnsi="宋体"/>
                <w:szCs w:val="21"/>
              </w:rPr>
            </w:pPr>
            <w:r>
              <w:rPr>
                <w:rStyle w:val="43"/>
                <w:rFonts w:ascii="宋体" w:hAnsi="宋体"/>
                <w:szCs w:val="21"/>
              </w:rPr>
              <w:t>投标文件电子版份数：</w:t>
            </w:r>
            <w:r>
              <w:rPr>
                <w:rStyle w:val="43"/>
                <w:rFonts w:hint="eastAsia" w:ascii="宋体" w:hAnsi="宋体"/>
                <w:szCs w:val="21"/>
              </w:rPr>
              <w:t>一</w:t>
            </w:r>
            <w:r>
              <w:rPr>
                <w:rStyle w:val="43"/>
                <w:rFonts w:ascii="宋体" w:hAnsi="宋体"/>
                <w:szCs w:val="21"/>
              </w:rPr>
              <w:t>份；</w:t>
            </w:r>
          </w:p>
          <w:p>
            <w:pPr>
              <w:spacing w:line="276" w:lineRule="auto"/>
              <w:rPr>
                <w:rStyle w:val="43"/>
                <w:rFonts w:ascii="宋体" w:hAnsi="宋体"/>
                <w:szCs w:val="21"/>
              </w:rPr>
            </w:pPr>
            <w:r>
              <w:rPr>
                <w:rStyle w:val="43"/>
                <w:rFonts w:ascii="宋体" w:hAnsi="宋体"/>
                <w:szCs w:val="21"/>
              </w:rPr>
              <w:t>投标文件电子版形式：U盘。PDF</w:t>
            </w:r>
            <w:r>
              <w:rPr>
                <w:rStyle w:val="43"/>
                <w:rFonts w:hint="eastAsia" w:ascii="宋体" w:hAnsi="宋体"/>
                <w:szCs w:val="21"/>
              </w:rPr>
              <w:t>、</w:t>
            </w:r>
            <w:r>
              <w:rPr>
                <w:rStyle w:val="43"/>
                <w:rFonts w:ascii="宋体" w:hAnsi="宋体"/>
                <w:szCs w:val="21"/>
              </w:rPr>
              <w:t>WORD</w:t>
            </w:r>
            <w:r>
              <w:rPr>
                <w:rStyle w:val="43"/>
                <w:rFonts w:hint="eastAsia" w:ascii="宋体" w:hAnsi="宋体"/>
                <w:szCs w:val="21"/>
              </w:rPr>
              <w:t>、</w:t>
            </w:r>
            <w:r>
              <w:rPr>
                <w:rStyle w:val="43"/>
                <w:rFonts w:ascii="宋体" w:hAnsi="宋体"/>
                <w:szCs w:val="21"/>
              </w:rPr>
              <w:t>EXCEL格式</w:t>
            </w:r>
            <w:r>
              <w:rPr>
                <w:rStyle w:val="43"/>
                <w:rFonts w:hint="eastAsia" w:ascii="宋体" w:hAnsi="宋体"/>
                <w:szCs w:val="21"/>
              </w:rPr>
              <w:t>。</w:t>
            </w:r>
          </w:p>
          <w:p>
            <w:pPr>
              <w:spacing w:line="276" w:lineRule="auto"/>
              <w:rPr>
                <w:rStyle w:val="43"/>
                <w:rFonts w:ascii="宋体" w:hAnsi="宋体"/>
                <w:szCs w:val="21"/>
              </w:rPr>
            </w:pPr>
            <w:r>
              <w:rPr>
                <w:rStyle w:val="43"/>
                <w:rFonts w:ascii="宋体" w:hAnsi="宋体"/>
                <w:szCs w:val="21"/>
              </w:rPr>
              <w:t>投标文件电子版密封方式：单独放入一个密封袋中，并在封套每个封口处加盖投标人单位公章，在封套上标记“投标文件电子版”字样。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10.4 计算机辅助评标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2293" w:type="dxa"/>
            <w:tcBorders>
              <w:top w:val="single" w:color="000000" w:sz="6" w:space="0"/>
              <w:left w:val="single" w:color="000000" w:sz="6" w:space="0"/>
              <w:bottom w:val="single" w:color="000000" w:sz="6" w:space="0"/>
              <w:right w:val="single" w:color="000000" w:sz="6" w:space="0"/>
            </w:tcBorders>
          </w:tcPr>
          <w:p>
            <w:pPr>
              <w:spacing w:line="276" w:lineRule="auto"/>
              <w:rPr>
                <w:rStyle w:val="43"/>
                <w:rFonts w:ascii="宋体" w:hAnsi="宋体"/>
                <w:szCs w:val="21"/>
              </w:rPr>
            </w:pPr>
            <w:r>
              <w:rPr>
                <w:rStyle w:val="43"/>
                <w:rFonts w:ascii="宋体" w:hAnsi="宋体"/>
                <w:szCs w:val="21"/>
              </w:rPr>
              <w:t>是否实行计算机辅助评标</w:t>
            </w:r>
          </w:p>
        </w:tc>
        <w:tc>
          <w:tcPr>
            <w:tcW w:w="6930" w:type="dxa"/>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10.5 投标人代表出席开标会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pPr>
              <w:spacing w:line="276" w:lineRule="auto"/>
              <w:rPr>
                <w:rFonts w:hint="eastAsia"/>
                <w:b/>
                <w:bCs/>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22" w:name="_Hlt363566421"/>
            <w:r>
              <w:rPr>
                <w:rFonts w:hint="eastAsia"/>
                <w:b/>
                <w:bCs/>
              </w:rPr>
              <w:t>5</w:t>
            </w:r>
            <w:bookmarkEnd w:id="22"/>
            <w:r>
              <w:rPr>
                <w:rFonts w:hint="eastAsia"/>
                <w:b/>
                <w:bCs/>
              </w:rPr>
              <w:t>.</w:t>
            </w:r>
            <w:bookmarkStart w:id="23" w:name="_Hlt364843078"/>
            <w:bookmarkStart w:id="24" w:name="_Hlt364843077"/>
            <w:bookmarkStart w:id="25" w:name="_Hlt363565524"/>
            <w:r>
              <w:rPr>
                <w:rFonts w:hint="eastAsia"/>
                <w:b/>
                <w:bCs/>
              </w:rPr>
              <w:t>1</w:t>
            </w:r>
            <w:bookmarkEnd w:id="23"/>
            <w:bookmarkEnd w:id="24"/>
            <w:bookmarkEnd w:id="25"/>
            <w:r>
              <w:rPr>
                <w:rFonts w:hint="eastAsia"/>
                <w:b/>
                <w:bCs/>
              </w:rPr>
              <w:t>款</w:t>
            </w:r>
            <w:r>
              <w:rPr>
                <w:rFonts w:hint="eastAsia"/>
                <w:b/>
                <w:bCs/>
              </w:rPr>
              <w:fldChar w:fldCharType="end"/>
            </w:r>
            <w:r>
              <w:rPr>
                <w:rFonts w:hint="eastAsia"/>
                <w:b/>
                <w:bCs/>
              </w:rPr>
              <w:t>的规定，招标人邀请所有投标人的法定代表人或其委托代理人参加现场开标会，同时登录重汽e采通平台。投标人的法定代表人或其委托代理人应当按时参加开标会，并在招标人按开标程序进行点名时，向招标人提交法定代表人身份证明文件（或法定代表人授权委托书）原件及本人身份证原件供校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10.6 中标公示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10.7 知识产权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10.8 重新招标的其他情形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除投标人须知正文第8条规定的情形外，除非已经产生中标候选人，在投标有效期内同意延长投标有效期的投标人少于三个的，招标人应当依法重新招标。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10.9 同义词语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962" w:type="dxa"/>
            <w:tcBorders>
              <w:top w:val="single" w:color="000000" w:sz="6" w:space="0"/>
              <w:left w:val="single" w:color="000000" w:sz="12" w:space="0"/>
              <w:bottom w:val="single" w:color="000000" w:sz="6" w:space="0"/>
              <w:right w:val="single" w:color="000000" w:sz="6" w:space="0"/>
            </w:tcBorders>
          </w:tcPr>
          <w:p>
            <w:pPr>
              <w:spacing w:line="276" w:lineRule="auto"/>
              <w:rPr>
                <w:rStyle w:val="43"/>
                <w:rFonts w:ascii="宋体" w:hAnsi="宋体"/>
                <w:szCs w:val="21"/>
              </w:rPr>
            </w:pPr>
          </w:p>
        </w:tc>
        <w:tc>
          <w:tcPr>
            <w:tcW w:w="9223" w:type="dxa"/>
            <w:gridSpan w:val="2"/>
            <w:tcBorders>
              <w:top w:val="single" w:color="000000" w:sz="6" w:space="0"/>
              <w:left w:val="single" w:color="000000" w:sz="6" w:space="0"/>
              <w:bottom w:val="single" w:color="000000" w:sz="6" w:space="0"/>
              <w:right w:val="single" w:color="000000" w:sz="12" w:space="0"/>
            </w:tcBorders>
          </w:tcPr>
          <w:p>
            <w:pPr>
              <w:spacing w:line="276" w:lineRule="auto"/>
              <w:rPr>
                <w:rStyle w:val="43"/>
                <w:rFonts w:ascii="宋体" w:hAnsi="宋体"/>
                <w:szCs w:val="21"/>
              </w:rPr>
            </w:pPr>
            <w:r>
              <w:rPr>
                <w:rStyle w:val="43"/>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10.10 解释权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6" w:space="0"/>
              <w:right w:val="single" w:color="000000" w:sz="12" w:space="0"/>
            </w:tcBorders>
          </w:tcPr>
          <w:p>
            <w:pPr>
              <w:spacing w:line="276" w:lineRule="auto"/>
              <w:ind w:firstLine="420" w:firstLineChars="200"/>
              <w:rPr>
                <w:rStyle w:val="43"/>
                <w:rFonts w:ascii="宋体" w:hAnsi="宋体"/>
                <w:szCs w:val="21"/>
              </w:rPr>
            </w:pPr>
            <w:r>
              <w:rPr>
                <w:rStyle w:val="43"/>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43"/>
                <w:rFonts w:hint="eastAsia" w:ascii="宋体" w:hAnsi="宋体"/>
                <w:szCs w:val="21"/>
              </w:rPr>
              <w:t>招标公告</w:t>
            </w:r>
            <w:r>
              <w:rPr>
                <w:rStyle w:val="43"/>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10185" w:type="dxa"/>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43"/>
                <w:rFonts w:ascii="宋体" w:hAnsi="宋体"/>
                <w:szCs w:val="21"/>
              </w:rPr>
            </w:pPr>
            <w:r>
              <w:rPr>
                <w:rStyle w:val="43"/>
                <w:rFonts w:ascii="宋体" w:hAnsi="宋体"/>
                <w:szCs w:val="21"/>
              </w:rPr>
              <w:t>10.11 招标人补充的其他内容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10185" w:type="dxa"/>
            <w:gridSpan w:val="3"/>
            <w:tcBorders>
              <w:top w:val="single" w:color="000000" w:sz="6" w:space="0"/>
              <w:left w:val="single" w:color="000000" w:sz="12" w:space="0"/>
              <w:bottom w:val="single" w:color="000000" w:sz="12" w:space="0"/>
              <w:right w:val="single" w:color="000000" w:sz="12" w:space="0"/>
            </w:tcBorders>
          </w:tcPr>
          <w:p>
            <w:pPr>
              <w:pStyle w:val="52"/>
              <w:numPr>
                <w:ilvl w:val="0"/>
                <w:numId w:val="3"/>
              </w:numPr>
              <w:snapToGrid w:val="0"/>
              <w:spacing w:line="276" w:lineRule="auto"/>
              <w:ind w:left="0" w:firstLine="0" w:firstLineChars="0"/>
            </w:pPr>
            <w:r>
              <w:rPr>
                <w:rFonts w:hint="eastAsia"/>
              </w:rPr>
              <w:t>预</w:t>
            </w:r>
            <w:r>
              <w:t>中标</w:t>
            </w:r>
            <w:r>
              <w:rPr>
                <w:rFonts w:hint="eastAsia"/>
              </w:rPr>
              <w:t>单位</w:t>
            </w:r>
            <w:r>
              <w:t>放弃中标、因不可抗力不能履行合同、不按照招标文件要求提交履约保证金，或者被查实存在影响中标结果的违法行为等情形，不符合中标条件的，招标人可以按照评标委员会提出的中标候选人名单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pPr>
              <w:pStyle w:val="52"/>
              <w:numPr>
                <w:ilvl w:val="0"/>
                <w:numId w:val="3"/>
              </w:numPr>
              <w:snapToGrid w:val="0"/>
              <w:spacing w:line="276" w:lineRule="auto"/>
              <w:ind w:left="0" w:firstLine="0" w:firstLineChars="0"/>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pPr>
              <w:pStyle w:val="52"/>
              <w:numPr>
                <w:ilvl w:val="0"/>
                <w:numId w:val="3"/>
              </w:numPr>
              <w:snapToGrid w:val="0"/>
              <w:spacing w:line="276" w:lineRule="auto"/>
              <w:ind w:left="0" w:firstLine="0" w:firstLineChars="0"/>
              <w:rPr>
                <w:b/>
                <w:bCs/>
                <w:color w:val="FF0000"/>
              </w:rPr>
            </w:pPr>
            <w:r>
              <w:rPr>
                <w:rFonts w:hint="eastAsia"/>
                <w:b/>
                <w:bCs/>
              </w:rPr>
              <w:t>现场施工要求</w:t>
            </w:r>
          </w:p>
          <w:p>
            <w:pPr>
              <w:ind w:firstLine="420" w:firstLineChars="200"/>
            </w:pPr>
            <w:r>
              <w:rPr>
                <w:rFonts w:hint="eastAsia"/>
              </w:rPr>
              <w:sym w:font="Wingdings 2" w:char="0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pPr>
              <w:ind w:firstLine="420" w:firstLineChars="200"/>
            </w:pPr>
            <w:r>
              <w:rPr>
                <w:rFonts w:hint="eastAsia"/>
              </w:rPr>
              <w:sym w:font="Wingdings 2" w:char="0052"/>
            </w:r>
            <w:r>
              <w:rPr>
                <w:rFonts w:hint="eastAsia"/>
              </w:rPr>
              <w:t>现场不提供办公区、生活区，施工方自行考虑。</w:t>
            </w:r>
          </w:p>
          <w:p>
            <w:pPr>
              <w:ind w:firstLine="420" w:firstLineChars="200"/>
              <w:rPr>
                <w:rFonts w:hint="eastAsia" w:ascii="Times New Roman" w:hAnsi="Times New Roman" w:eastAsia="宋体" w:cs="Times New Roman"/>
                <w:lang w:val="en-US" w:eastAsia="zh-CN"/>
              </w:rPr>
            </w:pPr>
            <w:r>
              <w:rPr>
                <w:rFonts w:hint="eastAsia"/>
              </w:rPr>
              <w:sym w:font="Wingdings 2" w:char="0052"/>
            </w:r>
            <w:r>
              <w:rPr>
                <w:rFonts w:hint="eastAsia" w:ascii="Times New Roman" w:hAnsi="Times New Roman" w:eastAsia="宋体" w:cs="Times New Roman"/>
              </w:rPr>
              <w:t>发包人在施工范围周边指定水电接驳点，由承包人自行敷设至施工区</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并</w:t>
            </w:r>
            <w:r>
              <w:rPr>
                <w:rFonts w:hint="eastAsia" w:ascii="Times New Roman" w:hAnsi="Times New Roman" w:eastAsia="宋体" w:cs="Times New Roman"/>
              </w:rPr>
              <w:t>自行考虑临时停水、停电的应急预案</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费用已在投标报价中综合考虑，不再另计</w:t>
            </w:r>
            <w:r>
              <w:rPr>
                <w:rFonts w:hint="eastAsia" w:ascii="Times New Roman" w:hAnsi="Times New Roman" w:eastAsia="宋体" w:cs="Times New Roman"/>
                <w:lang w:eastAsia="zh-CN"/>
              </w:rPr>
              <w:t>）</w:t>
            </w:r>
            <w:r>
              <w:rPr>
                <w:rFonts w:hint="eastAsia" w:ascii="Times New Roman" w:hAnsi="Times New Roman" w:eastAsia="宋体" w:cs="Times New Roman"/>
              </w:rPr>
              <w:t>；</w:t>
            </w:r>
            <w:r>
              <w:rPr>
                <w:rFonts w:hint="eastAsia" w:ascii="Times New Roman" w:hAnsi="Times New Roman" w:eastAsia="宋体" w:cs="Times New Roman"/>
                <w:lang w:val="en-US" w:eastAsia="zh-CN"/>
              </w:rPr>
              <w:t>施工水电费挂表计量缴纳至</w:t>
            </w:r>
            <w:r>
              <w:rPr>
                <w:rFonts w:hint="eastAsia" w:cs="Times New Roman"/>
                <w:lang w:val="en-US" w:eastAsia="zh-CN"/>
              </w:rPr>
              <w:t>厂区能源管理单位</w:t>
            </w:r>
            <w:r>
              <w:rPr>
                <w:rFonts w:hint="eastAsia" w:ascii="Times New Roman" w:hAnsi="Times New Roman" w:eastAsia="宋体" w:cs="Times New Roman"/>
                <w:lang w:eastAsia="zh-CN"/>
              </w:rPr>
              <w:t>。</w:t>
            </w:r>
          </w:p>
          <w:p>
            <w:pPr>
              <w:pStyle w:val="9"/>
              <w:ind w:firstLine="420" w:firstLineChars="200"/>
              <w:rPr>
                <w:rFonts w:ascii="宋体" w:hAnsi="宋体" w:eastAsia="宋体" w:cs="宋体"/>
                <w:sz w:val="21"/>
                <w:szCs w:val="21"/>
              </w:rPr>
            </w:pPr>
            <w:r>
              <w:rPr>
                <w:rFonts w:hint="eastAsia" w:eastAsia="宋体"/>
                <w:sz w:val="21"/>
                <w:szCs w:val="24"/>
              </w:rPr>
              <w:sym w:font="Wingdings 2" w:char="0052"/>
            </w:r>
            <w:r>
              <w:rPr>
                <w:rFonts w:hint="eastAsia" w:ascii="宋体" w:hAnsi="宋体" w:eastAsia="宋体" w:cs="宋体"/>
                <w:sz w:val="21"/>
                <w:szCs w:val="21"/>
              </w:rPr>
              <w:t>施工期间应服从厂区安全文明管理规定，车辆人员进出管理规定（物流运输、施工车辆，必须选用重汽品牌）以及一切厂区管理制度，如人员登记、防疫管理、禁止吸烟、特种作业、动火审批用电审批、登高审批及相关安全环保检查等。</w:t>
            </w:r>
          </w:p>
          <w:p>
            <w:pPr>
              <w:widowControl/>
              <w:snapToGrid w:val="0"/>
              <w:spacing w:line="276" w:lineRule="auto"/>
              <w:ind w:firstLine="420" w:firstLineChars="200"/>
            </w:pPr>
            <w:r>
              <w:rPr>
                <w:rFonts w:hint="eastAsia"/>
              </w:rPr>
              <w:sym w:font="Wingdings 2" w:char="0052"/>
            </w:r>
            <w:r>
              <w:t>中标人自行负责进场设备材料物资的看护责任，若现场发生的丢失损坏，不得以此向招标人索赔工期和费用。</w:t>
            </w:r>
          </w:p>
          <w:p>
            <w:pPr>
              <w:ind w:firstLine="420" w:firstLineChars="200"/>
            </w:pPr>
            <w:r>
              <w:rPr>
                <w:rFonts w:hint="eastAsia"/>
              </w:rPr>
              <w:sym w:font="Wingdings 2" w:char="0052"/>
            </w:r>
            <w:r>
              <w:rPr>
                <w:rFonts w:hint="eastAsia"/>
              </w:rPr>
              <w:t>中标人自进场施工开始至交接验收前负责施工范围内的成品保护工作，包括自身自己的成品及其它施工单位的成品、半成品等，如发生损坏、更改变化，由中标人负责免费进行恢复原状。</w:t>
            </w:r>
          </w:p>
          <w:p>
            <w:pPr>
              <w:pStyle w:val="35"/>
              <w:rPr>
                <w:rFonts w:hint="default"/>
              </w:rPr>
            </w:pPr>
            <w:r>
              <w:rPr/>
              <w:sym w:font="Wingdings 2" w:char="0052"/>
            </w:r>
            <w:r>
              <w:t>施工期间必须采取抑尘降尘措施，与生产区域设置彩条布或封闭围挡进行封闭施工，与生产交叉时应采取保生产措施，服从车间生产需要，积极采取夜间施工、加班加人等赶工措施。不得以此申请延长工期和增加费用。</w:t>
            </w:r>
          </w:p>
          <w:p>
            <w:pPr>
              <w:snapToGrid w:val="0"/>
              <w:spacing w:line="276" w:lineRule="auto"/>
              <w:ind w:firstLine="420" w:firstLineChars="200"/>
            </w:pPr>
            <w:r>
              <w:rPr>
                <w:rFonts w:hint="eastAsia"/>
              </w:rPr>
              <w:sym w:font="Wingdings 2" w:char="0052"/>
            </w:r>
            <w:r>
              <w:rPr>
                <w:rFonts w:hint="eastAsia"/>
              </w:rPr>
              <w:t>投标人须认可招标人的工作指令，包括节、假日能正常开展工作的要求。</w:t>
            </w:r>
          </w:p>
          <w:p>
            <w:pPr>
              <w:ind w:firstLine="420" w:firstLineChars="200"/>
            </w:pPr>
            <w:r>
              <w:rPr>
                <w:rFonts w:hint="eastAsia"/>
              </w:rPr>
              <w:sym w:font="Wingdings 2" w:char="0052"/>
            </w:r>
            <w:r>
              <w:rPr>
                <w:rFonts w:hint="eastAsia"/>
              </w:rPr>
              <w:t>现场分区域分段施工、交叉施工是必然的，施工降效等费用综合考虑到措施费用中。</w:t>
            </w:r>
          </w:p>
          <w:p>
            <w:pPr>
              <w:pStyle w:val="22"/>
              <w:snapToGrid w:val="0"/>
              <w:spacing w:after="0"/>
              <w:ind w:left="0" w:leftChars="0" w:firstLine="420"/>
              <w:jc w:val="both"/>
              <w:rPr>
                <w:rFonts w:hint="eastAsia"/>
              </w:rPr>
            </w:pPr>
            <w:r>
              <w:rPr>
                <w:rFonts w:hint="eastAsia"/>
              </w:rPr>
              <w:sym w:font="Wingdings 2" w:char="0052"/>
            </w:r>
            <w:r>
              <w:rPr>
                <w:rFonts w:hint="eastAsia"/>
              </w:rPr>
              <w:t>现场施工人员登高、电工、焊工等作业必须持证上岗，并保证证书在有效期内且在专业允许范围内。</w:t>
            </w:r>
          </w:p>
          <w:p>
            <w:pPr>
              <w:pStyle w:val="22"/>
              <w:snapToGrid w:val="0"/>
              <w:spacing w:after="0"/>
              <w:ind w:left="0" w:leftChars="0" w:firstLine="420"/>
              <w:jc w:val="both"/>
              <w:rPr>
                <w:rFonts w:hint="eastAsia"/>
                <w:b/>
                <w:bCs/>
                <w:highlight w:val="yellow"/>
              </w:rPr>
            </w:pPr>
            <w:r>
              <w:rPr>
                <w:rFonts w:hint="eastAsia"/>
                <w:b/>
                <w:bCs/>
                <w:highlight w:val="yellow"/>
              </w:rPr>
              <w:t>施工期间采取成品保护、防尘遮盖措施并做到每日收工的现场清洁，以及分段、错时施工</w:t>
            </w:r>
            <w:r>
              <w:rPr>
                <w:rFonts w:hint="eastAsia"/>
                <w:b/>
                <w:bCs/>
                <w:highlight w:val="yellow"/>
                <w:lang w:val="en-US" w:eastAsia="zh-CN"/>
              </w:rPr>
              <w:t>降效、抢工</w:t>
            </w:r>
            <w:r>
              <w:rPr>
                <w:rFonts w:hint="eastAsia"/>
                <w:b/>
                <w:bCs/>
                <w:highlight w:val="yellow"/>
              </w:rPr>
              <w:t>等相关费用已综合考虑。</w:t>
            </w:r>
          </w:p>
          <w:p>
            <w:pPr>
              <w:pStyle w:val="22"/>
              <w:snapToGrid w:val="0"/>
              <w:spacing w:after="0"/>
              <w:ind w:left="0" w:leftChars="0" w:firstLine="420"/>
              <w:jc w:val="both"/>
              <w:rPr>
                <w:rFonts w:hint="eastAsia"/>
              </w:rPr>
            </w:pPr>
          </w:p>
          <w:p>
            <w:pPr>
              <w:ind w:firstLine="420" w:firstLineChars="200"/>
            </w:pPr>
            <w:r>
              <w:rPr>
                <w:rFonts w:hint="eastAsia"/>
              </w:rPr>
              <w:sym w:font="Wingdings 2" w:char="0052"/>
            </w:r>
            <w:r>
              <w:rPr>
                <w:rFonts w:hint="eastAsi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pPr>
              <w:pStyle w:val="52"/>
              <w:numPr>
                <w:ilvl w:val="0"/>
                <w:numId w:val="3"/>
              </w:numPr>
              <w:snapToGrid w:val="0"/>
              <w:spacing w:line="276" w:lineRule="auto"/>
              <w:ind w:left="0" w:firstLine="0" w:firstLineChars="0"/>
              <w:rPr>
                <w:b/>
                <w:bCs/>
              </w:rPr>
            </w:pPr>
            <w:r>
              <w:rPr>
                <w:rFonts w:hint="eastAsia"/>
                <w:b/>
                <w:bCs/>
              </w:rPr>
              <w:t>商务报价注意内容</w:t>
            </w:r>
          </w:p>
          <w:p>
            <w:pPr>
              <w:pStyle w:val="18"/>
              <w:ind w:left="0" w:leftChars="0" w:firstLine="422" w:firstLineChars="200"/>
              <w:rPr>
                <w:color w:val="FF0000"/>
                <w:highlight w:val="red"/>
              </w:rPr>
            </w:pPr>
            <w:r>
              <w:rPr>
                <w:rFonts w:hint="eastAsia"/>
                <w:highlight w:val="red"/>
              </w:rPr>
              <w:t>最高投标限价（招标控制价）：人民币</w:t>
            </w:r>
            <w:r>
              <w:rPr>
                <w:rFonts w:hint="eastAsia"/>
                <w:highlight w:val="red"/>
                <w:lang w:val="en-US" w:eastAsia="zh-CN"/>
              </w:rPr>
              <w:t xml:space="preserve"> 15.5 </w:t>
            </w:r>
            <w:r>
              <w:rPr>
                <w:rFonts w:hint="eastAsia"/>
                <w:highlight w:val="red"/>
              </w:rPr>
              <w:t>万元（含增值税</w:t>
            </w:r>
            <w:r>
              <w:rPr>
                <w:rFonts w:hint="eastAsia"/>
                <w:highlight w:val="red"/>
                <w:lang w:val="en-US" w:eastAsia="zh-CN"/>
              </w:rPr>
              <w:t>9%</w:t>
            </w:r>
            <w:r>
              <w:rPr>
                <w:rFonts w:hint="eastAsia"/>
                <w:highlight w:val="red"/>
              </w:rPr>
              <w:t>）。</w:t>
            </w:r>
          </w:p>
          <w:p>
            <w:pPr>
              <w:snapToGrid w:val="0"/>
              <w:spacing w:line="276" w:lineRule="auto"/>
              <w:ind w:firstLine="420" w:firstLineChars="200"/>
            </w:pPr>
            <w:r>
              <w:rPr>
                <w:rFonts w:hint="eastAsia"/>
              </w:rPr>
              <w:sym w:font="Wingdings 2" w:char="0052"/>
            </w:r>
            <w:r>
              <w:rPr>
                <w:rFonts w:hint="eastAsia"/>
              </w:rPr>
              <w:t>本次招标无甲供材料设备，所有材料设备均包含在投标单位报价范围之内。</w:t>
            </w:r>
          </w:p>
          <w:p>
            <w:pPr>
              <w:pStyle w:val="52"/>
              <w:numPr>
                <w:ilvl w:val="0"/>
                <w:numId w:val="3"/>
              </w:numPr>
              <w:snapToGrid w:val="0"/>
              <w:spacing w:line="276" w:lineRule="auto"/>
              <w:ind w:left="0" w:firstLine="0" w:firstLineChars="0"/>
              <w:rPr>
                <w:b/>
                <w:bCs/>
              </w:rPr>
            </w:pPr>
            <w:r>
              <w:rPr>
                <w:rFonts w:hint="eastAsia"/>
                <w:b/>
                <w:bCs/>
              </w:rPr>
              <w:t>合同付款条件</w:t>
            </w:r>
          </w:p>
          <w:p>
            <w:pPr>
              <w:snapToGrid w:val="0"/>
              <w:spacing w:line="276" w:lineRule="auto"/>
              <w:ind w:firstLine="420" w:firstLineChars="200"/>
              <w:rPr>
                <w:highlight w:val="yellow"/>
              </w:rPr>
            </w:pPr>
            <w:r>
              <w:rPr>
                <w:rFonts w:hint="eastAsia"/>
                <w:highlight w:val="yellow"/>
              </w:rPr>
              <w:t>付款方式：半年期商业汇票（包含银行承兑汇票和商业承兑汇票）。</w:t>
            </w:r>
          </w:p>
          <w:p>
            <w:pPr>
              <w:snapToGrid w:val="0"/>
              <w:spacing w:line="276" w:lineRule="auto"/>
              <w:ind w:firstLine="420" w:firstLineChars="200"/>
            </w:pPr>
            <w:r>
              <w:rPr>
                <w:rFonts w:hint="eastAsia"/>
              </w:rPr>
              <w:t>本工程无预付款</w:t>
            </w:r>
            <w:r>
              <w:rPr>
                <w:rFonts w:hint="eastAsia"/>
                <w:i/>
                <w:iCs/>
              </w:rPr>
              <w:t>，</w:t>
            </w:r>
            <w:r>
              <w:rPr>
                <w:rFonts w:hint="eastAsia"/>
              </w:rPr>
              <w:t>完成竣工结算申报</w:t>
            </w:r>
            <w:r>
              <w:rPr>
                <w:rFonts w:hint="eastAsia"/>
                <w:lang w:eastAsia="zh-CN"/>
              </w:rPr>
              <w:t>、</w:t>
            </w:r>
            <w:r>
              <w:rPr>
                <w:rFonts w:hint="eastAsia"/>
                <w:lang w:val="en-US" w:eastAsia="zh-CN"/>
              </w:rPr>
              <w:t>竣工资料移交</w:t>
            </w:r>
            <w:r>
              <w:rPr>
                <w:rFonts w:hint="eastAsia"/>
              </w:rPr>
              <w:t>且竣工验收合格后付至已完成形象进度产值的</w:t>
            </w:r>
            <w:r>
              <w:rPr>
                <w:rFonts w:hint="eastAsia"/>
                <w:lang w:val="en-US" w:eastAsia="zh-CN"/>
              </w:rPr>
              <w:t>80</w:t>
            </w:r>
            <w:r>
              <w:rPr>
                <w:rFonts w:hint="eastAsia"/>
              </w:rPr>
              <w:t>%，且最高付至合同签约价</w:t>
            </w:r>
            <w:r>
              <w:rPr>
                <w:rFonts w:hint="eastAsia"/>
                <w:lang w:val="en-US" w:eastAsia="zh-CN"/>
              </w:rPr>
              <w:t>80</w:t>
            </w:r>
            <w:r>
              <w:rPr>
                <w:rFonts w:hint="eastAsia"/>
              </w:rPr>
              <w:t>%；竣工结算审计完毕经双方签字认可后付款至工程结算款的</w:t>
            </w:r>
            <w:r>
              <w:rPr>
                <w:rFonts w:hint="eastAsia"/>
                <w:lang w:val="en-US" w:eastAsia="zh-CN"/>
              </w:rPr>
              <w:t>80</w:t>
            </w:r>
            <w:r>
              <w:rPr>
                <w:rFonts w:hint="eastAsia"/>
              </w:rPr>
              <w:t>%，结算款的</w:t>
            </w:r>
            <w:r>
              <w:rPr>
                <w:rFonts w:hint="eastAsia"/>
                <w:lang w:val="en-US" w:eastAsia="zh-CN"/>
              </w:rPr>
              <w:t>20</w:t>
            </w:r>
            <w:r>
              <w:rPr>
                <w:rFonts w:hint="eastAsia"/>
              </w:rPr>
              <w:t>%作为质量保修金。发包人所有款项的支付均需承包人持当批付款金额一致的符合国家要求的增值税专用发票、收据、授权委托书、经办人身份证明原件及复印件等其他发包人财务制度要求的资料办理。</w:t>
            </w:r>
          </w:p>
          <w:p>
            <w:pPr>
              <w:pStyle w:val="52"/>
              <w:numPr>
                <w:ilvl w:val="0"/>
                <w:numId w:val="3"/>
              </w:numPr>
              <w:snapToGrid w:val="0"/>
              <w:spacing w:line="276" w:lineRule="auto"/>
              <w:ind w:left="0" w:firstLine="0" w:firstLineChars="0"/>
              <w:rPr>
                <w:rFonts w:ascii="宋体" w:hAnsi="宋体" w:cs="宋体"/>
                <w:b/>
                <w:bCs/>
                <w:szCs w:val="21"/>
              </w:rPr>
            </w:pPr>
            <w:r>
              <w:rPr>
                <w:rFonts w:hint="eastAsia" w:ascii="宋体" w:hAnsi="宋体" w:cs="宋体"/>
                <w:b/>
                <w:bCs/>
                <w:szCs w:val="21"/>
              </w:rPr>
              <w:t>其他</w:t>
            </w:r>
          </w:p>
          <w:p>
            <w:pPr>
              <w:snapToGrid w:val="0"/>
              <w:spacing w:line="276" w:lineRule="auto"/>
              <w:ind w:firstLine="420" w:firstLineChars="200"/>
              <w:rPr>
                <w:rFonts w:hint="eastAsia"/>
              </w:rPr>
            </w:pPr>
            <w:r>
              <w:t>中标人应严格落实项目所在地的最新农民工工资保证金管理规定，负责按规定及时全额缴纳</w:t>
            </w:r>
            <w:r>
              <w:rPr>
                <w:rFonts w:hint="eastAsia"/>
              </w:rPr>
              <w:t>，同时杜绝层层分包，转包行为，确保工资及时发放到劳务工人本人手中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pPr>
              <w:keepNext w:val="0"/>
              <w:keepLines w:val="0"/>
              <w:pageBreakBefore w:val="0"/>
              <w:numPr>
                <w:ilvl w:val="0"/>
                <w:numId w:val="0"/>
              </w:numPr>
              <w:kinsoku/>
              <w:wordWrap/>
              <w:overflowPunct/>
              <w:topLinePunct w:val="0"/>
              <w:autoSpaceDE/>
              <w:autoSpaceDN/>
              <w:bidi w:val="0"/>
              <w:snapToGrid w:val="0"/>
              <w:spacing w:line="288"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工程量清单编制及招标控制价编制费以中标人的中标价为依据，按0.</w:t>
            </w:r>
            <w:r>
              <w:rPr>
                <w:rFonts w:hint="eastAsia" w:ascii="宋体" w:hAnsi="宋体" w:eastAsia="宋体" w:cs="宋体"/>
                <w:b/>
                <w:bCs/>
                <w:sz w:val="21"/>
                <w:szCs w:val="21"/>
                <w:lang w:val="en-US" w:eastAsia="zh-CN"/>
              </w:rPr>
              <w:t>05</w:t>
            </w:r>
            <w:r>
              <w:rPr>
                <w:rFonts w:hint="eastAsia" w:ascii="宋体" w:hAnsi="宋体" w:eastAsia="宋体" w:cs="宋体"/>
                <w:b/>
                <w:bCs/>
                <w:sz w:val="21"/>
                <w:szCs w:val="21"/>
              </w:rPr>
              <w:t>%收取，各报价人无需将本项费用单独列项，但应将其综合考虑到报价中。</w:t>
            </w:r>
          </w:p>
          <w:p>
            <w:pPr>
              <w:snapToGrid w:val="0"/>
              <w:spacing w:line="276" w:lineRule="auto"/>
              <w:ind w:firstLine="420" w:firstLineChars="200"/>
              <w:rPr>
                <w:rFonts w:hint="eastAsia"/>
              </w:rPr>
            </w:pPr>
          </w:p>
          <w:p>
            <w:pPr>
              <w:pStyle w:val="52"/>
              <w:numPr>
                <w:ilvl w:val="0"/>
                <w:numId w:val="3"/>
              </w:numPr>
              <w:snapToGrid w:val="0"/>
              <w:spacing w:line="276" w:lineRule="auto"/>
              <w:ind w:left="0" w:firstLine="0" w:firstLineChars="0"/>
              <w:rPr>
                <w:b/>
                <w:bCs/>
              </w:rPr>
            </w:pPr>
            <w:r>
              <w:rPr>
                <w:rFonts w:hint="eastAsia"/>
                <w:b/>
                <w:bCs/>
              </w:rPr>
              <w:t>开标进场注意事项</w:t>
            </w:r>
          </w:p>
          <w:p>
            <w:pPr>
              <w:snapToGrid w:val="0"/>
              <w:spacing w:line="276" w:lineRule="auto"/>
              <w:ind w:firstLine="420" w:firstLineChars="200"/>
              <w:rPr>
                <w:b/>
                <w:bCs/>
              </w:rPr>
            </w:pPr>
            <w:r>
              <w:rPr/>
              <w:sym w:font="Wingdings 2" w:char="0052"/>
            </w:r>
            <w:r>
              <w:t>开标当日，投标单位的授权委托人及所有到场人员</w:t>
            </w:r>
            <w:r>
              <w:rPr>
                <w:rFonts w:hint="eastAsia"/>
              </w:rPr>
              <w:t>（包含但不限于本项目所报项目经理、</w:t>
            </w:r>
            <w:r>
              <w:rPr>
                <w:rFonts w:hint="eastAsia"/>
                <w:lang w:val="en-US" w:eastAsia="zh-CN"/>
              </w:rPr>
              <w:t>拟派技术负责人、</w:t>
            </w:r>
            <w:r>
              <w:rPr>
                <w:rFonts w:hint="eastAsia"/>
              </w:rPr>
              <w:t>商务负责人、造价负责人等）</w:t>
            </w:r>
            <w:r>
              <w:t>必须出具在本单位连续缴纳不低于1年的社保记录和证明，否则不予进入开标现场。</w:t>
            </w:r>
          </w:p>
          <w:p>
            <w:pPr>
              <w:pStyle w:val="18"/>
              <w:ind w:left="420"/>
            </w:pPr>
          </w:p>
          <w:p>
            <w:r>
              <w:rPr>
                <w:rFonts w:hint="eastAsia"/>
                <w:b/>
                <w:bCs/>
              </w:rPr>
              <w:t>特别着重提醒：投标时须提交杜绝挂靠、转包承诺函（详见投标函附录-4），函必须经公司法务部门/人员签字及法定代表人签字盖公章。</w:t>
            </w:r>
          </w:p>
        </w:tc>
      </w:tr>
    </w:tbl>
    <w:p>
      <w:pPr>
        <w:pStyle w:val="9"/>
        <w:rPr>
          <w:lang w:bidi="en-US"/>
        </w:rPr>
      </w:pPr>
      <w:bookmarkStart w:id="26" w:name="_Toc16063893"/>
      <w:bookmarkStart w:id="27" w:name="_Toc17817323"/>
      <w:bookmarkStart w:id="28" w:name="_Toc28870"/>
      <w:r>
        <w:rPr>
          <w:lang w:bidi="en-US"/>
        </w:rPr>
        <w:br w:type="page"/>
      </w:r>
    </w:p>
    <w:p>
      <w:pPr>
        <w:pStyle w:val="4"/>
        <w:spacing w:before="0" w:after="0" w:line="360" w:lineRule="auto"/>
        <w:jc w:val="center"/>
        <w:rPr>
          <w:sz w:val="30"/>
          <w:szCs w:val="30"/>
        </w:rPr>
      </w:pPr>
      <w:bookmarkStart w:id="29" w:name="_Toc162361705"/>
      <w:bookmarkStart w:id="30" w:name="_1. 总则"/>
      <w:r>
        <w:rPr>
          <w:sz w:val="30"/>
          <w:szCs w:val="30"/>
        </w:rPr>
        <w:t>1. 总则</w:t>
      </w:r>
      <w:bookmarkEnd w:id="26"/>
      <w:bookmarkEnd w:id="27"/>
      <w:bookmarkEnd w:id="28"/>
      <w:bookmarkEnd w:id="29"/>
    </w:p>
    <w:bookmarkEnd w:id="30"/>
    <w:p>
      <w:pPr>
        <w:pStyle w:val="47"/>
        <w:spacing w:before="0" w:after="0" w:line="360" w:lineRule="auto"/>
        <w:rPr>
          <w:rStyle w:val="43"/>
          <w:rFonts w:ascii="宋体" w:hAnsi="宋体"/>
        </w:rPr>
      </w:pPr>
      <w:r>
        <w:rPr>
          <w:rStyle w:val="43"/>
          <w:rFonts w:ascii="宋体" w:hAnsi="宋体"/>
        </w:rPr>
        <w:t>1.1 项目概况</w:t>
      </w:r>
    </w:p>
    <w:p>
      <w:pPr>
        <w:spacing w:line="360" w:lineRule="auto"/>
        <w:ind w:firstLine="420" w:firstLineChars="200"/>
        <w:rPr>
          <w:rStyle w:val="43"/>
          <w:rFonts w:ascii="宋体" w:hAnsi="宋体"/>
        </w:rPr>
      </w:pPr>
      <w:r>
        <w:rPr>
          <w:rStyle w:val="43"/>
          <w:rFonts w:ascii="宋体" w:hAnsi="宋体"/>
        </w:rPr>
        <w:t>1.1.1根据《中华人民共和国招标投标法》等有关法律、法规和规章的规定，本招标项目已具备招标条件，现对本项目施工进行招标。</w:t>
      </w:r>
    </w:p>
    <w:p>
      <w:pPr>
        <w:spacing w:line="360" w:lineRule="auto"/>
        <w:ind w:firstLine="420" w:firstLineChars="200"/>
        <w:rPr>
          <w:rStyle w:val="43"/>
          <w:rFonts w:ascii="宋体" w:hAnsi="宋体"/>
        </w:rPr>
      </w:pPr>
      <w:r>
        <w:rPr>
          <w:rStyle w:val="43"/>
          <w:rFonts w:ascii="宋体" w:hAnsi="宋体"/>
        </w:rPr>
        <w:t>1.1.2 本招标项目招标人：见投标人须知前附表。</w:t>
      </w:r>
    </w:p>
    <w:p>
      <w:pPr>
        <w:spacing w:line="360" w:lineRule="auto"/>
        <w:ind w:firstLine="420" w:firstLineChars="200"/>
        <w:rPr>
          <w:rStyle w:val="43"/>
          <w:rFonts w:ascii="宋体" w:hAnsi="宋体"/>
        </w:rPr>
      </w:pPr>
      <w:r>
        <w:rPr>
          <w:rStyle w:val="43"/>
          <w:rFonts w:ascii="宋体" w:hAnsi="宋体"/>
        </w:rPr>
        <w:t>1.1.3 本项目招标代理机构：见投标人须知前附表。</w:t>
      </w:r>
    </w:p>
    <w:p>
      <w:pPr>
        <w:spacing w:line="360" w:lineRule="auto"/>
        <w:ind w:firstLine="420" w:firstLineChars="200"/>
        <w:rPr>
          <w:rStyle w:val="43"/>
          <w:rFonts w:ascii="宋体" w:hAnsi="宋体"/>
        </w:rPr>
      </w:pPr>
      <w:r>
        <w:rPr>
          <w:rStyle w:val="43"/>
          <w:rFonts w:ascii="宋体" w:hAnsi="宋体"/>
        </w:rPr>
        <w:t>1.1.4 本招标项目名称：见投标人须知前附表。</w:t>
      </w:r>
    </w:p>
    <w:p>
      <w:pPr>
        <w:spacing w:line="360" w:lineRule="auto"/>
        <w:ind w:firstLine="420" w:firstLineChars="200"/>
        <w:rPr>
          <w:rStyle w:val="43"/>
          <w:rFonts w:ascii="宋体" w:hAnsi="宋体"/>
        </w:rPr>
      </w:pPr>
      <w:r>
        <w:rPr>
          <w:rStyle w:val="43"/>
          <w:rFonts w:ascii="宋体" w:hAnsi="宋体"/>
        </w:rPr>
        <w:t>1.1.5 本招标项目建设规模：见投标人须知前附表。</w:t>
      </w:r>
    </w:p>
    <w:p>
      <w:pPr>
        <w:spacing w:line="360" w:lineRule="auto"/>
        <w:ind w:firstLine="420" w:firstLineChars="200"/>
        <w:rPr>
          <w:rStyle w:val="43"/>
          <w:rFonts w:ascii="宋体" w:hAnsi="宋体"/>
        </w:rPr>
      </w:pPr>
      <w:r>
        <w:rPr>
          <w:rStyle w:val="43"/>
          <w:rFonts w:ascii="宋体" w:hAnsi="宋体"/>
        </w:rPr>
        <w:t>1.1.6 本项目建设地点：见投标人须知前附表。</w:t>
      </w:r>
    </w:p>
    <w:p>
      <w:pPr>
        <w:pStyle w:val="47"/>
        <w:spacing w:before="0" w:after="0" w:line="360" w:lineRule="auto"/>
        <w:rPr>
          <w:rStyle w:val="43"/>
          <w:rFonts w:ascii="宋体" w:hAnsi="宋体"/>
          <w:sz w:val="24"/>
        </w:rPr>
      </w:pPr>
      <w:r>
        <w:rPr>
          <w:rStyle w:val="43"/>
          <w:rFonts w:ascii="宋体" w:hAnsi="宋体"/>
          <w:sz w:val="24"/>
        </w:rPr>
        <w:t>1.2 资金来源和落实情况</w:t>
      </w:r>
    </w:p>
    <w:p>
      <w:pPr>
        <w:spacing w:line="360" w:lineRule="auto"/>
        <w:ind w:firstLine="420" w:firstLineChars="200"/>
        <w:rPr>
          <w:rStyle w:val="43"/>
          <w:rFonts w:ascii="宋体" w:hAnsi="宋体"/>
        </w:rPr>
      </w:pPr>
      <w:r>
        <w:rPr>
          <w:rStyle w:val="43"/>
          <w:rFonts w:ascii="宋体" w:hAnsi="宋体"/>
        </w:rPr>
        <w:t>1.2.1 本招标项目的资金来源：见投标人须知前附表。</w:t>
      </w:r>
    </w:p>
    <w:p>
      <w:pPr>
        <w:spacing w:line="360" w:lineRule="auto"/>
        <w:ind w:firstLine="420" w:firstLineChars="200"/>
        <w:rPr>
          <w:rStyle w:val="43"/>
          <w:rFonts w:ascii="宋体" w:hAnsi="宋体"/>
        </w:rPr>
      </w:pPr>
      <w:r>
        <w:rPr>
          <w:rStyle w:val="43"/>
          <w:rFonts w:ascii="宋体" w:hAnsi="宋体"/>
        </w:rPr>
        <w:t>1.2.2 本招标项目的出资比例：见投标人须知前附表。</w:t>
      </w:r>
    </w:p>
    <w:p>
      <w:pPr>
        <w:spacing w:line="360" w:lineRule="auto"/>
        <w:ind w:firstLine="420" w:firstLineChars="200"/>
        <w:rPr>
          <w:rStyle w:val="43"/>
          <w:rFonts w:ascii="宋体" w:hAnsi="宋体"/>
        </w:rPr>
      </w:pPr>
      <w:r>
        <w:rPr>
          <w:rStyle w:val="43"/>
          <w:rFonts w:ascii="宋体" w:hAnsi="宋体"/>
        </w:rPr>
        <w:t>1.2.3 本招标项目的资金落实情况：见投标人须知前附表。</w:t>
      </w:r>
    </w:p>
    <w:p>
      <w:pPr>
        <w:pStyle w:val="47"/>
        <w:spacing w:before="0" w:after="0" w:line="360" w:lineRule="auto"/>
        <w:rPr>
          <w:rStyle w:val="43"/>
          <w:rFonts w:ascii="宋体" w:hAnsi="宋体"/>
          <w:sz w:val="24"/>
        </w:rPr>
      </w:pPr>
      <w:r>
        <w:rPr>
          <w:rStyle w:val="43"/>
          <w:rFonts w:ascii="宋体" w:hAnsi="宋体"/>
          <w:sz w:val="24"/>
        </w:rPr>
        <w:t>1.3 招标范围、计划工期和质量要求</w:t>
      </w:r>
    </w:p>
    <w:p>
      <w:pPr>
        <w:spacing w:line="360" w:lineRule="auto"/>
        <w:ind w:firstLine="420" w:firstLineChars="200"/>
        <w:rPr>
          <w:rStyle w:val="43"/>
          <w:rFonts w:ascii="宋体" w:hAnsi="宋体"/>
        </w:rPr>
      </w:pPr>
      <w:r>
        <w:rPr>
          <w:rStyle w:val="43"/>
          <w:rFonts w:ascii="宋体" w:hAnsi="宋体"/>
        </w:rPr>
        <w:t>1.3.1 本次招标范围：见投标人须知前附表。</w:t>
      </w:r>
    </w:p>
    <w:p>
      <w:pPr>
        <w:spacing w:line="360" w:lineRule="auto"/>
        <w:ind w:firstLine="420" w:firstLineChars="200"/>
        <w:rPr>
          <w:rStyle w:val="43"/>
          <w:rFonts w:ascii="宋体" w:hAnsi="宋体"/>
        </w:rPr>
      </w:pPr>
      <w:r>
        <w:rPr>
          <w:rStyle w:val="43"/>
          <w:rFonts w:ascii="宋体" w:hAnsi="宋体"/>
        </w:rPr>
        <w:t>1.3.2 本项目的计划工期：见投标人须知前附表。</w:t>
      </w:r>
    </w:p>
    <w:p>
      <w:pPr>
        <w:spacing w:line="360" w:lineRule="auto"/>
        <w:ind w:firstLine="420" w:firstLineChars="200"/>
        <w:rPr>
          <w:rStyle w:val="43"/>
          <w:rFonts w:ascii="宋体" w:hAnsi="宋体"/>
        </w:rPr>
      </w:pPr>
      <w:r>
        <w:rPr>
          <w:rStyle w:val="43"/>
          <w:rFonts w:ascii="宋体" w:hAnsi="宋体"/>
        </w:rPr>
        <w:t>1.3.3 本项目的质量要求：见投标人须知前附表。</w:t>
      </w:r>
    </w:p>
    <w:p>
      <w:pPr>
        <w:pStyle w:val="47"/>
        <w:spacing w:before="0" w:after="0" w:line="360" w:lineRule="auto"/>
        <w:rPr>
          <w:rStyle w:val="43"/>
          <w:rFonts w:ascii="宋体" w:hAnsi="宋体"/>
          <w:sz w:val="24"/>
        </w:rPr>
      </w:pPr>
      <w:r>
        <w:rPr>
          <w:rStyle w:val="43"/>
          <w:rFonts w:ascii="宋体" w:hAnsi="宋体"/>
          <w:sz w:val="24"/>
        </w:rPr>
        <w:t>1.4 投标人资格要求</w:t>
      </w:r>
    </w:p>
    <w:p>
      <w:pPr>
        <w:spacing w:line="360" w:lineRule="auto"/>
        <w:ind w:firstLine="420" w:firstLineChars="200"/>
        <w:rPr>
          <w:rStyle w:val="43"/>
          <w:rFonts w:ascii="宋体" w:hAnsi="宋体"/>
        </w:rPr>
      </w:pPr>
      <w:r>
        <w:rPr>
          <w:rStyle w:val="43"/>
          <w:rFonts w:ascii="宋体" w:hAnsi="宋体"/>
        </w:rPr>
        <w:t>1.4.1投标人应具备承担本项目施工的资质条件、能力和信誉。</w:t>
      </w:r>
    </w:p>
    <w:p>
      <w:pPr>
        <w:spacing w:line="360" w:lineRule="auto"/>
        <w:ind w:firstLine="718" w:firstLineChars="342"/>
        <w:rPr>
          <w:rStyle w:val="43"/>
          <w:rFonts w:ascii="宋体" w:hAnsi="宋体"/>
        </w:rPr>
      </w:pPr>
      <w:r>
        <w:rPr>
          <w:rStyle w:val="43"/>
          <w:rFonts w:ascii="宋体" w:hAnsi="宋体"/>
        </w:rPr>
        <w:t>（1）资质条件：见投标人须知前附表；</w:t>
      </w:r>
    </w:p>
    <w:p>
      <w:pPr>
        <w:spacing w:line="360" w:lineRule="auto"/>
        <w:ind w:firstLine="718" w:firstLineChars="342"/>
        <w:rPr>
          <w:rStyle w:val="43"/>
          <w:rFonts w:ascii="宋体" w:hAnsi="宋体"/>
        </w:rPr>
      </w:pPr>
      <w:r>
        <w:rPr>
          <w:rStyle w:val="43"/>
          <w:rFonts w:ascii="宋体" w:hAnsi="宋体"/>
        </w:rPr>
        <w:t>（2）财务要求：见投标人须知前附表；</w:t>
      </w:r>
    </w:p>
    <w:p>
      <w:pPr>
        <w:spacing w:line="360" w:lineRule="auto"/>
        <w:ind w:firstLine="718" w:firstLineChars="342"/>
        <w:rPr>
          <w:rStyle w:val="43"/>
          <w:rFonts w:ascii="宋体" w:hAnsi="宋体"/>
        </w:rPr>
      </w:pPr>
      <w:r>
        <w:rPr>
          <w:rStyle w:val="43"/>
          <w:rFonts w:ascii="宋体" w:hAnsi="宋体"/>
        </w:rPr>
        <w:t>（3）信誉要求：见投标人须知前附表；</w:t>
      </w:r>
    </w:p>
    <w:p>
      <w:pPr>
        <w:spacing w:line="360" w:lineRule="auto"/>
        <w:ind w:firstLine="735" w:firstLineChars="350"/>
        <w:rPr>
          <w:rStyle w:val="43"/>
          <w:rFonts w:ascii="宋体" w:hAnsi="宋体"/>
        </w:rPr>
      </w:pPr>
      <w:r>
        <w:rPr>
          <w:rStyle w:val="43"/>
          <w:rFonts w:ascii="宋体" w:hAnsi="宋体"/>
        </w:rPr>
        <w:t>（4）项目经理资格：见投标人须知前附表；</w:t>
      </w:r>
    </w:p>
    <w:p>
      <w:pPr>
        <w:spacing w:line="360" w:lineRule="auto"/>
        <w:ind w:firstLine="735" w:firstLineChars="350"/>
        <w:rPr>
          <w:rStyle w:val="43"/>
          <w:rFonts w:ascii="宋体" w:hAnsi="宋体"/>
        </w:rPr>
      </w:pPr>
      <w:r>
        <w:rPr>
          <w:rStyle w:val="43"/>
          <w:rFonts w:ascii="宋体" w:hAnsi="宋体"/>
        </w:rPr>
        <w:t>（5）其他要求：见投标人须知前附表。</w:t>
      </w:r>
    </w:p>
    <w:p>
      <w:pPr>
        <w:spacing w:line="360" w:lineRule="auto"/>
        <w:rPr>
          <w:rStyle w:val="43"/>
          <w:rFonts w:ascii="宋体" w:hAnsi="宋体"/>
        </w:rPr>
      </w:pPr>
      <w:r>
        <w:rPr>
          <w:rStyle w:val="43"/>
          <w:rFonts w:ascii="宋体" w:hAnsi="宋体"/>
        </w:rPr>
        <w:t xml:space="preserve">    1.4.2 本工程</w:t>
      </w:r>
      <w:r>
        <w:rPr>
          <w:rStyle w:val="43"/>
          <w:rFonts w:hint="eastAsia" w:ascii="宋体" w:hAnsi="宋体"/>
          <w:u w:val="single"/>
        </w:rPr>
        <w:t>不接受</w:t>
      </w:r>
      <w:r>
        <w:rPr>
          <w:rStyle w:val="43"/>
          <w:rFonts w:ascii="宋体" w:hAnsi="宋体"/>
        </w:rPr>
        <w:t>联合体投标；</w:t>
      </w:r>
    </w:p>
    <w:p>
      <w:pPr>
        <w:spacing w:line="360" w:lineRule="auto"/>
        <w:ind w:firstLine="420" w:firstLineChars="200"/>
        <w:rPr>
          <w:rStyle w:val="43"/>
          <w:rFonts w:ascii="宋体" w:hAnsi="宋体"/>
        </w:rPr>
      </w:pPr>
      <w:r>
        <w:rPr>
          <w:rStyle w:val="43"/>
          <w:rFonts w:ascii="宋体" w:hAnsi="宋体"/>
        </w:rPr>
        <w:t>1.4.3 投标人不得存在下列情形之一：</w:t>
      </w:r>
    </w:p>
    <w:p>
      <w:pPr>
        <w:spacing w:line="360" w:lineRule="auto"/>
        <w:ind w:firstLine="718" w:firstLineChars="342"/>
        <w:rPr>
          <w:rStyle w:val="43"/>
          <w:rFonts w:ascii="宋体" w:hAnsi="宋体"/>
        </w:rPr>
      </w:pPr>
      <w:r>
        <w:rPr>
          <w:rStyle w:val="43"/>
          <w:rFonts w:ascii="宋体" w:hAnsi="宋体"/>
        </w:rPr>
        <w:t xml:space="preserve">（1）为招标人不具有独立法人资格的附属机构（单位）； </w:t>
      </w:r>
    </w:p>
    <w:p>
      <w:pPr>
        <w:spacing w:line="360" w:lineRule="auto"/>
        <w:ind w:firstLine="718" w:firstLineChars="342"/>
        <w:rPr>
          <w:rStyle w:val="43"/>
          <w:rFonts w:ascii="宋体" w:hAnsi="宋体"/>
        </w:rPr>
      </w:pPr>
      <w:r>
        <w:rPr>
          <w:rStyle w:val="43"/>
          <w:rFonts w:ascii="宋体" w:hAnsi="宋体"/>
        </w:rPr>
        <w:t xml:space="preserve">（2）为本项目前期准备提供设计或咨询服务的，但设计施工总承包的除外； </w:t>
      </w:r>
    </w:p>
    <w:p>
      <w:pPr>
        <w:spacing w:line="360" w:lineRule="auto"/>
        <w:ind w:firstLine="718" w:firstLineChars="342"/>
        <w:rPr>
          <w:rStyle w:val="43"/>
          <w:rFonts w:ascii="宋体" w:hAnsi="宋体"/>
        </w:rPr>
      </w:pPr>
      <w:r>
        <w:rPr>
          <w:rStyle w:val="43"/>
          <w:rFonts w:ascii="宋体" w:hAnsi="宋体"/>
        </w:rPr>
        <w:t>（3）为本项目的监理人；</w:t>
      </w:r>
    </w:p>
    <w:p>
      <w:pPr>
        <w:spacing w:line="360" w:lineRule="auto"/>
        <w:ind w:firstLine="718" w:firstLineChars="342"/>
        <w:rPr>
          <w:rStyle w:val="43"/>
          <w:rFonts w:ascii="宋体" w:hAnsi="宋体"/>
        </w:rPr>
      </w:pPr>
      <w:r>
        <w:rPr>
          <w:rStyle w:val="43"/>
          <w:rFonts w:ascii="宋体" w:hAnsi="宋体"/>
        </w:rPr>
        <w:t>（4）为本项目的代建人；</w:t>
      </w:r>
    </w:p>
    <w:p>
      <w:pPr>
        <w:spacing w:line="360" w:lineRule="auto"/>
        <w:ind w:firstLine="718" w:firstLineChars="342"/>
        <w:rPr>
          <w:rStyle w:val="43"/>
          <w:rFonts w:ascii="宋体" w:hAnsi="宋体"/>
        </w:rPr>
      </w:pPr>
      <w:r>
        <w:rPr>
          <w:rStyle w:val="43"/>
          <w:rFonts w:ascii="宋体" w:hAnsi="宋体"/>
        </w:rPr>
        <w:t xml:space="preserve">（5）为本项目提供招标代理服务的； </w:t>
      </w:r>
    </w:p>
    <w:p>
      <w:pPr>
        <w:spacing w:line="360" w:lineRule="auto"/>
        <w:ind w:firstLine="718" w:firstLineChars="342"/>
        <w:rPr>
          <w:rStyle w:val="43"/>
          <w:rFonts w:ascii="宋体" w:hAnsi="宋体"/>
        </w:rPr>
      </w:pPr>
      <w:r>
        <w:rPr>
          <w:rStyle w:val="43"/>
          <w:rFonts w:ascii="宋体" w:hAnsi="宋体"/>
        </w:rPr>
        <w:t>（6）与本项目的监理人或代建人或招标代理机构同为一个法定代表人的；</w:t>
      </w:r>
    </w:p>
    <w:p>
      <w:pPr>
        <w:spacing w:line="360" w:lineRule="auto"/>
        <w:ind w:firstLine="718" w:firstLineChars="342"/>
        <w:rPr>
          <w:rStyle w:val="43"/>
          <w:rFonts w:ascii="宋体" w:hAnsi="宋体"/>
        </w:rPr>
      </w:pPr>
      <w:r>
        <w:rPr>
          <w:rStyle w:val="43"/>
          <w:rFonts w:ascii="宋体" w:hAnsi="宋体"/>
        </w:rPr>
        <w:t>（7）与本项目的监理人或代建人或招标代理机构相互控股或参股的；</w:t>
      </w:r>
    </w:p>
    <w:p>
      <w:pPr>
        <w:spacing w:line="360" w:lineRule="auto"/>
        <w:ind w:firstLine="718" w:firstLineChars="342"/>
        <w:rPr>
          <w:rStyle w:val="43"/>
          <w:rFonts w:ascii="宋体" w:hAnsi="宋体"/>
        </w:rPr>
      </w:pPr>
      <w:r>
        <w:rPr>
          <w:rStyle w:val="43"/>
          <w:rFonts w:ascii="宋体" w:hAnsi="宋体"/>
        </w:rPr>
        <w:t>（8）与本项目的监理人或代建人或招标代理机构相互任职或工作的；</w:t>
      </w:r>
    </w:p>
    <w:p>
      <w:pPr>
        <w:spacing w:line="360" w:lineRule="auto"/>
        <w:ind w:firstLine="718" w:firstLineChars="342"/>
        <w:rPr>
          <w:rStyle w:val="43"/>
          <w:rFonts w:ascii="宋体" w:hAnsi="宋体"/>
        </w:rPr>
      </w:pPr>
      <w:r>
        <w:rPr>
          <w:rStyle w:val="43"/>
          <w:rFonts w:ascii="宋体" w:hAnsi="宋体"/>
        </w:rPr>
        <w:t xml:space="preserve">（9）被责令停业的； </w:t>
      </w:r>
    </w:p>
    <w:p>
      <w:pPr>
        <w:spacing w:line="360" w:lineRule="auto"/>
        <w:ind w:firstLine="718" w:firstLineChars="342"/>
        <w:rPr>
          <w:rStyle w:val="43"/>
          <w:rFonts w:ascii="宋体" w:hAnsi="宋体"/>
        </w:rPr>
      </w:pPr>
      <w:r>
        <w:rPr>
          <w:rStyle w:val="43"/>
          <w:rFonts w:ascii="宋体" w:hAnsi="宋体"/>
        </w:rPr>
        <w:t xml:space="preserve">（10）被暂停或取消投标资格的； </w:t>
      </w:r>
    </w:p>
    <w:p>
      <w:pPr>
        <w:spacing w:line="360" w:lineRule="auto"/>
        <w:ind w:firstLine="718" w:firstLineChars="342"/>
        <w:rPr>
          <w:rStyle w:val="43"/>
          <w:rFonts w:ascii="宋体" w:hAnsi="宋体"/>
        </w:rPr>
      </w:pPr>
      <w:r>
        <w:rPr>
          <w:rStyle w:val="43"/>
          <w:rFonts w:ascii="宋体" w:hAnsi="宋体"/>
        </w:rPr>
        <w:t>（11）财产被接管或冻结的；</w:t>
      </w:r>
    </w:p>
    <w:p>
      <w:pPr>
        <w:spacing w:line="360" w:lineRule="auto"/>
        <w:ind w:firstLine="718" w:firstLineChars="342"/>
        <w:rPr>
          <w:rStyle w:val="43"/>
          <w:rFonts w:ascii="宋体" w:hAnsi="宋体"/>
        </w:rPr>
      </w:pPr>
      <w:r>
        <w:rPr>
          <w:rStyle w:val="43"/>
          <w:rFonts w:ascii="宋体" w:hAnsi="宋体"/>
        </w:rPr>
        <w:t>（12）在最近三年内有骗取中标或严重违约或重大工程质量问题的。</w:t>
      </w:r>
    </w:p>
    <w:p>
      <w:pPr>
        <w:pStyle w:val="47"/>
        <w:spacing w:before="0" w:after="0" w:line="360" w:lineRule="auto"/>
        <w:rPr>
          <w:rStyle w:val="43"/>
          <w:rFonts w:ascii="宋体" w:hAnsi="宋体"/>
          <w:sz w:val="24"/>
        </w:rPr>
      </w:pPr>
      <w:r>
        <w:rPr>
          <w:rStyle w:val="43"/>
          <w:rFonts w:ascii="宋体" w:hAnsi="宋体"/>
          <w:sz w:val="24"/>
        </w:rPr>
        <w:t>1.5 费用承担</w:t>
      </w:r>
    </w:p>
    <w:p>
      <w:pPr>
        <w:spacing w:line="360" w:lineRule="auto"/>
        <w:ind w:firstLine="420" w:firstLineChars="200"/>
        <w:rPr>
          <w:rStyle w:val="43"/>
          <w:rFonts w:ascii="宋体" w:hAnsi="宋体"/>
        </w:rPr>
      </w:pPr>
      <w:r>
        <w:rPr>
          <w:rStyle w:val="43"/>
          <w:rFonts w:ascii="宋体" w:hAnsi="宋体"/>
        </w:rPr>
        <w:t>投标人准备和参加投标活动发生的费用自理。招标代理费由中标单位支付。</w:t>
      </w:r>
    </w:p>
    <w:p>
      <w:pPr>
        <w:pStyle w:val="47"/>
        <w:spacing w:before="0" w:after="0" w:line="360" w:lineRule="auto"/>
        <w:rPr>
          <w:rStyle w:val="43"/>
          <w:rFonts w:ascii="宋体" w:hAnsi="宋体"/>
          <w:sz w:val="24"/>
        </w:rPr>
      </w:pPr>
      <w:r>
        <w:rPr>
          <w:rStyle w:val="43"/>
          <w:rFonts w:ascii="宋体" w:hAnsi="宋体"/>
          <w:sz w:val="24"/>
        </w:rPr>
        <w:t>1.6 保密</w:t>
      </w:r>
    </w:p>
    <w:p>
      <w:pPr>
        <w:spacing w:line="360" w:lineRule="auto"/>
        <w:ind w:firstLine="420" w:firstLineChars="200"/>
        <w:rPr>
          <w:rStyle w:val="43"/>
          <w:rFonts w:ascii="宋体" w:hAnsi="宋体"/>
        </w:rPr>
      </w:pPr>
      <w:r>
        <w:rPr>
          <w:rStyle w:val="43"/>
          <w:rFonts w:ascii="宋体" w:hAnsi="宋体"/>
        </w:rPr>
        <w:t xml:space="preserve">参与招标投标活动的各方应对招标文件和投标文件中的商业和技术等秘密保密，违者应对由此造成的后果承担法律责任。 </w:t>
      </w:r>
    </w:p>
    <w:p>
      <w:pPr>
        <w:pStyle w:val="47"/>
        <w:spacing w:before="0" w:after="0" w:line="360" w:lineRule="auto"/>
        <w:rPr>
          <w:rStyle w:val="43"/>
          <w:rFonts w:ascii="宋体" w:hAnsi="宋体"/>
          <w:sz w:val="24"/>
        </w:rPr>
      </w:pPr>
      <w:r>
        <w:rPr>
          <w:rStyle w:val="43"/>
          <w:rFonts w:ascii="宋体" w:hAnsi="宋体"/>
          <w:sz w:val="24"/>
        </w:rPr>
        <w:t>1.7 语言文字</w:t>
      </w:r>
    </w:p>
    <w:p>
      <w:pPr>
        <w:spacing w:line="360" w:lineRule="auto"/>
        <w:ind w:firstLine="420" w:firstLineChars="200"/>
        <w:rPr>
          <w:rStyle w:val="43"/>
          <w:rFonts w:ascii="宋体" w:hAnsi="宋体"/>
        </w:rPr>
      </w:pPr>
      <w:r>
        <w:rPr>
          <w:rStyle w:val="43"/>
          <w:rFonts w:ascii="宋体" w:hAnsi="宋体"/>
        </w:rPr>
        <w:t>除专用术语外，与招标投标有关的语言均使用中文。必要时专用术语应附有中文注释。</w:t>
      </w:r>
    </w:p>
    <w:p>
      <w:pPr>
        <w:pStyle w:val="47"/>
        <w:spacing w:before="0" w:after="0" w:line="360" w:lineRule="auto"/>
        <w:rPr>
          <w:rStyle w:val="43"/>
          <w:rFonts w:ascii="宋体" w:hAnsi="宋体"/>
          <w:sz w:val="24"/>
        </w:rPr>
      </w:pPr>
      <w:r>
        <w:rPr>
          <w:rStyle w:val="43"/>
          <w:rFonts w:ascii="宋体" w:hAnsi="宋体"/>
          <w:sz w:val="24"/>
        </w:rPr>
        <w:t>1.8 计量单位</w:t>
      </w:r>
    </w:p>
    <w:p>
      <w:pPr>
        <w:spacing w:line="360" w:lineRule="auto"/>
        <w:ind w:firstLine="420" w:firstLineChars="200"/>
        <w:rPr>
          <w:rStyle w:val="43"/>
          <w:rFonts w:ascii="宋体" w:hAnsi="宋体"/>
        </w:rPr>
      </w:pPr>
      <w:r>
        <w:rPr>
          <w:rStyle w:val="43"/>
          <w:rFonts w:ascii="宋体" w:hAnsi="宋体"/>
        </w:rPr>
        <w:t>所有计量均采用中华人民共和国法定计量单位。</w:t>
      </w:r>
    </w:p>
    <w:p>
      <w:pPr>
        <w:pStyle w:val="47"/>
        <w:spacing w:before="0" w:after="0" w:line="360" w:lineRule="auto"/>
        <w:rPr>
          <w:rStyle w:val="43"/>
          <w:rFonts w:ascii="宋体" w:hAnsi="宋体"/>
          <w:sz w:val="24"/>
        </w:rPr>
      </w:pPr>
      <w:r>
        <w:rPr>
          <w:rStyle w:val="43"/>
          <w:rFonts w:ascii="宋体" w:hAnsi="宋体"/>
          <w:sz w:val="24"/>
        </w:rPr>
        <w:t>1.9 踏勘现场</w:t>
      </w:r>
    </w:p>
    <w:p>
      <w:pPr>
        <w:spacing w:line="360" w:lineRule="auto"/>
        <w:ind w:firstLine="420" w:firstLineChars="200"/>
        <w:rPr>
          <w:rStyle w:val="43"/>
          <w:rFonts w:ascii="宋体" w:hAnsi="宋体"/>
        </w:rPr>
      </w:pPr>
      <w:r>
        <w:rPr>
          <w:rStyle w:val="43"/>
          <w:rFonts w:ascii="宋体" w:hAnsi="宋体"/>
        </w:rPr>
        <w:t xml:space="preserve">1.9.1 投标人须知前附表规定组织踏勘现场的，招标人按投标人须知前附表规定的时间、地点组织投标人踏勘项目现场。 </w:t>
      </w:r>
    </w:p>
    <w:p>
      <w:pPr>
        <w:spacing w:line="360" w:lineRule="auto"/>
        <w:ind w:firstLine="420" w:firstLineChars="200"/>
        <w:rPr>
          <w:rStyle w:val="43"/>
          <w:rFonts w:ascii="宋体" w:hAnsi="宋体"/>
        </w:rPr>
      </w:pPr>
      <w:r>
        <w:rPr>
          <w:rStyle w:val="43"/>
          <w:rFonts w:ascii="宋体" w:hAnsi="宋体"/>
        </w:rPr>
        <w:t>1.9.2 投标人踏勘现场发生的费用自理。</w:t>
      </w:r>
    </w:p>
    <w:p>
      <w:pPr>
        <w:spacing w:line="360" w:lineRule="auto"/>
        <w:ind w:firstLine="420" w:firstLineChars="200"/>
        <w:rPr>
          <w:rStyle w:val="43"/>
          <w:rFonts w:ascii="宋体" w:hAnsi="宋体"/>
        </w:rPr>
      </w:pPr>
      <w:r>
        <w:rPr>
          <w:rStyle w:val="43"/>
          <w:rFonts w:ascii="宋体" w:hAnsi="宋体"/>
        </w:rPr>
        <w:t>1.9.3 除招标人的原因外，投标人自行负责在踏勘现场中所发生的人员伤亡和财产损失。</w:t>
      </w:r>
    </w:p>
    <w:p>
      <w:pPr>
        <w:spacing w:line="360" w:lineRule="auto"/>
        <w:ind w:firstLine="420" w:firstLineChars="200"/>
        <w:rPr>
          <w:rStyle w:val="43"/>
          <w:rFonts w:ascii="宋体" w:hAnsi="宋体"/>
        </w:rPr>
      </w:pPr>
      <w:r>
        <w:rPr>
          <w:rStyle w:val="43"/>
          <w:rFonts w:ascii="宋体" w:hAnsi="宋体"/>
        </w:rPr>
        <w:t>1.9.4 招标人在踏勘现场中介绍的工程场地和相关的周边环境情况，供投标人在编制投标文件时参考，招标人不对投标人据此作出的判断和决策负责。</w:t>
      </w:r>
    </w:p>
    <w:p>
      <w:pPr>
        <w:pStyle w:val="47"/>
        <w:spacing w:before="0" w:after="0" w:line="360" w:lineRule="auto"/>
        <w:rPr>
          <w:rStyle w:val="43"/>
          <w:rFonts w:ascii="宋体" w:hAnsi="宋体"/>
          <w:sz w:val="24"/>
        </w:rPr>
      </w:pPr>
      <w:r>
        <w:rPr>
          <w:rStyle w:val="43"/>
          <w:rFonts w:ascii="宋体" w:hAnsi="宋体"/>
          <w:sz w:val="24"/>
        </w:rPr>
        <w:t>1.10 投标预备会</w:t>
      </w:r>
    </w:p>
    <w:p>
      <w:pPr>
        <w:spacing w:line="360" w:lineRule="auto"/>
        <w:ind w:firstLine="567" w:firstLineChars="270"/>
        <w:rPr>
          <w:rStyle w:val="43"/>
          <w:rFonts w:ascii="宋体" w:hAnsi="宋体"/>
        </w:rPr>
      </w:pPr>
      <w:r>
        <w:rPr>
          <w:rStyle w:val="43"/>
          <w:rFonts w:ascii="宋体" w:hAnsi="宋体"/>
        </w:rPr>
        <w:t>按投标人须知前附表规定不召开投标预备会。</w:t>
      </w:r>
    </w:p>
    <w:p>
      <w:pPr>
        <w:pStyle w:val="47"/>
        <w:spacing w:before="0" w:after="0" w:line="360" w:lineRule="auto"/>
        <w:rPr>
          <w:rStyle w:val="43"/>
          <w:rFonts w:ascii="宋体" w:hAnsi="宋体"/>
          <w:sz w:val="24"/>
        </w:rPr>
      </w:pPr>
      <w:r>
        <w:rPr>
          <w:rStyle w:val="43"/>
          <w:rFonts w:ascii="宋体" w:hAnsi="宋体"/>
          <w:sz w:val="24"/>
        </w:rPr>
        <w:t>1.11 工程分包</w:t>
      </w:r>
    </w:p>
    <w:p>
      <w:pPr>
        <w:spacing w:line="360" w:lineRule="auto"/>
        <w:ind w:firstLine="567" w:firstLineChars="270"/>
        <w:rPr>
          <w:rStyle w:val="43"/>
          <w:rFonts w:ascii="宋体" w:hAnsi="宋体"/>
        </w:rPr>
      </w:pPr>
      <w:r>
        <w:rPr>
          <w:rStyle w:val="43"/>
          <w:rFonts w:ascii="宋体" w:hAnsi="宋体"/>
        </w:rPr>
        <w:t>详见投标人须知前附表。</w:t>
      </w:r>
    </w:p>
    <w:p>
      <w:pPr>
        <w:pStyle w:val="47"/>
        <w:spacing w:before="0" w:after="0" w:line="360" w:lineRule="auto"/>
        <w:rPr>
          <w:rStyle w:val="43"/>
          <w:rFonts w:ascii="宋体" w:hAnsi="宋体"/>
          <w:sz w:val="24"/>
        </w:rPr>
      </w:pPr>
      <w:r>
        <w:rPr>
          <w:rStyle w:val="43"/>
          <w:rFonts w:ascii="宋体" w:hAnsi="宋体"/>
          <w:sz w:val="24"/>
        </w:rPr>
        <w:t>1.12 偏离</w:t>
      </w:r>
    </w:p>
    <w:p>
      <w:pPr>
        <w:spacing w:line="360" w:lineRule="auto"/>
        <w:ind w:firstLine="464" w:firstLineChars="221"/>
        <w:rPr>
          <w:rStyle w:val="43"/>
          <w:rFonts w:ascii="宋体" w:hAnsi="宋体"/>
        </w:rPr>
      </w:pPr>
      <w:r>
        <w:rPr>
          <w:rStyle w:val="43"/>
          <w:rFonts w:ascii="宋体" w:hAnsi="宋体"/>
        </w:rPr>
        <w:t>不允许。</w:t>
      </w:r>
    </w:p>
    <w:p>
      <w:pPr>
        <w:pStyle w:val="4"/>
        <w:spacing w:before="0" w:after="0" w:line="360" w:lineRule="auto"/>
        <w:jc w:val="center"/>
        <w:rPr>
          <w:sz w:val="30"/>
          <w:szCs w:val="30"/>
        </w:rPr>
      </w:pPr>
      <w:bookmarkStart w:id="31" w:name="_Toc11696"/>
      <w:bookmarkStart w:id="32" w:name="_Toc16063894"/>
      <w:bookmarkStart w:id="33" w:name="_Toc162361706"/>
      <w:bookmarkStart w:id="34" w:name="_Toc17817324"/>
      <w:bookmarkStart w:id="35" w:name="_2. 招标文件"/>
      <w:r>
        <w:rPr>
          <w:sz w:val="30"/>
          <w:szCs w:val="30"/>
        </w:rPr>
        <w:t>2. 招标文件</w:t>
      </w:r>
      <w:bookmarkEnd w:id="31"/>
      <w:bookmarkEnd w:id="32"/>
      <w:bookmarkEnd w:id="33"/>
      <w:bookmarkEnd w:id="34"/>
    </w:p>
    <w:bookmarkEnd w:id="35"/>
    <w:p>
      <w:pPr>
        <w:pStyle w:val="47"/>
        <w:spacing w:before="0" w:after="0" w:line="360" w:lineRule="auto"/>
        <w:rPr>
          <w:rStyle w:val="43"/>
          <w:rFonts w:ascii="宋体" w:hAnsi="宋体"/>
          <w:sz w:val="24"/>
        </w:rPr>
      </w:pPr>
      <w:r>
        <w:rPr>
          <w:rStyle w:val="43"/>
          <w:rFonts w:ascii="宋体" w:hAnsi="宋体"/>
          <w:sz w:val="24"/>
        </w:rPr>
        <w:t>2.1 招标文件的组成</w:t>
      </w:r>
    </w:p>
    <w:p>
      <w:pPr>
        <w:spacing w:line="360" w:lineRule="auto"/>
        <w:ind w:firstLine="420" w:firstLineChars="200"/>
        <w:rPr>
          <w:rStyle w:val="43"/>
          <w:rFonts w:ascii="宋体" w:hAnsi="宋体"/>
        </w:rPr>
      </w:pPr>
      <w:r>
        <w:rPr>
          <w:rStyle w:val="43"/>
          <w:rFonts w:ascii="宋体" w:hAnsi="宋体"/>
        </w:rPr>
        <w:t>本招标文件包括：</w:t>
      </w:r>
    </w:p>
    <w:p>
      <w:pPr>
        <w:spacing w:line="360" w:lineRule="auto"/>
        <w:ind w:firstLine="359" w:firstLineChars="171"/>
        <w:rPr>
          <w:rStyle w:val="43"/>
          <w:rFonts w:ascii="宋体" w:hAnsi="宋体"/>
        </w:rPr>
      </w:pPr>
      <w:r>
        <w:rPr>
          <w:rStyle w:val="43"/>
          <w:rFonts w:ascii="宋体" w:hAnsi="宋体"/>
        </w:rPr>
        <w:t>（1）</w:t>
      </w:r>
      <w:r>
        <w:rPr>
          <w:rStyle w:val="43"/>
          <w:rFonts w:hint="eastAsia" w:ascii="宋体" w:hAnsi="宋体"/>
        </w:rPr>
        <w:t>招标公告</w:t>
      </w:r>
      <w:r>
        <w:rPr>
          <w:rStyle w:val="43"/>
          <w:rFonts w:ascii="宋体" w:hAnsi="宋体"/>
        </w:rPr>
        <w:t>；</w:t>
      </w:r>
    </w:p>
    <w:p>
      <w:pPr>
        <w:spacing w:line="360" w:lineRule="auto"/>
        <w:ind w:firstLine="359" w:firstLineChars="171"/>
        <w:rPr>
          <w:rStyle w:val="43"/>
          <w:rFonts w:ascii="宋体" w:hAnsi="宋体"/>
        </w:rPr>
      </w:pPr>
      <w:r>
        <w:rPr>
          <w:rStyle w:val="43"/>
          <w:rFonts w:ascii="宋体" w:hAnsi="宋体"/>
        </w:rPr>
        <w:t>（2）投标人须知；</w:t>
      </w:r>
    </w:p>
    <w:p>
      <w:pPr>
        <w:spacing w:line="360" w:lineRule="auto"/>
        <w:ind w:firstLine="359" w:firstLineChars="171"/>
        <w:rPr>
          <w:rStyle w:val="43"/>
          <w:rFonts w:ascii="宋体" w:hAnsi="宋体"/>
        </w:rPr>
      </w:pPr>
      <w:r>
        <w:rPr>
          <w:rStyle w:val="43"/>
          <w:rFonts w:ascii="宋体" w:hAnsi="宋体"/>
        </w:rPr>
        <w:t>（3）评标办法；</w:t>
      </w:r>
    </w:p>
    <w:p>
      <w:pPr>
        <w:spacing w:line="360" w:lineRule="auto"/>
        <w:ind w:firstLine="359" w:firstLineChars="171"/>
        <w:rPr>
          <w:rStyle w:val="43"/>
          <w:rFonts w:ascii="宋体" w:hAnsi="宋体"/>
        </w:rPr>
      </w:pPr>
      <w:r>
        <w:rPr>
          <w:rStyle w:val="43"/>
          <w:rFonts w:ascii="宋体" w:hAnsi="宋体"/>
        </w:rPr>
        <w:t>（4）合同条款及格式；</w:t>
      </w:r>
    </w:p>
    <w:p>
      <w:pPr>
        <w:spacing w:line="360" w:lineRule="auto"/>
        <w:ind w:firstLine="359" w:firstLineChars="171"/>
        <w:rPr>
          <w:rStyle w:val="43"/>
          <w:rFonts w:ascii="宋体" w:hAnsi="宋体"/>
        </w:rPr>
      </w:pPr>
      <w:r>
        <w:rPr>
          <w:rStyle w:val="43"/>
          <w:rFonts w:ascii="宋体" w:hAnsi="宋体"/>
        </w:rPr>
        <w:t xml:space="preserve">（5）工程量清单； </w:t>
      </w:r>
    </w:p>
    <w:p>
      <w:pPr>
        <w:spacing w:line="360" w:lineRule="auto"/>
        <w:ind w:firstLine="359" w:firstLineChars="171"/>
        <w:rPr>
          <w:rStyle w:val="43"/>
          <w:rFonts w:ascii="宋体" w:hAnsi="宋体"/>
        </w:rPr>
      </w:pPr>
      <w:r>
        <w:rPr>
          <w:rStyle w:val="43"/>
          <w:rFonts w:ascii="宋体" w:hAnsi="宋体"/>
        </w:rPr>
        <w:t xml:space="preserve">（6）图纸； </w:t>
      </w:r>
    </w:p>
    <w:p>
      <w:pPr>
        <w:spacing w:line="360" w:lineRule="auto"/>
        <w:ind w:firstLine="359" w:firstLineChars="171"/>
        <w:rPr>
          <w:rStyle w:val="43"/>
          <w:rFonts w:ascii="宋体" w:hAnsi="宋体"/>
        </w:rPr>
      </w:pPr>
      <w:r>
        <w:rPr>
          <w:rStyle w:val="43"/>
          <w:rFonts w:ascii="宋体" w:hAnsi="宋体"/>
        </w:rPr>
        <w:t xml:space="preserve">（7）技术标准和要求； </w:t>
      </w:r>
    </w:p>
    <w:p>
      <w:pPr>
        <w:spacing w:line="360" w:lineRule="auto"/>
        <w:ind w:firstLine="359" w:firstLineChars="171"/>
        <w:rPr>
          <w:rStyle w:val="43"/>
          <w:rFonts w:ascii="宋体" w:hAnsi="宋体"/>
        </w:rPr>
      </w:pPr>
      <w:r>
        <w:rPr>
          <w:rStyle w:val="43"/>
          <w:rFonts w:ascii="宋体" w:hAnsi="宋体"/>
        </w:rPr>
        <w:t>（8）投标文件格式；</w:t>
      </w:r>
    </w:p>
    <w:p>
      <w:pPr>
        <w:spacing w:line="360" w:lineRule="auto"/>
        <w:ind w:firstLine="359" w:firstLineChars="171"/>
        <w:rPr>
          <w:rStyle w:val="43"/>
          <w:rFonts w:ascii="宋体" w:hAnsi="宋体"/>
        </w:rPr>
      </w:pPr>
      <w:r>
        <w:rPr>
          <w:rStyle w:val="43"/>
          <w:rFonts w:ascii="宋体" w:hAnsi="宋体"/>
        </w:rPr>
        <w:t>（9）投标人须知前附表规定的其他材料。</w:t>
      </w:r>
    </w:p>
    <w:p>
      <w:pPr>
        <w:spacing w:line="360" w:lineRule="auto"/>
        <w:ind w:firstLine="420" w:firstLineChars="200"/>
        <w:rPr>
          <w:rStyle w:val="43"/>
          <w:rFonts w:ascii="宋体" w:hAnsi="宋体"/>
        </w:rPr>
      </w:pPr>
      <w:r>
        <w:rPr>
          <w:rStyle w:val="43"/>
          <w:rFonts w:ascii="宋体" w:hAnsi="宋体"/>
        </w:rPr>
        <w:t>根据本章</w:t>
      </w:r>
      <w:r>
        <w:rPr>
          <w:rStyle w:val="29"/>
          <w:rFonts w:ascii="宋体" w:hAnsi="宋体"/>
          <w:color w:val="auto"/>
          <w:sz w:val="21"/>
        </w:rPr>
        <w:t>第2.2款</w:t>
      </w:r>
      <w:r>
        <w:rPr>
          <w:rStyle w:val="43"/>
          <w:rFonts w:ascii="宋体" w:hAnsi="宋体"/>
        </w:rPr>
        <w:t>和</w:t>
      </w:r>
      <w:r>
        <w:rPr>
          <w:rStyle w:val="29"/>
          <w:rFonts w:ascii="宋体" w:hAnsi="宋体"/>
          <w:color w:val="auto"/>
          <w:sz w:val="21"/>
        </w:rPr>
        <w:t>第2.3款</w:t>
      </w:r>
      <w:r>
        <w:rPr>
          <w:rStyle w:val="43"/>
          <w:rFonts w:ascii="宋体" w:hAnsi="宋体"/>
        </w:rPr>
        <w:t>对招标文件所作的澄清、修改，构成招标文件的组成部分。</w:t>
      </w:r>
    </w:p>
    <w:p>
      <w:pPr>
        <w:pStyle w:val="47"/>
        <w:spacing w:before="0" w:after="0" w:line="360" w:lineRule="auto"/>
        <w:rPr>
          <w:rStyle w:val="43"/>
          <w:rFonts w:ascii="宋体" w:hAnsi="宋体"/>
          <w:sz w:val="24"/>
        </w:rPr>
      </w:pPr>
      <w:r>
        <w:rPr>
          <w:rStyle w:val="43"/>
          <w:rFonts w:ascii="宋体" w:hAnsi="宋体"/>
          <w:sz w:val="24"/>
        </w:rPr>
        <w:t>2.2 招标文件的澄清</w:t>
      </w:r>
    </w:p>
    <w:p>
      <w:pPr>
        <w:spacing w:line="360" w:lineRule="auto"/>
        <w:ind w:firstLine="420" w:firstLineChars="200"/>
        <w:rPr>
          <w:rStyle w:val="43"/>
          <w:rFonts w:ascii="宋体" w:hAnsi="宋体"/>
        </w:rPr>
      </w:pPr>
      <w:r>
        <w:rPr>
          <w:rStyle w:val="43"/>
          <w:rFonts w:ascii="宋体" w:hAnsi="宋体"/>
        </w:rPr>
        <w:t>2.2.1投标人应仔细阅读和检查招标文件的全部内容。</w:t>
      </w:r>
      <w:r>
        <w:rPr>
          <w:rStyle w:val="43"/>
          <w:rFonts w:ascii="宋体" w:hAnsi="宋体"/>
          <w:szCs w:val="21"/>
        </w:rPr>
        <w:t>如发现缺页或附件不全，应及时向招标人提出，以便补齐。</w:t>
      </w:r>
      <w:r>
        <w:rPr>
          <w:rStyle w:val="43"/>
          <w:rFonts w:ascii="宋体" w:hAnsi="宋体"/>
        </w:rPr>
        <w:t>如有疑问，应在投标人须知前附表规定的时间前以书面形式（包括邮件、传真等可以有形地表现所载内容的形式，下同），要求招标人对招标文件予以澄清。</w:t>
      </w:r>
    </w:p>
    <w:p>
      <w:pPr>
        <w:spacing w:line="360" w:lineRule="auto"/>
        <w:ind w:firstLine="420" w:firstLineChars="200"/>
        <w:rPr>
          <w:rStyle w:val="43"/>
          <w:rFonts w:ascii="宋体" w:hAnsi="宋体"/>
        </w:rPr>
      </w:pPr>
      <w:r>
        <w:rPr>
          <w:rStyle w:val="43"/>
          <w:rFonts w:ascii="宋体" w:hAnsi="宋体"/>
        </w:rPr>
        <w:t>2.2.2 招标文件的澄清将在投标人须知前附表规定的投标截止时间</w:t>
      </w:r>
      <w:r>
        <w:rPr>
          <w:rStyle w:val="43"/>
          <w:rFonts w:ascii="宋体" w:hAnsi="宋体"/>
          <w:b/>
          <w:bCs/>
        </w:rPr>
        <w:t>2天前</w:t>
      </w:r>
      <w:r>
        <w:rPr>
          <w:rStyle w:val="43"/>
          <w:rFonts w:ascii="宋体" w:hAnsi="宋体"/>
        </w:rPr>
        <w:t>以书面形式发给所有购买招标文件的投标人，但不指明澄清问题的来源。如果澄清发出的时间距投标截止时间不足2天，相应延长投标截止时间。</w:t>
      </w:r>
    </w:p>
    <w:p>
      <w:pPr>
        <w:spacing w:line="360" w:lineRule="auto"/>
        <w:ind w:firstLine="420" w:firstLineChars="200"/>
        <w:rPr>
          <w:rStyle w:val="43"/>
          <w:rFonts w:ascii="宋体" w:hAnsi="宋体"/>
        </w:rPr>
      </w:pPr>
      <w:r>
        <w:rPr>
          <w:rStyle w:val="43"/>
          <w:rFonts w:ascii="宋体" w:hAnsi="宋体"/>
        </w:rPr>
        <w:t>2.2.3 投标人在收到澄清后，应在投标人须知前附表规定的时间内以书面形式通知招标人，确认已收到该澄清。</w:t>
      </w:r>
    </w:p>
    <w:p>
      <w:pPr>
        <w:pStyle w:val="47"/>
        <w:spacing w:before="0" w:after="0" w:line="360" w:lineRule="auto"/>
        <w:rPr>
          <w:rStyle w:val="43"/>
          <w:rFonts w:ascii="宋体" w:hAnsi="宋体"/>
          <w:sz w:val="24"/>
        </w:rPr>
      </w:pPr>
      <w:r>
        <w:rPr>
          <w:rStyle w:val="43"/>
          <w:rFonts w:ascii="宋体" w:hAnsi="宋体"/>
          <w:sz w:val="24"/>
        </w:rPr>
        <w:t>2.3 招标文件的修改</w:t>
      </w:r>
    </w:p>
    <w:p>
      <w:pPr>
        <w:spacing w:line="360" w:lineRule="auto"/>
        <w:ind w:firstLine="420" w:firstLineChars="200"/>
        <w:rPr>
          <w:rStyle w:val="43"/>
          <w:rFonts w:ascii="宋体" w:hAnsi="宋体"/>
        </w:rPr>
      </w:pPr>
      <w:r>
        <w:rPr>
          <w:rStyle w:val="43"/>
          <w:rFonts w:ascii="宋体" w:hAnsi="宋体"/>
        </w:rPr>
        <w:t xml:space="preserve">2.3.1 在投标截止时间2天前，招标人可以书面形式修改招标文件，并通知所有已购买招标文件的投标人。如果修改招标文件的时间距投标截止时间不足2天，相应延长投标截止时间。 </w:t>
      </w:r>
    </w:p>
    <w:p>
      <w:pPr>
        <w:spacing w:line="360" w:lineRule="auto"/>
        <w:ind w:firstLine="420" w:firstLineChars="200"/>
        <w:rPr>
          <w:rStyle w:val="43"/>
          <w:rFonts w:ascii="宋体" w:hAnsi="宋体"/>
        </w:rPr>
      </w:pPr>
      <w:r>
        <w:rPr>
          <w:rStyle w:val="43"/>
          <w:rFonts w:ascii="宋体" w:hAnsi="宋体"/>
        </w:rPr>
        <w:t>2.3.2 投标人收到修改内容后，应在投标人须知前附表规定的时间内以书面形式通知招标人，确认已收到该修改。</w:t>
      </w:r>
    </w:p>
    <w:p>
      <w:pPr>
        <w:pStyle w:val="4"/>
        <w:spacing w:before="0" w:after="0" w:line="360" w:lineRule="auto"/>
        <w:jc w:val="center"/>
        <w:rPr>
          <w:sz w:val="30"/>
          <w:szCs w:val="30"/>
        </w:rPr>
      </w:pPr>
      <w:bookmarkStart w:id="36" w:name="_Toc24274"/>
      <w:bookmarkStart w:id="37" w:name="_Toc17817325"/>
      <w:bookmarkStart w:id="38" w:name="_Toc16063895"/>
      <w:bookmarkStart w:id="39" w:name="_Toc162361707"/>
      <w:bookmarkStart w:id="40" w:name="_3. 投标文件"/>
      <w:r>
        <w:rPr>
          <w:sz w:val="30"/>
          <w:szCs w:val="30"/>
        </w:rPr>
        <w:t>3. 投标文件</w:t>
      </w:r>
      <w:bookmarkEnd w:id="36"/>
      <w:bookmarkEnd w:id="37"/>
      <w:bookmarkEnd w:id="38"/>
      <w:bookmarkEnd w:id="39"/>
    </w:p>
    <w:bookmarkEnd w:id="40"/>
    <w:p>
      <w:pPr>
        <w:pStyle w:val="47"/>
        <w:spacing w:before="0" w:after="0" w:line="360" w:lineRule="auto"/>
        <w:rPr>
          <w:rStyle w:val="43"/>
          <w:rFonts w:ascii="宋体" w:hAnsi="宋体"/>
          <w:sz w:val="24"/>
        </w:rPr>
      </w:pPr>
      <w:r>
        <w:rPr>
          <w:rStyle w:val="43"/>
          <w:rFonts w:ascii="宋体" w:hAnsi="宋体"/>
          <w:sz w:val="24"/>
        </w:rPr>
        <w:t>3.1 投标文件的组成</w:t>
      </w:r>
    </w:p>
    <w:p>
      <w:pPr>
        <w:spacing w:line="360" w:lineRule="auto"/>
        <w:ind w:firstLine="465"/>
        <w:rPr>
          <w:rStyle w:val="43"/>
          <w:rFonts w:ascii="宋体" w:hAnsi="宋体"/>
        </w:rPr>
      </w:pPr>
      <w:r>
        <w:rPr>
          <w:rStyle w:val="43"/>
          <w:rFonts w:ascii="宋体" w:hAnsi="宋体"/>
        </w:rPr>
        <w:t>3.1.1投标文件应包括下列内容：</w:t>
      </w:r>
    </w:p>
    <w:p>
      <w:pPr>
        <w:pStyle w:val="52"/>
        <w:numPr>
          <w:ilvl w:val="0"/>
          <w:numId w:val="4"/>
        </w:numPr>
        <w:spacing w:line="360" w:lineRule="auto"/>
        <w:ind w:firstLineChars="0"/>
        <w:rPr>
          <w:rStyle w:val="43"/>
          <w:rFonts w:ascii="宋体" w:hAnsi="宋体"/>
        </w:rPr>
      </w:pPr>
      <w:r>
        <w:rPr>
          <w:rStyle w:val="43"/>
          <w:rFonts w:ascii="宋体" w:hAnsi="宋体"/>
        </w:rPr>
        <w:t>投标函及投标函附录；</w:t>
      </w:r>
    </w:p>
    <w:p>
      <w:pPr>
        <w:pStyle w:val="52"/>
        <w:numPr>
          <w:ilvl w:val="0"/>
          <w:numId w:val="4"/>
        </w:numPr>
        <w:spacing w:line="360" w:lineRule="auto"/>
        <w:ind w:firstLineChars="0"/>
        <w:rPr>
          <w:rStyle w:val="43"/>
          <w:rFonts w:ascii="宋体" w:hAnsi="宋体"/>
        </w:rPr>
      </w:pPr>
      <w:r>
        <w:rPr>
          <w:rStyle w:val="43"/>
          <w:rFonts w:ascii="宋体" w:hAnsi="宋体"/>
        </w:rPr>
        <w:t>法定代表人身份证明或附有法定代表人身份证明的授权委托书；</w:t>
      </w:r>
    </w:p>
    <w:p>
      <w:pPr>
        <w:pStyle w:val="52"/>
        <w:numPr>
          <w:ilvl w:val="0"/>
          <w:numId w:val="4"/>
        </w:numPr>
        <w:spacing w:line="360" w:lineRule="auto"/>
        <w:ind w:firstLineChars="0"/>
        <w:rPr>
          <w:rStyle w:val="43"/>
          <w:rFonts w:ascii="宋体" w:hAnsi="宋体"/>
        </w:rPr>
      </w:pPr>
      <w:r>
        <w:rPr>
          <w:rStyle w:val="43"/>
          <w:rFonts w:ascii="宋体" w:hAnsi="宋体"/>
        </w:rPr>
        <w:t>联合体协议书（如有）；</w:t>
      </w:r>
    </w:p>
    <w:p>
      <w:pPr>
        <w:pStyle w:val="52"/>
        <w:numPr>
          <w:ilvl w:val="0"/>
          <w:numId w:val="4"/>
        </w:numPr>
        <w:spacing w:line="360" w:lineRule="auto"/>
        <w:ind w:firstLineChars="0"/>
        <w:rPr>
          <w:rStyle w:val="43"/>
          <w:rFonts w:ascii="宋体" w:hAnsi="宋体"/>
        </w:rPr>
      </w:pPr>
      <w:r>
        <w:rPr>
          <w:rStyle w:val="43"/>
          <w:rFonts w:ascii="宋体" w:hAnsi="宋体"/>
        </w:rPr>
        <w:t>投标保证金；</w:t>
      </w:r>
    </w:p>
    <w:p>
      <w:pPr>
        <w:pStyle w:val="52"/>
        <w:numPr>
          <w:ilvl w:val="0"/>
          <w:numId w:val="4"/>
        </w:numPr>
        <w:spacing w:line="360" w:lineRule="auto"/>
        <w:ind w:firstLineChars="0"/>
        <w:rPr>
          <w:rStyle w:val="43"/>
          <w:rFonts w:ascii="宋体" w:hAnsi="宋体"/>
        </w:rPr>
      </w:pPr>
      <w:r>
        <w:rPr>
          <w:rStyle w:val="43"/>
          <w:rFonts w:ascii="宋体" w:hAnsi="宋体"/>
        </w:rPr>
        <w:t>商务报价（含已标价工程量清单）；</w:t>
      </w:r>
    </w:p>
    <w:p>
      <w:pPr>
        <w:pStyle w:val="52"/>
        <w:numPr>
          <w:ilvl w:val="0"/>
          <w:numId w:val="4"/>
        </w:numPr>
        <w:spacing w:line="360" w:lineRule="auto"/>
        <w:ind w:firstLineChars="0"/>
        <w:rPr>
          <w:rStyle w:val="43"/>
          <w:rFonts w:ascii="宋体" w:hAnsi="宋体"/>
        </w:rPr>
      </w:pPr>
      <w:bookmarkStart w:id="41" w:name="_Toc22048063"/>
      <w:r>
        <w:rPr>
          <w:rStyle w:val="43"/>
          <w:rFonts w:ascii="宋体" w:hAnsi="宋体"/>
        </w:rPr>
        <w:t>施工组织设计</w:t>
      </w:r>
      <w:bookmarkEnd w:id="41"/>
    </w:p>
    <w:p>
      <w:pPr>
        <w:pStyle w:val="52"/>
        <w:numPr>
          <w:ilvl w:val="0"/>
          <w:numId w:val="4"/>
        </w:numPr>
        <w:spacing w:line="360" w:lineRule="auto"/>
        <w:ind w:firstLineChars="0"/>
        <w:rPr>
          <w:rStyle w:val="43"/>
          <w:rFonts w:ascii="宋体" w:hAnsi="宋体"/>
        </w:rPr>
      </w:pPr>
      <w:r>
        <w:rPr>
          <w:rStyle w:val="43"/>
          <w:rFonts w:hint="eastAsia" w:ascii="宋体" w:hAnsi="宋体"/>
        </w:rPr>
        <w:sym w:font="Wingdings 2" w:char="F052"/>
      </w:r>
      <w:r>
        <w:rPr>
          <w:rStyle w:val="43"/>
          <w:rFonts w:ascii="宋体" w:hAnsi="宋体"/>
        </w:rPr>
        <w:t>项目管理机构</w:t>
      </w:r>
    </w:p>
    <w:p>
      <w:pPr>
        <w:pStyle w:val="52"/>
        <w:numPr>
          <w:ilvl w:val="0"/>
          <w:numId w:val="4"/>
        </w:numPr>
        <w:spacing w:line="360" w:lineRule="auto"/>
        <w:ind w:firstLineChars="0"/>
        <w:rPr>
          <w:rStyle w:val="43"/>
          <w:rFonts w:ascii="宋体" w:hAnsi="宋体"/>
        </w:rPr>
      </w:pPr>
      <w:r>
        <w:rPr>
          <w:rStyle w:val="43"/>
          <w:rFonts w:ascii="宋体" w:hAnsi="宋体"/>
        </w:rPr>
        <w:sym w:font="Wingdings 2" w:char="F052"/>
      </w:r>
      <w:r>
        <w:rPr>
          <w:rStyle w:val="43"/>
          <w:rFonts w:hint="eastAsia" w:ascii="宋体" w:hAnsi="宋体"/>
        </w:rPr>
        <w:t>甲限乙购</w:t>
      </w:r>
      <w:r>
        <w:rPr>
          <w:rStyle w:val="43"/>
          <w:rFonts w:ascii="宋体" w:hAnsi="宋体"/>
        </w:rPr>
        <w:t>材料（设备）品牌</w:t>
      </w:r>
      <w:r>
        <w:rPr>
          <w:rStyle w:val="43"/>
          <w:rFonts w:hint="eastAsia" w:ascii="宋体" w:hAnsi="宋体"/>
        </w:rPr>
        <w:t>表</w:t>
      </w:r>
      <w:r>
        <w:rPr>
          <w:rStyle w:val="43"/>
          <w:rFonts w:ascii="宋体" w:hAnsi="宋体"/>
        </w:rPr>
        <w:t xml:space="preserve">； </w:t>
      </w:r>
    </w:p>
    <w:p>
      <w:pPr>
        <w:pStyle w:val="52"/>
        <w:numPr>
          <w:ilvl w:val="0"/>
          <w:numId w:val="4"/>
        </w:numPr>
        <w:spacing w:line="360" w:lineRule="auto"/>
        <w:ind w:firstLineChars="0"/>
        <w:rPr>
          <w:rFonts w:ascii="宋体" w:hAnsi="宋体"/>
        </w:rPr>
      </w:pPr>
      <w:r>
        <w:rPr>
          <w:rStyle w:val="43"/>
          <w:rFonts w:ascii="宋体" w:hAnsi="宋体"/>
          <w:szCs w:val="22"/>
        </w:rPr>
        <w:t>投标人须知</w:t>
      </w:r>
      <w:r>
        <w:rPr>
          <w:rStyle w:val="43"/>
          <w:rFonts w:ascii="宋体" w:hAnsi="宋体"/>
        </w:rPr>
        <w:t>前附表规定的其他材料</w:t>
      </w:r>
      <w:r>
        <w:rPr>
          <w:rStyle w:val="43"/>
          <w:rFonts w:hint="eastAsia" w:ascii="宋体" w:hAnsi="宋体"/>
        </w:rPr>
        <w:t>；</w:t>
      </w:r>
    </w:p>
    <w:p>
      <w:pPr>
        <w:numPr>
          <w:ilvl w:val="0"/>
          <w:numId w:val="4"/>
        </w:numPr>
        <w:spacing w:line="360" w:lineRule="auto"/>
        <w:rPr>
          <w:rFonts w:ascii="宋体" w:hAnsi="宋体"/>
        </w:rPr>
      </w:pPr>
      <w:r>
        <w:rPr>
          <w:rStyle w:val="43"/>
          <w:rFonts w:ascii="宋体" w:hAnsi="宋体"/>
        </w:rPr>
        <w:t>资格审查文件。</w:t>
      </w:r>
    </w:p>
    <w:p>
      <w:pPr>
        <w:spacing w:line="360" w:lineRule="auto"/>
        <w:ind w:firstLine="359" w:firstLineChars="171"/>
        <w:rPr>
          <w:rStyle w:val="43"/>
          <w:rFonts w:ascii="宋体" w:hAnsi="宋体"/>
        </w:rPr>
      </w:pPr>
      <w:r>
        <w:rPr>
          <w:rStyle w:val="43"/>
          <w:rFonts w:ascii="宋体" w:hAnsi="宋体"/>
        </w:rPr>
        <w:t xml:space="preserve">3.1.2 投标人须知前附表规定不接受联合体投标的，或投标人没有组成联合体的，投标文件不包括本章第3.1.1（3）目所指的联合体协议书。 </w:t>
      </w:r>
    </w:p>
    <w:p>
      <w:pPr>
        <w:pStyle w:val="47"/>
        <w:spacing w:before="0" w:after="0" w:line="360" w:lineRule="auto"/>
        <w:rPr>
          <w:rStyle w:val="43"/>
          <w:rFonts w:ascii="宋体" w:hAnsi="宋体"/>
          <w:sz w:val="24"/>
        </w:rPr>
      </w:pPr>
      <w:r>
        <w:rPr>
          <w:rStyle w:val="43"/>
          <w:rFonts w:ascii="宋体" w:hAnsi="宋体"/>
          <w:sz w:val="24"/>
        </w:rPr>
        <w:t>3.2 投标报价</w:t>
      </w:r>
    </w:p>
    <w:p>
      <w:pPr>
        <w:spacing w:line="360" w:lineRule="auto"/>
        <w:ind w:firstLine="420" w:firstLineChars="200"/>
        <w:rPr>
          <w:rStyle w:val="43"/>
          <w:rFonts w:ascii="宋体" w:hAnsi="宋体"/>
        </w:rPr>
      </w:pPr>
      <w:r>
        <w:rPr>
          <w:rStyle w:val="43"/>
          <w:rFonts w:ascii="宋体" w:hAnsi="宋体"/>
        </w:rPr>
        <w:t>3.2.1 投标人应按</w:t>
      </w:r>
      <w:r>
        <w:rPr>
          <w:rStyle w:val="29"/>
          <w:rFonts w:ascii="宋体" w:hAnsi="宋体"/>
          <w:color w:val="auto"/>
          <w:sz w:val="21"/>
        </w:rPr>
        <w:t>第五章“工程量清单”</w:t>
      </w:r>
      <w:r>
        <w:rPr>
          <w:rStyle w:val="43"/>
          <w:rFonts w:ascii="宋体" w:hAnsi="宋体"/>
        </w:rPr>
        <w:t>的要求填写相应表格。</w:t>
      </w:r>
    </w:p>
    <w:p>
      <w:pPr>
        <w:spacing w:line="360" w:lineRule="auto"/>
        <w:ind w:firstLine="420" w:firstLineChars="200"/>
        <w:rPr>
          <w:rStyle w:val="43"/>
          <w:rFonts w:ascii="宋体" w:hAnsi="宋体"/>
        </w:rPr>
      </w:pPr>
      <w:r>
        <w:rPr>
          <w:rStyle w:val="43"/>
          <w:rFonts w:ascii="宋体" w:hAnsi="宋体"/>
        </w:rPr>
        <w:t>3.2.2 投标人在投标截止时间前修改投标函中的投标总报价，应同时修改</w:t>
      </w:r>
      <w:r>
        <w:rPr>
          <w:rStyle w:val="29"/>
          <w:rFonts w:ascii="宋体" w:hAnsi="宋体"/>
          <w:color w:val="auto"/>
          <w:sz w:val="21"/>
        </w:rPr>
        <w:t>第五章“工程量清单”</w:t>
      </w:r>
      <w:r>
        <w:rPr>
          <w:rStyle w:val="43"/>
          <w:rFonts w:ascii="宋体" w:hAnsi="宋体"/>
        </w:rPr>
        <w:t>中的相应报价。此修改须符合本章</w:t>
      </w:r>
      <w:r>
        <w:rPr>
          <w:rStyle w:val="29"/>
          <w:rFonts w:ascii="宋体" w:hAnsi="宋体"/>
          <w:color w:val="auto"/>
          <w:sz w:val="21"/>
        </w:rPr>
        <w:t>第4.3款</w:t>
      </w:r>
      <w:r>
        <w:rPr>
          <w:rStyle w:val="43"/>
          <w:rFonts w:ascii="宋体" w:hAnsi="宋体"/>
        </w:rPr>
        <w:t>的有关要求。</w:t>
      </w:r>
    </w:p>
    <w:p>
      <w:pPr>
        <w:pStyle w:val="47"/>
        <w:spacing w:before="0" w:after="0" w:line="360" w:lineRule="auto"/>
        <w:rPr>
          <w:rStyle w:val="43"/>
          <w:rFonts w:ascii="宋体" w:hAnsi="宋体"/>
          <w:sz w:val="24"/>
        </w:rPr>
      </w:pPr>
      <w:r>
        <w:rPr>
          <w:rStyle w:val="43"/>
          <w:rFonts w:ascii="宋体" w:hAnsi="宋体"/>
          <w:sz w:val="24"/>
        </w:rPr>
        <w:t>3.3 投标有效期</w:t>
      </w:r>
    </w:p>
    <w:p>
      <w:pPr>
        <w:spacing w:line="360" w:lineRule="auto"/>
        <w:ind w:firstLine="420" w:firstLineChars="200"/>
        <w:rPr>
          <w:rStyle w:val="43"/>
          <w:rFonts w:ascii="宋体" w:hAnsi="宋体"/>
        </w:rPr>
      </w:pPr>
      <w:r>
        <w:rPr>
          <w:rStyle w:val="43"/>
          <w:rFonts w:ascii="宋体" w:hAnsi="宋体"/>
        </w:rPr>
        <w:t>3.3.1 在投标人须知前附表规定的投标有效期内，投标人不得要求撤销或修改其投标文件。</w:t>
      </w:r>
    </w:p>
    <w:p>
      <w:pPr>
        <w:spacing w:line="360" w:lineRule="auto"/>
        <w:ind w:firstLine="420" w:firstLineChars="200"/>
        <w:rPr>
          <w:rStyle w:val="43"/>
          <w:rFonts w:ascii="宋体" w:hAnsi="宋体"/>
        </w:rPr>
      </w:pPr>
      <w:r>
        <w:rPr>
          <w:rStyle w:val="43"/>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47"/>
        <w:spacing w:before="0" w:after="0" w:line="360" w:lineRule="auto"/>
        <w:rPr>
          <w:rStyle w:val="43"/>
          <w:rFonts w:ascii="宋体" w:hAnsi="宋体"/>
          <w:sz w:val="24"/>
        </w:rPr>
      </w:pPr>
      <w:r>
        <w:rPr>
          <w:rStyle w:val="43"/>
          <w:rFonts w:ascii="宋体" w:hAnsi="宋体"/>
          <w:sz w:val="24"/>
        </w:rPr>
        <w:t>3.4 投标保证金</w:t>
      </w:r>
    </w:p>
    <w:p>
      <w:pPr>
        <w:spacing w:line="360" w:lineRule="auto"/>
        <w:ind w:firstLine="420" w:firstLineChars="200"/>
        <w:rPr>
          <w:rStyle w:val="43"/>
          <w:rFonts w:ascii="宋体" w:hAnsi="宋体"/>
        </w:rPr>
      </w:pPr>
      <w:r>
        <w:rPr>
          <w:rStyle w:val="43"/>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pPr>
        <w:spacing w:line="360" w:lineRule="auto"/>
        <w:ind w:firstLine="420" w:firstLineChars="200"/>
        <w:rPr>
          <w:rStyle w:val="43"/>
          <w:rFonts w:ascii="宋体" w:hAnsi="宋体"/>
        </w:rPr>
      </w:pPr>
      <w:r>
        <w:rPr>
          <w:rStyle w:val="43"/>
          <w:rFonts w:ascii="宋体" w:hAnsi="宋体"/>
        </w:rPr>
        <w:t>3.4.2 投标人不按本章第3.4.1项要求提交投标保证金的，其投标文件作废标处理。</w:t>
      </w:r>
    </w:p>
    <w:p>
      <w:pPr>
        <w:spacing w:line="360" w:lineRule="auto"/>
        <w:ind w:firstLine="420" w:firstLineChars="200"/>
        <w:rPr>
          <w:rStyle w:val="43"/>
          <w:rFonts w:ascii="宋体" w:hAnsi="宋体"/>
          <w:shd w:val="pct10" w:color="auto" w:fill="FFFFFF"/>
        </w:rPr>
      </w:pPr>
      <w:r>
        <w:rPr>
          <w:rStyle w:val="43"/>
          <w:rFonts w:ascii="宋体" w:hAnsi="宋体"/>
        </w:rPr>
        <w:t>3.4.3未中标的投标人投标保证金将在中标通知书发出后</w:t>
      </w:r>
      <w:r>
        <w:rPr>
          <w:rStyle w:val="43"/>
          <w:rFonts w:hint="eastAsia" w:ascii="宋体" w:hAnsi="宋体"/>
        </w:rPr>
        <w:t>60</w:t>
      </w:r>
      <w:r>
        <w:rPr>
          <w:rStyle w:val="43"/>
          <w:rFonts w:ascii="宋体" w:hAnsi="宋体"/>
        </w:rPr>
        <w:t>日内予以</w:t>
      </w:r>
      <w:r>
        <w:rPr>
          <w:rStyle w:val="43"/>
          <w:rFonts w:hint="eastAsia" w:ascii="宋体" w:hAnsi="宋体"/>
        </w:rPr>
        <w:t>无息</w:t>
      </w:r>
      <w:r>
        <w:rPr>
          <w:rStyle w:val="43"/>
          <w:rFonts w:ascii="宋体" w:hAnsi="宋体"/>
        </w:rPr>
        <w:t>退还。中标人的投标保证金将在招标人与中标人签订施工合同后</w:t>
      </w:r>
      <w:r>
        <w:rPr>
          <w:rStyle w:val="43"/>
          <w:rFonts w:hint="eastAsia" w:ascii="宋体" w:hAnsi="宋体"/>
        </w:rPr>
        <w:t>60</w:t>
      </w:r>
      <w:r>
        <w:rPr>
          <w:rStyle w:val="43"/>
          <w:rFonts w:ascii="宋体" w:hAnsi="宋体"/>
        </w:rPr>
        <w:t>日内予以</w:t>
      </w:r>
      <w:r>
        <w:rPr>
          <w:rStyle w:val="43"/>
          <w:rFonts w:hint="eastAsia" w:ascii="宋体" w:hAnsi="宋体"/>
        </w:rPr>
        <w:t>无息</w:t>
      </w:r>
      <w:r>
        <w:rPr>
          <w:rStyle w:val="43"/>
          <w:rFonts w:ascii="宋体" w:hAnsi="宋体"/>
        </w:rPr>
        <w:t>退还</w:t>
      </w:r>
      <w:r>
        <w:rPr>
          <w:rStyle w:val="43"/>
          <w:rFonts w:hint="eastAsia" w:ascii="宋体" w:hAnsi="宋体"/>
        </w:rPr>
        <w:t>，转为履约保证金待具备退还条件后予以无息退还</w:t>
      </w:r>
      <w:r>
        <w:rPr>
          <w:rStyle w:val="43"/>
          <w:rFonts w:ascii="宋体" w:hAnsi="宋体"/>
        </w:rPr>
        <w:t>。</w:t>
      </w:r>
    </w:p>
    <w:p>
      <w:pPr>
        <w:spacing w:line="360" w:lineRule="auto"/>
        <w:ind w:firstLine="420" w:firstLineChars="200"/>
        <w:rPr>
          <w:rStyle w:val="43"/>
          <w:rFonts w:ascii="宋体" w:hAnsi="宋体"/>
        </w:rPr>
      </w:pPr>
      <w:r>
        <w:rPr>
          <w:rStyle w:val="43"/>
          <w:rFonts w:ascii="宋体" w:hAnsi="宋体"/>
        </w:rPr>
        <w:t xml:space="preserve">3.4.4 有下列情形之一的，投标保证金将不予退还： </w:t>
      </w:r>
    </w:p>
    <w:p>
      <w:pPr>
        <w:pStyle w:val="52"/>
        <w:numPr>
          <w:ilvl w:val="0"/>
          <w:numId w:val="5"/>
        </w:numPr>
        <w:spacing w:line="360" w:lineRule="auto"/>
        <w:ind w:left="0" w:firstLine="42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pPr>
        <w:pStyle w:val="52"/>
        <w:numPr>
          <w:ilvl w:val="0"/>
          <w:numId w:val="5"/>
        </w:numPr>
        <w:spacing w:line="360" w:lineRule="auto"/>
        <w:ind w:left="0" w:firstLine="420"/>
        <w:rPr>
          <w:rFonts w:hint="eastAsia"/>
        </w:rPr>
      </w:pPr>
      <w:r>
        <w:rPr>
          <w:rFonts w:hint="eastAsia"/>
        </w:rPr>
        <w:t>投标人在响应文件中提供虚假材料的；</w:t>
      </w:r>
    </w:p>
    <w:p>
      <w:pPr>
        <w:pStyle w:val="52"/>
        <w:numPr>
          <w:ilvl w:val="0"/>
          <w:numId w:val="5"/>
        </w:numPr>
        <w:spacing w:line="360" w:lineRule="auto"/>
        <w:ind w:left="0" w:firstLine="420"/>
        <w:rPr>
          <w:rFonts w:ascii="宋体" w:hAnsi="宋体"/>
        </w:rPr>
      </w:pPr>
      <w:r>
        <w:rPr>
          <w:rFonts w:hint="eastAsia" w:ascii="宋体" w:hAnsi="宋体"/>
        </w:rPr>
        <w:t>投标人与招标人、其他投标人或者采购代理机构恶意串通、围标、陪标的；</w:t>
      </w:r>
    </w:p>
    <w:p>
      <w:pPr>
        <w:pStyle w:val="52"/>
        <w:numPr>
          <w:ilvl w:val="0"/>
          <w:numId w:val="5"/>
        </w:numPr>
        <w:spacing w:line="360" w:lineRule="auto"/>
        <w:ind w:left="0" w:firstLine="420"/>
        <w:rPr>
          <w:rFonts w:ascii="宋体" w:hAnsi="宋体"/>
        </w:rPr>
      </w:pPr>
      <w:r>
        <w:rPr>
          <w:rFonts w:hint="eastAsia" w:ascii="宋体" w:hAnsi="宋体"/>
        </w:rPr>
        <w:t>截至开标前3天，投标人无正当理由、未以书面形式向招标人递交说明而在投标截止日不来投标的；</w:t>
      </w:r>
    </w:p>
    <w:p>
      <w:pPr>
        <w:pStyle w:val="52"/>
        <w:numPr>
          <w:ilvl w:val="0"/>
          <w:numId w:val="5"/>
        </w:numPr>
        <w:spacing w:line="360" w:lineRule="auto"/>
        <w:ind w:left="0" w:firstLine="420"/>
        <w:rPr>
          <w:rFonts w:ascii="宋体" w:hAnsi="宋体"/>
        </w:rPr>
      </w:pPr>
      <w:r>
        <w:rPr>
          <w:rFonts w:hint="eastAsia" w:ascii="宋体" w:hAnsi="宋体"/>
        </w:rPr>
        <w:t>投标人递送投标文件后，无正当理由放弃投标的；</w:t>
      </w:r>
    </w:p>
    <w:p>
      <w:pPr>
        <w:pStyle w:val="52"/>
        <w:numPr>
          <w:ilvl w:val="0"/>
          <w:numId w:val="5"/>
        </w:numPr>
        <w:spacing w:line="360" w:lineRule="auto"/>
        <w:ind w:left="0" w:firstLine="420"/>
        <w:rPr>
          <w:rFonts w:ascii="宋体" w:hAnsi="宋体"/>
        </w:rPr>
      </w:pPr>
      <w:r>
        <w:rPr>
          <w:rFonts w:hint="eastAsia" w:ascii="宋体" w:hAnsi="宋体"/>
        </w:rPr>
        <w:t>除因不可抗力或谈判文件、询价通知书认可的情形以外，成交投标人不与招标人签订合同的；</w:t>
      </w:r>
    </w:p>
    <w:p>
      <w:pPr>
        <w:pStyle w:val="52"/>
        <w:numPr>
          <w:ilvl w:val="0"/>
          <w:numId w:val="5"/>
        </w:numPr>
        <w:spacing w:line="360" w:lineRule="auto"/>
        <w:ind w:left="0" w:firstLine="420"/>
        <w:rPr>
          <w:rFonts w:ascii="宋体" w:hAnsi="宋体"/>
        </w:rPr>
      </w:pPr>
      <w:r>
        <w:rPr>
          <w:rFonts w:hint="eastAsia" w:ascii="宋体" w:hAnsi="宋体"/>
        </w:rPr>
        <w:t>自中标通知书发出之日起30日内，中标人无正当理由不与招标人签订合同的；</w:t>
      </w:r>
    </w:p>
    <w:p>
      <w:pPr>
        <w:pStyle w:val="52"/>
        <w:numPr>
          <w:ilvl w:val="0"/>
          <w:numId w:val="5"/>
        </w:numPr>
        <w:spacing w:line="360" w:lineRule="auto"/>
        <w:ind w:left="0" w:firstLine="420"/>
      </w:pPr>
      <w:r>
        <w:rPr>
          <w:rFonts w:hint="eastAsia" w:ascii="宋体" w:hAnsi="宋体"/>
        </w:rPr>
        <w:t>投标人有违约违规行为或被投诉、举报的，在调查处理期间，保证金暂不退还，待调查处理结束后按有关规定处理。</w:t>
      </w:r>
    </w:p>
    <w:p>
      <w:pPr>
        <w:pStyle w:val="47"/>
        <w:spacing w:before="0" w:after="0" w:line="360" w:lineRule="auto"/>
        <w:rPr>
          <w:rStyle w:val="43"/>
          <w:rFonts w:ascii="宋体" w:hAnsi="宋体"/>
          <w:sz w:val="24"/>
        </w:rPr>
      </w:pPr>
      <w:r>
        <w:rPr>
          <w:rStyle w:val="43"/>
          <w:rFonts w:ascii="宋体" w:hAnsi="宋体"/>
          <w:sz w:val="24"/>
        </w:rPr>
        <w:t>3.5 备选投标方案</w:t>
      </w:r>
    </w:p>
    <w:p>
      <w:pPr>
        <w:spacing w:line="360" w:lineRule="auto"/>
        <w:ind w:firstLine="420" w:firstLineChars="200"/>
        <w:rPr>
          <w:rStyle w:val="43"/>
          <w:rFonts w:ascii="宋体" w:hAnsi="宋体"/>
        </w:rPr>
      </w:pPr>
      <w:r>
        <w:rPr>
          <w:rStyle w:val="43"/>
          <w:rFonts w:ascii="宋体" w:hAnsi="宋体"/>
        </w:rPr>
        <w:t>除投标人须知前附表另有规定外，投标人不得递交备选投标方案。</w:t>
      </w:r>
    </w:p>
    <w:p>
      <w:pPr>
        <w:pStyle w:val="47"/>
        <w:spacing w:before="0" w:after="0" w:line="360" w:lineRule="auto"/>
        <w:rPr>
          <w:rStyle w:val="43"/>
          <w:rFonts w:ascii="宋体" w:hAnsi="宋体"/>
          <w:sz w:val="24"/>
        </w:rPr>
      </w:pPr>
      <w:r>
        <w:rPr>
          <w:rStyle w:val="43"/>
          <w:rFonts w:ascii="宋体" w:hAnsi="宋体"/>
          <w:sz w:val="24"/>
        </w:rPr>
        <w:t>3.6 投标文件的编制</w:t>
      </w:r>
    </w:p>
    <w:p>
      <w:pPr>
        <w:spacing w:line="360" w:lineRule="auto"/>
        <w:ind w:firstLine="420" w:firstLineChars="200"/>
        <w:rPr>
          <w:rStyle w:val="43"/>
          <w:rFonts w:ascii="宋体" w:hAnsi="宋体"/>
        </w:rPr>
      </w:pPr>
      <w:r>
        <w:rPr>
          <w:rStyle w:val="43"/>
          <w:rFonts w:ascii="宋体" w:hAnsi="宋体"/>
        </w:rPr>
        <w:t>3.6.1投标文件应按</w:t>
      </w:r>
      <w:r>
        <w:rPr>
          <w:rStyle w:val="29"/>
          <w:rFonts w:ascii="宋体" w:hAnsi="宋体"/>
          <w:color w:val="auto"/>
          <w:sz w:val="21"/>
        </w:rPr>
        <w:t>第八章“投标文件格式”</w:t>
      </w:r>
      <w:r>
        <w:rPr>
          <w:rStyle w:val="43"/>
          <w:rFonts w:ascii="宋体" w:hAnsi="宋体"/>
        </w:rPr>
        <w:t>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rStyle w:val="43"/>
          <w:rFonts w:ascii="宋体" w:hAnsi="宋体"/>
          <w:szCs w:val="21"/>
        </w:rPr>
      </w:pPr>
      <w:r>
        <w:rPr>
          <w:rStyle w:val="43"/>
          <w:rFonts w:ascii="宋体" w:hAnsi="宋体"/>
        </w:rPr>
        <w:t>3.6.2 投标文件应当对招标文件有关</w:t>
      </w:r>
      <w:r>
        <w:rPr>
          <w:rStyle w:val="43"/>
          <w:rFonts w:ascii="宋体" w:hAnsi="宋体"/>
          <w:szCs w:val="21"/>
        </w:rPr>
        <w:t>工期、投标有效期、质量要求、技术标准和要求、招标范围等实质性内容作出响应。</w:t>
      </w:r>
    </w:p>
    <w:p>
      <w:pPr>
        <w:spacing w:line="360" w:lineRule="auto"/>
        <w:ind w:firstLine="420" w:firstLineChars="200"/>
        <w:rPr>
          <w:rStyle w:val="43"/>
          <w:rFonts w:ascii="宋体" w:hAnsi="宋体"/>
        </w:rPr>
      </w:pPr>
      <w:r>
        <w:rPr>
          <w:rStyle w:val="43"/>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pPr>
        <w:spacing w:line="360" w:lineRule="auto"/>
        <w:ind w:firstLine="420" w:firstLineChars="200"/>
        <w:rPr>
          <w:rStyle w:val="43"/>
          <w:rFonts w:ascii="宋体" w:hAnsi="宋体"/>
        </w:rPr>
      </w:pPr>
      <w:r>
        <w:rPr>
          <w:rStyle w:val="43"/>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pPr>
        <w:spacing w:line="360" w:lineRule="auto"/>
        <w:ind w:firstLine="420" w:firstLineChars="200"/>
        <w:rPr>
          <w:rStyle w:val="43"/>
          <w:rFonts w:ascii="宋体" w:hAnsi="宋体"/>
        </w:rPr>
      </w:pPr>
      <w:r>
        <w:rPr>
          <w:rStyle w:val="43"/>
          <w:rFonts w:ascii="宋体" w:hAnsi="宋体"/>
        </w:rPr>
        <w:t>3.6.5投标文件的正本与副本及资格审查文件应分别装订成册，并编制目录，具体装订要求见投标人须知前附表规定。</w:t>
      </w:r>
    </w:p>
    <w:p>
      <w:pPr>
        <w:pStyle w:val="4"/>
        <w:spacing w:before="0" w:after="0" w:line="360" w:lineRule="auto"/>
        <w:jc w:val="center"/>
        <w:rPr>
          <w:sz w:val="30"/>
          <w:szCs w:val="30"/>
        </w:rPr>
      </w:pPr>
      <w:bookmarkStart w:id="42" w:name="_Toc16063896"/>
      <w:bookmarkStart w:id="43" w:name="_Toc17817326"/>
      <w:bookmarkStart w:id="44" w:name="_Toc23160"/>
      <w:bookmarkStart w:id="45" w:name="_Toc162361708"/>
      <w:bookmarkStart w:id="46" w:name="_4. 投标"/>
      <w:r>
        <w:rPr>
          <w:sz w:val="30"/>
          <w:szCs w:val="30"/>
        </w:rPr>
        <w:t>4. 投标</w:t>
      </w:r>
      <w:bookmarkEnd w:id="42"/>
      <w:bookmarkEnd w:id="43"/>
      <w:bookmarkEnd w:id="44"/>
      <w:bookmarkEnd w:id="45"/>
    </w:p>
    <w:bookmarkEnd w:id="46"/>
    <w:p>
      <w:pPr>
        <w:pStyle w:val="47"/>
        <w:spacing w:before="0" w:after="0" w:line="360" w:lineRule="auto"/>
        <w:rPr>
          <w:rStyle w:val="43"/>
          <w:rFonts w:ascii="宋体" w:hAnsi="宋体"/>
        </w:rPr>
      </w:pPr>
      <w:r>
        <w:rPr>
          <w:rStyle w:val="43"/>
          <w:rFonts w:ascii="宋体" w:hAnsi="宋体"/>
          <w:sz w:val="24"/>
        </w:rPr>
        <w:t>4.1 投标文件的密封和标记</w:t>
      </w:r>
    </w:p>
    <w:p>
      <w:pPr>
        <w:spacing w:line="360" w:lineRule="auto"/>
        <w:ind w:firstLine="420" w:firstLineChars="200"/>
        <w:rPr>
          <w:rStyle w:val="43"/>
          <w:rFonts w:ascii="宋体" w:hAnsi="宋体"/>
        </w:rPr>
      </w:pPr>
      <w:r>
        <w:rPr>
          <w:rStyle w:val="43"/>
          <w:rFonts w:ascii="宋体" w:hAnsi="宋体"/>
        </w:rPr>
        <w:t>4.1.1除资格审查文件单独密封包装外，投标文件</w:t>
      </w:r>
      <w:r>
        <w:rPr>
          <w:rStyle w:val="43"/>
          <w:rFonts w:hint="eastAsia" w:ascii="宋体" w:hAnsi="宋体"/>
        </w:rPr>
        <w:t>商务标（正本+副本</w:t>
      </w:r>
      <w:r>
        <w:rPr>
          <w:rStyle w:val="43"/>
          <w:rFonts w:ascii="宋体" w:hAnsi="宋体"/>
        </w:rPr>
        <w:t>）、</w:t>
      </w:r>
      <w:r>
        <w:rPr>
          <w:rStyle w:val="43"/>
          <w:rFonts w:hint="eastAsia" w:ascii="宋体" w:hAnsi="宋体"/>
        </w:rPr>
        <w:t>技术标（正本+副本）</w:t>
      </w:r>
      <w:r>
        <w:rPr>
          <w:rStyle w:val="43"/>
          <w:rFonts w:ascii="宋体" w:hAnsi="宋体"/>
        </w:rPr>
        <w:t>分开密封包装，电子文档（内容包含全部投标文件）单独密封包装，唱标单单独密封包装。所有封套的每个封口处均应加盖投标人单位公章。</w:t>
      </w:r>
    </w:p>
    <w:p>
      <w:pPr>
        <w:spacing w:line="360" w:lineRule="auto"/>
        <w:ind w:firstLine="420" w:firstLineChars="200"/>
        <w:rPr>
          <w:rStyle w:val="43"/>
          <w:rFonts w:ascii="宋体" w:hAnsi="宋体"/>
        </w:rPr>
      </w:pPr>
      <w:r>
        <w:rPr>
          <w:rStyle w:val="43"/>
          <w:rFonts w:ascii="宋体" w:hAnsi="宋体"/>
        </w:rPr>
        <w:t>4.1.2投标文件的封套上应清楚地标记“</w:t>
      </w:r>
      <w:r>
        <w:rPr>
          <w:rStyle w:val="43"/>
          <w:rFonts w:hint="eastAsia" w:ascii="宋体" w:hAnsi="宋体"/>
        </w:rPr>
        <w:t>商务标</w:t>
      </w:r>
      <w:r>
        <w:rPr>
          <w:rStyle w:val="43"/>
          <w:rFonts w:ascii="宋体" w:hAnsi="宋体"/>
        </w:rPr>
        <w:t>”或“</w:t>
      </w:r>
      <w:r>
        <w:rPr>
          <w:rStyle w:val="43"/>
          <w:rFonts w:hint="eastAsia" w:ascii="宋体" w:hAnsi="宋体"/>
        </w:rPr>
        <w:t>技术标</w:t>
      </w:r>
      <w:r>
        <w:rPr>
          <w:rStyle w:val="43"/>
          <w:rFonts w:ascii="宋体" w:hAnsi="宋体"/>
        </w:rPr>
        <w:t>”或“资格审查文件”或“唱标单”或“电子文档”等字样，封套上应写明的其他内容见投标人须知前附表。</w:t>
      </w:r>
    </w:p>
    <w:p>
      <w:pPr>
        <w:spacing w:line="360" w:lineRule="auto"/>
        <w:ind w:firstLine="422" w:firstLineChars="200"/>
        <w:rPr>
          <w:rStyle w:val="43"/>
          <w:rFonts w:ascii="宋体" w:hAnsi="宋体"/>
          <w:b/>
          <w:bCs/>
        </w:rPr>
      </w:pPr>
      <w:r>
        <w:rPr>
          <w:rStyle w:val="43"/>
          <w:rFonts w:ascii="宋体" w:hAnsi="宋体"/>
          <w:b/>
          <w:bCs/>
        </w:rPr>
        <w:t>4.1.3 未按本章第4.1.1项或第4.1.2项要求密封和加写标记的投标文件，招标人不予受理。</w:t>
      </w:r>
    </w:p>
    <w:p>
      <w:pPr>
        <w:pStyle w:val="47"/>
        <w:spacing w:before="0" w:after="0" w:line="360" w:lineRule="auto"/>
        <w:rPr>
          <w:rStyle w:val="43"/>
          <w:rFonts w:ascii="宋体" w:hAnsi="宋体"/>
          <w:sz w:val="24"/>
        </w:rPr>
      </w:pPr>
      <w:r>
        <w:rPr>
          <w:rStyle w:val="43"/>
          <w:rFonts w:ascii="宋体" w:hAnsi="宋体"/>
          <w:sz w:val="24"/>
        </w:rPr>
        <w:t>4.2 投标文件的递交</w:t>
      </w:r>
    </w:p>
    <w:p>
      <w:pPr>
        <w:spacing w:line="360" w:lineRule="auto"/>
        <w:ind w:firstLine="420" w:firstLineChars="200"/>
        <w:rPr>
          <w:rStyle w:val="43"/>
          <w:rFonts w:ascii="宋体" w:hAnsi="宋体"/>
        </w:rPr>
      </w:pPr>
      <w:r>
        <w:rPr>
          <w:rStyle w:val="43"/>
          <w:rFonts w:ascii="宋体" w:hAnsi="宋体"/>
        </w:rPr>
        <w:t>4.2.1 投标人应在本章</w:t>
      </w:r>
      <w:r>
        <w:rPr>
          <w:rStyle w:val="29"/>
          <w:rFonts w:ascii="宋体" w:hAnsi="宋体"/>
          <w:color w:val="auto"/>
          <w:sz w:val="21"/>
        </w:rPr>
        <w:t>第2.2.2项</w:t>
      </w:r>
      <w:r>
        <w:rPr>
          <w:rStyle w:val="43"/>
          <w:rFonts w:ascii="宋体" w:hAnsi="宋体"/>
        </w:rPr>
        <w:t>规定的投标截止时间前递交投标文件。</w:t>
      </w:r>
    </w:p>
    <w:p>
      <w:pPr>
        <w:spacing w:line="360" w:lineRule="auto"/>
        <w:ind w:firstLine="420" w:firstLineChars="200"/>
        <w:rPr>
          <w:rStyle w:val="43"/>
          <w:rFonts w:ascii="宋体" w:hAnsi="宋体"/>
        </w:rPr>
      </w:pPr>
      <w:r>
        <w:rPr>
          <w:rStyle w:val="43"/>
          <w:rFonts w:ascii="宋体" w:hAnsi="宋体"/>
        </w:rPr>
        <w:t>4.2.2 投标人递交投标文件的地点：见投标人须知前附表。</w:t>
      </w:r>
    </w:p>
    <w:p>
      <w:pPr>
        <w:spacing w:line="360" w:lineRule="auto"/>
        <w:ind w:firstLine="420" w:firstLineChars="200"/>
        <w:rPr>
          <w:rStyle w:val="43"/>
          <w:rFonts w:ascii="宋体" w:hAnsi="宋体"/>
        </w:rPr>
      </w:pPr>
      <w:r>
        <w:rPr>
          <w:rStyle w:val="43"/>
          <w:rFonts w:ascii="宋体" w:hAnsi="宋体"/>
        </w:rPr>
        <w:t>4.2.3 除投标人须知前附表另有规定外，投标人所递交的投标文件不予退还。</w:t>
      </w:r>
    </w:p>
    <w:p>
      <w:pPr>
        <w:spacing w:line="360" w:lineRule="auto"/>
        <w:ind w:firstLine="420" w:firstLineChars="200"/>
        <w:rPr>
          <w:rStyle w:val="43"/>
          <w:rFonts w:ascii="宋体" w:hAnsi="宋体"/>
        </w:rPr>
      </w:pPr>
      <w:r>
        <w:rPr>
          <w:rStyle w:val="43"/>
          <w:rFonts w:ascii="宋体" w:hAnsi="宋体"/>
        </w:rPr>
        <w:t>4.2.4 招标人收到投标文件后，向投标人出具签收凭证。</w:t>
      </w:r>
    </w:p>
    <w:p>
      <w:pPr>
        <w:spacing w:line="360" w:lineRule="auto"/>
        <w:ind w:firstLine="420" w:firstLineChars="200"/>
        <w:rPr>
          <w:rStyle w:val="43"/>
          <w:rFonts w:ascii="宋体" w:hAnsi="宋体"/>
        </w:rPr>
      </w:pPr>
      <w:r>
        <w:rPr>
          <w:rStyle w:val="43"/>
          <w:rFonts w:ascii="宋体" w:hAnsi="宋体"/>
        </w:rPr>
        <w:t>4.2.5 逾期送达的或者未送达指定地点的投标文件，招标人不予受理。</w:t>
      </w:r>
    </w:p>
    <w:p>
      <w:pPr>
        <w:pStyle w:val="47"/>
        <w:spacing w:before="0" w:after="0" w:line="360" w:lineRule="auto"/>
        <w:rPr>
          <w:rStyle w:val="43"/>
          <w:rFonts w:ascii="宋体" w:hAnsi="宋体"/>
          <w:sz w:val="24"/>
        </w:rPr>
      </w:pPr>
      <w:r>
        <w:rPr>
          <w:rStyle w:val="43"/>
          <w:rFonts w:ascii="宋体" w:hAnsi="宋体"/>
          <w:sz w:val="24"/>
        </w:rPr>
        <w:t>4.3 投标文件的修改与撤回</w:t>
      </w:r>
    </w:p>
    <w:p>
      <w:pPr>
        <w:spacing w:line="360" w:lineRule="auto"/>
        <w:ind w:firstLine="420" w:firstLineChars="200"/>
        <w:rPr>
          <w:rStyle w:val="43"/>
          <w:rFonts w:ascii="宋体" w:hAnsi="宋体"/>
        </w:rPr>
      </w:pPr>
      <w:r>
        <w:rPr>
          <w:rStyle w:val="43"/>
          <w:rFonts w:ascii="宋体" w:hAnsi="宋体"/>
        </w:rPr>
        <w:t>4.3.1 在本章</w:t>
      </w:r>
      <w:r>
        <w:rPr>
          <w:rStyle w:val="29"/>
          <w:rFonts w:ascii="宋体" w:hAnsi="宋体"/>
          <w:color w:val="auto"/>
          <w:sz w:val="21"/>
        </w:rPr>
        <w:t>第2.2.2项</w:t>
      </w:r>
      <w:r>
        <w:rPr>
          <w:rStyle w:val="43"/>
          <w:rFonts w:ascii="宋体" w:hAnsi="宋体"/>
        </w:rPr>
        <w:t>规定的投标截止时间前，投标人可以修改或撤回已递交的投标文件，但应以书面形式通知招标人。</w:t>
      </w:r>
    </w:p>
    <w:p>
      <w:pPr>
        <w:spacing w:line="360" w:lineRule="auto"/>
        <w:ind w:firstLine="420" w:firstLineChars="200"/>
        <w:rPr>
          <w:rStyle w:val="43"/>
          <w:rFonts w:ascii="宋体" w:hAnsi="宋体"/>
        </w:rPr>
      </w:pPr>
      <w:r>
        <w:rPr>
          <w:rStyle w:val="43"/>
          <w:rFonts w:ascii="宋体" w:hAnsi="宋体"/>
        </w:rPr>
        <w:t>4.3.2 投标人修改或撤回已递交投标文件的书面通知应按照本章</w:t>
      </w:r>
      <w:r>
        <w:rPr>
          <w:rStyle w:val="29"/>
          <w:rFonts w:ascii="宋体" w:hAnsi="宋体"/>
          <w:color w:val="auto"/>
          <w:sz w:val="21"/>
        </w:rPr>
        <w:t>第3.6.3项</w:t>
      </w:r>
      <w:r>
        <w:rPr>
          <w:rStyle w:val="43"/>
          <w:rFonts w:ascii="宋体" w:hAnsi="宋体"/>
        </w:rPr>
        <w:t>的要求签字或盖章。招标人收到书面通知后，向投标人出具签收凭证。</w:t>
      </w:r>
    </w:p>
    <w:p>
      <w:pPr>
        <w:spacing w:line="360" w:lineRule="auto"/>
        <w:ind w:firstLine="420" w:firstLineChars="200"/>
        <w:rPr>
          <w:rStyle w:val="43"/>
          <w:rFonts w:ascii="宋体" w:hAnsi="宋体"/>
        </w:rPr>
      </w:pPr>
      <w:r>
        <w:rPr>
          <w:rStyle w:val="43"/>
          <w:rFonts w:ascii="宋体" w:hAnsi="宋体"/>
        </w:rPr>
        <w:t>4.3.3 修改的内容为投标文件的组成部分。修改的投标文件应按照本章</w:t>
      </w:r>
      <w:r>
        <w:rPr>
          <w:rStyle w:val="29"/>
          <w:rFonts w:ascii="宋体" w:hAnsi="宋体"/>
          <w:color w:val="auto"/>
          <w:sz w:val="21"/>
        </w:rPr>
        <w:t>第3条</w:t>
      </w:r>
      <w:r>
        <w:rPr>
          <w:rStyle w:val="43"/>
          <w:rFonts w:ascii="宋体" w:hAnsi="宋体"/>
        </w:rPr>
        <w:t>、</w:t>
      </w:r>
      <w:r>
        <w:rPr>
          <w:rStyle w:val="29"/>
          <w:rFonts w:ascii="宋体" w:hAnsi="宋体"/>
          <w:color w:val="auto"/>
          <w:sz w:val="21"/>
        </w:rPr>
        <w:t>第4条</w:t>
      </w:r>
      <w:r>
        <w:rPr>
          <w:rStyle w:val="43"/>
          <w:rFonts w:ascii="宋体" w:hAnsi="宋体"/>
        </w:rPr>
        <w:t>规定进行编制、密封、标记和递交，并标明“修改”字样。</w:t>
      </w:r>
    </w:p>
    <w:p>
      <w:pPr>
        <w:pStyle w:val="4"/>
        <w:spacing w:before="0" w:after="0" w:line="360" w:lineRule="auto"/>
        <w:jc w:val="center"/>
        <w:rPr>
          <w:sz w:val="30"/>
          <w:szCs w:val="30"/>
        </w:rPr>
      </w:pPr>
      <w:bookmarkStart w:id="47" w:name="_Toc162361709"/>
      <w:bookmarkStart w:id="48" w:name="_Toc17817327"/>
      <w:bookmarkStart w:id="49" w:name="_Toc16063897"/>
      <w:bookmarkStart w:id="50" w:name="_Toc9815"/>
      <w:bookmarkStart w:id="51" w:name="_5. 开标"/>
      <w:r>
        <w:rPr>
          <w:sz w:val="30"/>
          <w:szCs w:val="30"/>
        </w:rPr>
        <w:t>5. 开标</w:t>
      </w:r>
      <w:bookmarkEnd w:id="47"/>
      <w:bookmarkEnd w:id="48"/>
      <w:bookmarkEnd w:id="49"/>
      <w:bookmarkEnd w:id="50"/>
    </w:p>
    <w:bookmarkEnd w:id="51"/>
    <w:p>
      <w:pPr>
        <w:pStyle w:val="47"/>
        <w:spacing w:before="0" w:after="0" w:line="360" w:lineRule="auto"/>
        <w:rPr>
          <w:rStyle w:val="43"/>
          <w:rFonts w:ascii="宋体" w:hAnsi="宋体"/>
          <w:sz w:val="24"/>
          <w:szCs w:val="24"/>
        </w:rPr>
      </w:pPr>
      <w:bookmarkStart w:id="52" w:name="_Toc16063898"/>
      <w:bookmarkStart w:id="53" w:name="_Toc17817328"/>
      <w:bookmarkStart w:id="54" w:name="_Toc630"/>
      <w:r>
        <w:rPr>
          <w:rStyle w:val="43"/>
          <w:rFonts w:ascii="宋体" w:hAnsi="宋体"/>
          <w:sz w:val="24"/>
          <w:szCs w:val="24"/>
        </w:rPr>
        <w:t>5.1 开标时间和地点</w:t>
      </w:r>
    </w:p>
    <w:p>
      <w:pPr>
        <w:spacing w:line="360" w:lineRule="auto"/>
        <w:ind w:firstLine="420" w:firstLineChars="200"/>
        <w:rPr>
          <w:rStyle w:val="43"/>
          <w:rFonts w:ascii="宋体" w:hAnsi="宋体"/>
        </w:rPr>
      </w:pPr>
      <w:r>
        <w:rPr>
          <w:rStyle w:val="43"/>
          <w:rFonts w:ascii="宋体" w:hAnsi="宋体"/>
        </w:rPr>
        <w:t>招标人在本章</w:t>
      </w:r>
      <w:r>
        <w:rPr>
          <w:rStyle w:val="29"/>
          <w:rFonts w:ascii="宋体" w:hAnsi="宋体"/>
          <w:color w:val="auto"/>
          <w:sz w:val="21"/>
        </w:rPr>
        <w:t>第2.2.2项</w:t>
      </w:r>
      <w:r>
        <w:rPr>
          <w:rStyle w:val="43"/>
          <w:rFonts w:ascii="宋体" w:hAnsi="宋体"/>
        </w:rPr>
        <w:t>规定的投标截止时间（开标时间）和投标人须知前附表规定的地点公开开标，并邀请所有投标人的法定代表人或其委托代理人准时参加。</w:t>
      </w:r>
    </w:p>
    <w:p>
      <w:pPr>
        <w:pStyle w:val="9"/>
        <w:adjustRightInd w:val="0"/>
        <w:snapToGrid w:val="0"/>
        <w:spacing w:before="72" w:after="50" w:line="360" w:lineRule="auto"/>
        <w:ind w:firstLine="422" w:firstLineChars="200"/>
        <w:rPr>
          <w:rStyle w:val="43"/>
          <w:rFonts w:ascii="宋体" w:hAnsi="宋体" w:eastAsia="宋体"/>
          <w:b/>
          <w:bCs/>
          <w:sz w:val="21"/>
          <w:szCs w:val="24"/>
        </w:rPr>
      </w:pPr>
      <w:r>
        <w:rPr>
          <w:rStyle w:val="43"/>
          <w:rFonts w:hint="eastAsia" w:ascii="宋体" w:hAnsi="宋体" w:eastAsia="宋体"/>
          <w:b/>
          <w:bCs/>
          <w:sz w:val="21"/>
          <w:szCs w:val="24"/>
        </w:rPr>
        <w:t>本次招标的开标、评标由招标人依法组织实施，通过资格审查后，采用技术标和商务标同时开标、分阶段评标的模式。首先进行技术标评审，由评标专家组对所有投标方的技术标部分综合评定和打分，确定进入商务标评比资格的投标方。然后进行商务标的评标，招标人有权根据项目情况，采取多轮报价模式，最终根据商务标的得分以合理最低价确定各投标人排序。</w:t>
      </w:r>
    </w:p>
    <w:p>
      <w:pPr>
        <w:keepLines w:val="0"/>
        <w:pageBreakBefore w:val="0"/>
        <w:widowControl w:val="0"/>
        <w:kinsoku/>
        <w:wordWrap/>
        <w:overflowPunct/>
        <w:topLinePunct w:val="0"/>
        <w:autoSpaceDE/>
        <w:autoSpaceDN/>
        <w:bidi w:val="0"/>
        <w:snapToGrid w:val="0"/>
        <w:spacing w:line="312" w:lineRule="auto"/>
        <w:ind w:firstLine="422" w:firstLineChars="200"/>
        <w:textAlignment w:val="auto"/>
        <w:rPr>
          <w:rFonts w:hint="eastAsia" w:ascii="宋体" w:hAnsi="宋体" w:eastAsia="宋体" w:cs="宋体"/>
          <w:sz w:val="21"/>
          <w:szCs w:val="21"/>
          <w:highlight w:val="yellow"/>
        </w:rPr>
      </w:pPr>
      <w:r>
        <w:rPr>
          <w:rStyle w:val="43"/>
          <w:rFonts w:hint="eastAsia" w:ascii="宋体" w:hAnsi="宋体" w:eastAsia="宋体" w:cs="宋体"/>
          <w:b/>
          <w:bCs/>
          <w:sz w:val="21"/>
          <w:szCs w:val="21"/>
          <w:highlight w:val="yellow"/>
        </w:rPr>
        <w:t>开标形式：现场和重汽e采通同时开标（</w:t>
      </w:r>
      <w:r>
        <w:rPr>
          <w:rStyle w:val="43"/>
          <w:rFonts w:hint="eastAsia" w:ascii="宋体" w:hAnsi="宋体" w:eastAsia="宋体" w:cs="宋体"/>
          <w:b/>
          <w:bCs/>
          <w:sz w:val="21"/>
          <w:szCs w:val="21"/>
          <w:highlight w:val="yellow"/>
          <w:u w:val="single"/>
        </w:rPr>
        <w:t>所有澄清及报价均需要在线上操作，请自行准备电脑等设备</w:t>
      </w:r>
      <w:r>
        <w:rPr>
          <w:rStyle w:val="43"/>
          <w:rFonts w:hint="eastAsia" w:ascii="宋体" w:hAnsi="宋体" w:eastAsia="宋体" w:cs="宋体"/>
          <w:b/>
          <w:bCs/>
          <w:sz w:val="21"/>
          <w:szCs w:val="21"/>
          <w:highlight w:val="yellow"/>
        </w:rPr>
        <w:t>）。</w:t>
      </w:r>
    </w:p>
    <w:p>
      <w:pPr>
        <w:pStyle w:val="47"/>
        <w:spacing w:before="0" w:after="0" w:line="360" w:lineRule="auto"/>
        <w:rPr>
          <w:rStyle w:val="43"/>
          <w:rFonts w:ascii="宋体" w:hAnsi="宋体"/>
          <w:sz w:val="24"/>
        </w:rPr>
      </w:pPr>
      <w:r>
        <w:rPr>
          <w:rStyle w:val="43"/>
          <w:rFonts w:ascii="宋体" w:hAnsi="宋体"/>
          <w:sz w:val="24"/>
        </w:rPr>
        <w:t>5.2 开</w:t>
      </w:r>
      <w:r>
        <w:rPr>
          <w:rStyle w:val="43"/>
          <w:rFonts w:hint="eastAsia" w:ascii="宋体" w:hAnsi="宋体"/>
          <w:sz w:val="24"/>
        </w:rPr>
        <w:t>、评</w:t>
      </w:r>
      <w:r>
        <w:rPr>
          <w:rStyle w:val="43"/>
          <w:rFonts w:ascii="宋体" w:hAnsi="宋体"/>
          <w:sz w:val="24"/>
        </w:rPr>
        <w:t>标程序</w:t>
      </w:r>
    </w:p>
    <w:p>
      <w:pPr>
        <w:spacing w:line="360" w:lineRule="auto"/>
        <w:ind w:firstLine="420" w:firstLineChars="200"/>
        <w:rPr>
          <w:rStyle w:val="43"/>
          <w:rFonts w:ascii="宋体" w:hAnsi="宋体"/>
          <w:szCs w:val="22"/>
        </w:rPr>
      </w:pPr>
      <w:r>
        <w:rPr>
          <w:rStyle w:val="43"/>
          <w:rFonts w:hint="eastAsia" w:ascii="宋体" w:hAnsi="宋体"/>
          <w:szCs w:val="22"/>
        </w:rPr>
        <w:t>（1）投标截止时间前准时进入开标现场，登录重汽e采通按最新版《SRM-系统用户手册-非生产招投标（供应商使用）》，并按顺序进行操作，迟到按弃标处理。</w:t>
      </w:r>
    </w:p>
    <w:p>
      <w:pPr>
        <w:spacing w:line="360" w:lineRule="auto"/>
        <w:ind w:firstLine="420" w:firstLineChars="200"/>
        <w:rPr>
          <w:rStyle w:val="43"/>
          <w:rFonts w:ascii="宋体" w:hAnsi="宋体"/>
          <w:szCs w:val="22"/>
        </w:rPr>
      </w:pPr>
      <w:r>
        <w:rPr>
          <w:rStyle w:val="43"/>
          <w:rFonts w:hint="eastAsia" w:ascii="宋体" w:hAnsi="宋体"/>
          <w:szCs w:val="22"/>
        </w:rPr>
        <w:t>（2）宣读开标纪律；</w:t>
      </w:r>
    </w:p>
    <w:p>
      <w:pPr>
        <w:spacing w:line="360" w:lineRule="auto"/>
        <w:ind w:firstLine="420" w:firstLineChars="200"/>
        <w:rPr>
          <w:rStyle w:val="43"/>
          <w:rFonts w:ascii="宋体" w:hAnsi="宋体"/>
          <w:szCs w:val="22"/>
        </w:rPr>
      </w:pPr>
      <w:r>
        <w:rPr>
          <w:rStyle w:val="43"/>
          <w:rFonts w:hint="eastAsia" w:ascii="宋体" w:hAnsi="宋体"/>
          <w:szCs w:val="22"/>
        </w:rPr>
        <w:t>（3）公布在投标截止时间前递交投标文件的投标人名称，并点名确认投标人的法定代表人或其委托代理人是否到场；</w:t>
      </w:r>
    </w:p>
    <w:p>
      <w:pPr>
        <w:spacing w:line="360" w:lineRule="auto"/>
        <w:ind w:firstLine="420" w:firstLineChars="200"/>
        <w:rPr>
          <w:rStyle w:val="43"/>
          <w:rFonts w:ascii="宋体" w:hAnsi="宋体"/>
          <w:szCs w:val="22"/>
        </w:rPr>
      </w:pPr>
      <w:r>
        <w:rPr>
          <w:rStyle w:val="43"/>
          <w:rFonts w:hint="eastAsia" w:ascii="宋体" w:hAnsi="宋体"/>
          <w:szCs w:val="22"/>
        </w:rPr>
        <w:t>（4）宣布招标人、唱标人等有关单位；</w:t>
      </w:r>
    </w:p>
    <w:p>
      <w:pPr>
        <w:spacing w:line="360" w:lineRule="auto"/>
        <w:ind w:firstLine="420" w:firstLineChars="200"/>
        <w:rPr>
          <w:rStyle w:val="43"/>
          <w:rFonts w:ascii="宋体" w:hAnsi="宋体"/>
          <w:szCs w:val="22"/>
        </w:rPr>
      </w:pPr>
      <w:r>
        <w:rPr>
          <w:rStyle w:val="43"/>
          <w:rFonts w:hint="eastAsia" w:ascii="宋体" w:hAnsi="宋体"/>
          <w:szCs w:val="22"/>
        </w:rPr>
        <w:t>（5）由招标人核验投标单位的相关证件，并宣布核验结果；</w:t>
      </w:r>
    </w:p>
    <w:p>
      <w:pPr>
        <w:spacing w:line="360" w:lineRule="auto"/>
        <w:ind w:firstLine="420" w:firstLineChars="200"/>
        <w:rPr>
          <w:rStyle w:val="43"/>
          <w:rFonts w:ascii="宋体" w:hAnsi="宋体"/>
          <w:szCs w:val="22"/>
        </w:rPr>
      </w:pPr>
      <w:r>
        <w:rPr>
          <w:rStyle w:val="43"/>
          <w:rFonts w:hint="eastAsia" w:ascii="宋体" w:hAnsi="宋体"/>
          <w:szCs w:val="22"/>
        </w:rPr>
        <w:t>（6）由招标人代表或投标人推选的代表检查投标文件的密封情况并予以签字确认；</w:t>
      </w:r>
    </w:p>
    <w:p>
      <w:pPr>
        <w:spacing w:line="360" w:lineRule="auto"/>
        <w:ind w:firstLine="420" w:firstLineChars="200"/>
        <w:rPr>
          <w:rStyle w:val="43"/>
          <w:rFonts w:ascii="宋体" w:hAnsi="宋体"/>
          <w:szCs w:val="22"/>
        </w:rPr>
      </w:pPr>
      <w:r>
        <w:rPr>
          <w:rStyle w:val="43"/>
          <w:rFonts w:hint="eastAsia" w:ascii="宋体" w:hAnsi="宋体"/>
          <w:szCs w:val="22"/>
        </w:rPr>
        <w:t>（7）按照宣布的开标顺序当众开标，公布投标人名称、项目名称、投标报价、质量目标、工期及其他内容，并记录在案；</w:t>
      </w:r>
    </w:p>
    <w:p>
      <w:pPr>
        <w:spacing w:line="360" w:lineRule="auto"/>
        <w:ind w:firstLine="420" w:firstLineChars="200"/>
        <w:rPr>
          <w:rStyle w:val="43"/>
          <w:rFonts w:ascii="宋体" w:hAnsi="宋体"/>
          <w:szCs w:val="22"/>
        </w:rPr>
      </w:pPr>
      <w:r>
        <w:rPr>
          <w:rStyle w:val="43"/>
          <w:rFonts w:hint="eastAsia" w:ascii="宋体" w:hAnsi="宋体"/>
          <w:szCs w:val="22"/>
        </w:rPr>
        <w:t>（8）对本次开标存在异议的投标单位，请现场提出，否则事后不予受理；</w:t>
      </w:r>
    </w:p>
    <w:p>
      <w:pPr>
        <w:spacing w:line="360" w:lineRule="auto"/>
        <w:ind w:firstLine="420" w:firstLineChars="200"/>
        <w:rPr>
          <w:rStyle w:val="43"/>
          <w:rFonts w:ascii="宋体" w:hAnsi="宋体"/>
          <w:szCs w:val="22"/>
        </w:rPr>
      </w:pPr>
      <w:r>
        <w:rPr>
          <w:rStyle w:val="43"/>
          <w:rFonts w:hint="eastAsia" w:ascii="宋体" w:hAnsi="宋体"/>
          <w:szCs w:val="22"/>
        </w:rPr>
        <w:t>（9）招标人、唱标人、监督人、投标人授权代表应对《开标记录》全部内容进行签字确认；</w:t>
      </w:r>
    </w:p>
    <w:p>
      <w:pPr>
        <w:spacing w:line="360" w:lineRule="auto"/>
        <w:ind w:firstLine="420" w:firstLineChars="200"/>
        <w:rPr>
          <w:rStyle w:val="43"/>
          <w:rFonts w:ascii="宋体" w:hAnsi="宋体"/>
          <w:szCs w:val="22"/>
        </w:rPr>
      </w:pPr>
      <w:r>
        <w:rPr>
          <w:rStyle w:val="43"/>
          <w:rFonts w:hint="eastAsia" w:ascii="宋体" w:hAnsi="宋体"/>
          <w:szCs w:val="22"/>
        </w:rPr>
        <w:t>（10）开标会结束，投标人退场，进入评审阶段。</w:t>
      </w:r>
    </w:p>
    <w:p>
      <w:pPr>
        <w:spacing w:line="360" w:lineRule="auto"/>
        <w:ind w:firstLine="420" w:firstLineChars="200"/>
        <w:rPr>
          <w:rStyle w:val="43"/>
          <w:rFonts w:ascii="宋体" w:hAnsi="宋体"/>
          <w:szCs w:val="22"/>
        </w:rPr>
      </w:pPr>
      <w:r>
        <w:rPr>
          <w:rStyle w:val="43"/>
          <w:rFonts w:hint="eastAsia" w:ascii="宋体" w:hAnsi="宋体"/>
          <w:szCs w:val="22"/>
        </w:rPr>
        <w:t>（1</w:t>
      </w:r>
      <w:r>
        <w:rPr>
          <w:rStyle w:val="43"/>
          <w:rFonts w:hint="eastAsia" w:ascii="宋体" w:hAnsi="宋体"/>
          <w:szCs w:val="22"/>
          <w:lang w:val="en-US" w:eastAsia="zh-CN"/>
        </w:rPr>
        <w:t>1</w:t>
      </w:r>
      <w:r>
        <w:rPr>
          <w:rStyle w:val="43"/>
          <w:rFonts w:hint="eastAsia" w:ascii="宋体" w:hAnsi="宋体"/>
          <w:szCs w:val="22"/>
        </w:rPr>
        <w:t>）商务标采用多轮报价，专家组与入围的有效投标人在其开标报价的基础上开展至少3轮商务谈判，除开标唱标为公开报价方式外，后续多轮澄清报价均为非公开的方式，在重汽e采通进行提报。</w:t>
      </w:r>
    </w:p>
    <w:p>
      <w:pPr>
        <w:keepLines w:val="0"/>
        <w:pageBreakBefore w:val="0"/>
        <w:widowControl w:val="0"/>
        <w:kinsoku/>
        <w:wordWrap/>
        <w:overflowPunct/>
        <w:topLinePunct w:val="0"/>
        <w:autoSpaceDE/>
        <w:autoSpaceDN/>
        <w:bidi w:val="0"/>
        <w:snapToGrid w:val="0"/>
        <w:spacing w:line="312" w:lineRule="auto"/>
        <w:ind w:firstLine="422" w:firstLineChars="200"/>
        <w:textAlignment w:val="auto"/>
        <w:rPr>
          <w:rStyle w:val="43"/>
          <w:rFonts w:hint="eastAsia" w:ascii="宋体" w:hAnsi="宋体" w:eastAsia="宋体" w:cs="宋体"/>
          <w:b/>
          <w:bCs/>
          <w:color w:val="FF0000"/>
          <w:sz w:val="21"/>
          <w:szCs w:val="21"/>
        </w:rPr>
      </w:pPr>
      <w:r>
        <w:rPr>
          <w:rStyle w:val="43"/>
          <w:rFonts w:hint="eastAsia" w:ascii="宋体" w:hAnsi="宋体" w:eastAsia="宋体" w:cs="宋体"/>
          <w:b/>
          <w:bCs/>
          <w:color w:val="FF0000"/>
          <w:sz w:val="21"/>
          <w:szCs w:val="21"/>
        </w:rPr>
        <w:t>注意：</w:t>
      </w:r>
      <w:r>
        <w:rPr>
          <w:rStyle w:val="43"/>
          <w:rFonts w:hint="eastAsia" w:ascii="宋体" w:hAnsi="宋体" w:eastAsia="宋体" w:cs="宋体"/>
          <w:b/>
          <w:bCs/>
          <w:color w:val="FF0000"/>
          <w:sz w:val="21"/>
          <w:szCs w:val="21"/>
          <w:em w:val="dot"/>
        </w:rPr>
        <w:t>在重汽e采通提供每一轮澄清报价均有时间限制，未能在规定时间内提交澄清函及报价的视为放弃本次投标</w:t>
      </w:r>
      <w:r>
        <w:rPr>
          <w:rStyle w:val="43"/>
          <w:rFonts w:hint="eastAsia" w:ascii="宋体" w:hAnsi="宋体" w:eastAsia="宋体" w:cs="宋体"/>
          <w:b/>
          <w:bCs/>
          <w:color w:val="FF0000"/>
          <w:sz w:val="21"/>
          <w:szCs w:val="21"/>
        </w:rPr>
        <w:t>。</w:t>
      </w:r>
    </w:p>
    <w:p>
      <w:pPr>
        <w:spacing w:line="360" w:lineRule="auto"/>
        <w:ind w:firstLine="420" w:firstLineChars="200"/>
      </w:pPr>
      <w:r>
        <w:rPr>
          <w:rStyle w:val="43"/>
          <w:rFonts w:hint="eastAsia" w:ascii="宋体" w:hAnsi="宋体"/>
          <w:szCs w:val="22"/>
        </w:rPr>
        <w:t>（13）原则上按照评标合理最低价确定推荐中标人（不保证最低价格中标），对未中标单位不做任何解释。以上步骤全部结束后，本次招标过程全部结束。</w:t>
      </w:r>
    </w:p>
    <w:p>
      <w:pPr>
        <w:spacing w:line="360" w:lineRule="auto"/>
        <w:ind w:firstLine="420" w:firstLineChars="200"/>
        <w:rPr>
          <w:rStyle w:val="43"/>
          <w:rFonts w:hint="eastAsia" w:ascii="宋体" w:hAnsi="宋体"/>
          <w:szCs w:val="22"/>
        </w:rPr>
      </w:pPr>
      <w:r>
        <w:rPr>
          <w:rStyle w:val="43"/>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pPr>
        <w:pStyle w:val="47"/>
        <w:keepLines w:val="0"/>
        <w:pageBreakBefore w:val="0"/>
        <w:widowControl w:val="0"/>
        <w:kinsoku/>
        <w:wordWrap/>
        <w:overflowPunct/>
        <w:topLinePunct w:val="0"/>
        <w:autoSpaceDE/>
        <w:autoSpaceDN/>
        <w:bidi w:val="0"/>
        <w:snapToGrid w:val="0"/>
        <w:spacing w:before="0" w:after="0" w:line="312" w:lineRule="auto"/>
        <w:textAlignment w:val="auto"/>
        <w:rPr>
          <w:rStyle w:val="43"/>
          <w:rFonts w:hint="eastAsia" w:ascii="宋体" w:hAnsi="宋体" w:eastAsia="宋体" w:cs="宋体"/>
          <w:sz w:val="21"/>
          <w:szCs w:val="21"/>
          <w:lang w:val="en-US" w:eastAsia="zh-CN"/>
        </w:rPr>
      </w:pPr>
      <w:r>
        <w:rPr>
          <w:rStyle w:val="43"/>
          <w:rFonts w:hint="eastAsia" w:ascii="宋体" w:hAnsi="宋体" w:eastAsia="宋体" w:cs="宋体"/>
          <w:sz w:val="21"/>
          <w:szCs w:val="21"/>
        </w:rPr>
        <w:t>5.</w:t>
      </w:r>
      <w:r>
        <w:rPr>
          <w:rStyle w:val="43"/>
          <w:rFonts w:hint="eastAsia" w:ascii="宋体" w:hAnsi="宋体" w:eastAsia="宋体" w:cs="宋体"/>
          <w:sz w:val="21"/>
          <w:szCs w:val="21"/>
          <w:lang w:val="en-US" w:eastAsia="zh-CN"/>
        </w:rPr>
        <w:t>3</w:t>
      </w:r>
      <w:r>
        <w:rPr>
          <w:rStyle w:val="43"/>
          <w:rFonts w:hint="eastAsia" w:ascii="宋体" w:hAnsi="宋体" w:eastAsia="宋体" w:cs="宋体"/>
          <w:sz w:val="21"/>
          <w:szCs w:val="21"/>
        </w:rPr>
        <w:t xml:space="preserve"> 评标</w:t>
      </w:r>
      <w:r>
        <w:rPr>
          <w:rStyle w:val="43"/>
          <w:rFonts w:hint="eastAsia" w:ascii="宋体" w:hAnsi="宋体" w:eastAsia="宋体" w:cs="宋体"/>
          <w:sz w:val="21"/>
          <w:szCs w:val="21"/>
          <w:lang w:val="en-US" w:eastAsia="zh-CN"/>
        </w:rPr>
        <w:t>原则</w:t>
      </w:r>
    </w:p>
    <w:p>
      <w:pPr>
        <w:pStyle w:val="9"/>
        <w:keepLines w:val="0"/>
        <w:pageBreakBefore w:val="0"/>
        <w:widowControl w:val="0"/>
        <w:numPr>
          <w:ilvl w:val="0"/>
          <w:numId w:val="6"/>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投标人不足三家时，</w:t>
      </w:r>
      <w:r>
        <w:rPr>
          <w:rFonts w:hint="eastAsia" w:ascii="宋体" w:hAnsi="宋体" w:eastAsia="宋体" w:cs="宋体"/>
          <w:sz w:val="21"/>
          <w:szCs w:val="21"/>
          <w:lang w:val="en-US" w:eastAsia="zh-CN"/>
        </w:rPr>
        <w:t>本次按废标处理，招标人有权根据招标采购管理流程重新组织招标。</w:t>
      </w:r>
    </w:p>
    <w:p>
      <w:pPr>
        <w:pStyle w:val="9"/>
        <w:keepLines w:val="0"/>
        <w:pageBreakBefore w:val="0"/>
        <w:widowControl w:val="0"/>
        <w:numPr>
          <w:ilvl w:val="0"/>
          <w:numId w:val="6"/>
        </w:numPr>
        <w:kinsoku/>
        <w:wordWrap/>
        <w:overflowPunct/>
        <w:topLinePunct w:val="0"/>
        <w:autoSpaceDE/>
        <w:autoSpaceDN/>
        <w:bidi w:val="0"/>
        <w:adjustRightInd w:val="0"/>
        <w:snapToGrid w:val="0"/>
        <w:spacing w:before="72" w:after="50" w:line="312"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因本次招标按照相关管理办法，本次项目等级为D级，原则上不评议技术标。商务标明确</w:t>
      </w:r>
      <w:r>
        <w:rPr>
          <w:rFonts w:hint="eastAsia" w:ascii="宋体" w:hAnsi="宋体" w:eastAsia="宋体" w:cs="宋体"/>
          <w:sz w:val="21"/>
          <w:szCs w:val="21"/>
        </w:rPr>
        <w:t>供方标准</w:t>
      </w:r>
      <w:r>
        <w:rPr>
          <w:rFonts w:hint="eastAsia" w:ascii="宋体" w:hAnsi="宋体" w:eastAsia="宋体" w:cs="宋体"/>
          <w:sz w:val="21"/>
          <w:szCs w:val="21"/>
          <w:lang w:val="en-US" w:eastAsia="zh-CN"/>
        </w:rPr>
        <w:t>水平</w:t>
      </w:r>
      <w:r>
        <w:rPr>
          <w:rFonts w:hint="eastAsia" w:ascii="宋体" w:hAnsi="宋体" w:eastAsia="宋体" w:cs="宋体"/>
          <w:sz w:val="21"/>
          <w:szCs w:val="21"/>
        </w:rPr>
        <w:t>、明确重要技术</w:t>
      </w:r>
      <w:r>
        <w:rPr>
          <w:rFonts w:hint="eastAsia" w:ascii="宋体" w:hAnsi="宋体" w:eastAsia="宋体" w:cs="宋体"/>
          <w:sz w:val="21"/>
          <w:szCs w:val="21"/>
          <w:lang w:val="en-US" w:eastAsia="zh-CN"/>
        </w:rPr>
        <w:t>参数</w:t>
      </w:r>
      <w:r>
        <w:rPr>
          <w:rFonts w:hint="eastAsia" w:ascii="宋体" w:hAnsi="宋体" w:eastAsia="宋体" w:cs="宋体"/>
          <w:sz w:val="21"/>
          <w:szCs w:val="21"/>
        </w:rPr>
        <w:t>、同水平品牌（不得指定）。如因变更、完善技术配置，需更改商务报价</w:t>
      </w:r>
      <w:r>
        <w:rPr>
          <w:rFonts w:hint="eastAsia" w:ascii="宋体" w:hAnsi="宋体" w:eastAsia="宋体" w:cs="宋体"/>
          <w:sz w:val="21"/>
          <w:szCs w:val="21"/>
          <w:lang w:eastAsia="zh-CN"/>
        </w:rPr>
        <w:t>。</w:t>
      </w:r>
    </w:p>
    <w:p>
      <w:pPr>
        <w:pStyle w:val="9"/>
        <w:keepLines w:val="0"/>
        <w:pageBreakBefore w:val="0"/>
        <w:widowControl w:val="0"/>
        <w:numPr>
          <w:ilvl w:val="0"/>
          <w:numId w:val="6"/>
        </w:numPr>
        <w:kinsoku/>
        <w:wordWrap/>
        <w:overflowPunct/>
        <w:topLinePunct w:val="0"/>
        <w:autoSpaceDE/>
        <w:autoSpaceDN/>
        <w:bidi w:val="0"/>
        <w:adjustRightInd w:val="0"/>
        <w:snapToGrid w:val="0"/>
        <w:spacing w:before="72" w:after="50" w:line="312" w:lineRule="auto"/>
        <w:ind w:firstLine="420" w:firstLineChars="200"/>
        <w:textAlignment w:val="auto"/>
        <w:rPr>
          <w:rStyle w:val="43"/>
          <w:rFonts w:hint="eastAsia" w:ascii="宋体" w:hAnsi="宋体" w:eastAsia="宋体" w:cs="宋体"/>
          <w:b/>
          <w:bCs/>
          <w:color w:val="FF0000"/>
          <w:kern w:val="2"/>
          <w:sz w:val="21"/>
          <w:szCs w:val="21"/>
          <w:em w:val="dot"/>
          <w:lang w:val="en-US" w:eastAsia="zh-CN" w:bidi="ar-SA"/>
        </w:rPr>
      </w:pPr>
      <w:r>
        <w:rPr>
          <w:rFonts w:hint="eastAsia" w:ascii="宋体" w:hAnsi="宋体" w:eastAsia="宋体" w:cs="宋体"/>
          <w:sz w:val="21"/>
          <w:szCs w:val="21"/>
        </w:rPr>
        <w:t>商务标专家组与技术入围的有效投标人在其</w:t>
      </w:r>
      <w:r>
        <w:rPr>
          <w:rStyle w:val="43"/>
          <w:rFonts w:hint="eastAsia" w:ascii="宋体" w:hAnsi="宋体" w:eastAsia="宋体" w:cs="宋体"/>
          <w:b/>
          <w:bCs/>
          <w:color w:val="FF0000"/>
          <w:kern w:val="2"/>
          <w:sz w:val="21"/>
          <w:szCs w:val="21"/>
          <w:em w:val="dot"/>
          <w:lang w:val="en-US" w:eastAsia="zh-CN" w:bidi="ar-SA"/>
        </w:rPr>
        <w:t>开标报价的基础上开展至少3轮商务谈判</w:t>
      </w:r>
      <w:r>
        <w:rPr>
          <w:rFonts w:hint="eastAsia" w:ascii="宋体" w:hAnsi="宋体" w:eastAsia="宋体" w:cs="宋体"/>
          <w:sz w:val="21"/>
          <w:szCs w:val="21"/>
        </w:rPr>
        <w:t>，确定推荐中标人。</w:t>
      </w:r>
      <w:r>
        <w:rPr>
          <w:rStyle w:val="43"/>
          <w:rFonts w:hint="eastAsia" w:ascii="宋体" w:hAnsi="宋体" w:eastAsia="宋体" w:cs="宋体"/>
          <w:b/>
          <w:bCs/>
          <w:color w:val="FF0000"/>
          <w:kern w:val="2"/>
          <w:sz w:val="21"/>
          <w:szCs w:val="21"/>
          <w:em w:val="dot"/>
          <w:lang w:val="en-US" w:eastAsia="zh-CN" w:bidi="ar-SA"/>
        </w:rPr>
        <w:t>原则上按照评标合理最低价选择中标人，但是明显低于成本的除外。</w:t>
      </w:r>
    </w:p>
    <w:p>
      <w:pPr>
        <w:spacing w:line="400" w:lineRule="exact"/>
        <w:ind w:firstLine="420" w:firstLineChars="200"/>
        <w:rPr>
          <w:rFonts w:hint="eastAsia"/>
          <w:highlight w:val="yellow"/>
        </w:rPr>
      </w:pPr>
    </w:p>
    <w:p>
      <w:pPr>
        <w:spacing w:line="400" w:lineRule="exact"/>
        <w:ind w:firstLine="420" w:firstLineChars="200"/>
      </w:pPr>
      <w:r>
        <w:rPr>
          <w:rFonts w:hint="eastAsia"/>
          <w:highlight w:val="yellow"/>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
        <w:spacing w:before="0" w:after="0" w:line="360" w:lineRule="auto"/>
        <w:jc w:val="center"/>
        <w:rPr>
          <w:sz w:val="30"/>
          <w:szCs w:val="30"/>
        </w:rPr>
      </w:pPr>
      <w:bookmarkStart w:id="55" w:name="_Toc162361710"/>
      <w:bookmarkStart w:id="56" w:name="_6. 评标"/>
      <w:r>
        <w:rPr>
          <w:sz w:val="30"/>
          <w:szCs w:val="30"/>
        </w:rPr>
        <w:t>6. 评标</w:t>
      </w:r>
      <w:bookmarkEnd w:id="52"/>
      <w:bookmarkEnd w:id="53"/>
      <w:bookmarkEnd w:id="54"/>
      <w:bookmarkEnd w:id="55"/>
    </w:p>
    <w:bookmarkEnd w:id="56"/>
    <w:p>
      <w:pPr>
        <w:pStyle w:val="47"/>
        <w:spacing w:before="0" w:after="0" w:line="360" w:lineRule="auto"/>
        <w:rPr>
          <w:rStyle w:val="43"/>
          <w:rFonts w:ascii="宋体" w:hAnsi="宋体"/>
          <w:sz w:val="24"/>
        </w:rPr>
      </w:pPr>
      <w:r>
        <w:rPr>
          <w:rStyle w:val="43"/>
          <w:rFonts w:ascii="宋体" w:hAnsi="宋体"/>
          <w:sz w:val="24"/>
        </w:rPr>
        <w:t>6.1 评标委员会</w:t>
      </w:r>
    </w:p>
    <w:p>
      <w:pPr>
        <w:spacing w:line="360" w:lineRule="auto"/>
        <w:ind w:firstLine="420" w:firstLineChars="200"/>
        <w:rPr>
          <w:rStyle w:val="43"/>
          <w:rFonts w:ascii="宋体" w:hAnsi="宋体"/>
        </w:rPr>
      </w:pPr>
      <w:r>
        <w:rPr>
          <w:rStyle w:val="43"/>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20" w:firstLineChars="200"/>
        <w:rPr>
          <w:rStyle w:val="43"/>
          <w:rFonts w:ascii="宋体" w:hAnsi="宋体"/>
        </w:rPr>
      </w:pPr>
      <w:r>
        <w:rPr>
          <w:rStyle w:val="43"/>
          <w:rFonts w:ascii="宋体" w:hAnsi="宋体"/>
        </w:rPr>
        <w:t>6.1.2 评标委员会成员有下列情形之一的，应当回避：</w:t>
      </w:r>
    </w:p>
    <w:p>
      <w:pPr>
        <w:spacing w:line="360" w:lineRule="auto"/>
        <w:ind w:firstLine="718" w:firstLineChars="342"/>
        <w:rPr>
          <w:rStyle w:val="43"/>
          <w:rFonts w:ascii="宋体" w:hAnsi="宋体"/>
        </w:rPr>
      </w:pPr>
      <w:r>
        <w:rPr>
          <w:rStyle w:val="43"/>
          <w:rFonts w:ascii="宋体" w:hAnsi="宋体"/>
        </w:rPr>
        <w:t>（1）招标人或投标人的主要负责人的近亲属；</w:t>
      </w:r>
    </w:p>
    <w:p>
      <w:pPr>
        <w:spacing w:line="360" w:lineRule="auto"/>
        <w:ind w:firstLine="718" w:firstLineChars="342"/>
        <w:rPr>
          <w:rStyle w:val="43"/>
          <w:rFonts w:ascii="宋体" w:hAnsi="宋体"/>
        </w:rPr>
      </w:pPr>
      <w:r>
        <w:rPr>
          <w:rStyle w:val="43"/>
          <w:rFonts w:ascii="宋体" w:hAnsi="宋体"/>
        </w:rPr>
        <w:t>（2）项目主管部门或者行政监督部门的人员；</w:t>
      </w:r>
    </w:p>
    <w:p>
      <w:pPr>
        <w:spacing w:line="360" w:lineRule="auto"/>
        <w:ind w:firstLine="718" w:firstLineChars="342"/>
        <w:rPr>
          <w:rStyle w:val="43"/>
          <w:rFonts w:ascii="宋体" w:hAnsi="宋体"/>
        </w:rPr>
      </w:pPr>
      <w:r>
        <w:rPr>
          <w:rStyle w:val="43"/>
          <w:rFonts w:ascii="宋体" w:hAnsi="宋体"/>
        </w:rPr>
        <w:t>（3）与投标人有经济利益关系，可能影响对投标公正评审的；</w:t>
      </w:r>
    </w:p>
    <w:p>
      <w:pPr>
        <w:spacing w:line="360" w:lineRule="auto"/>
        <w:ind w:firstLine="718" w:firstLineChars="342"/>
        <w:rPr>
          <w:rStyle w:val="43"/>
          <w:rFonts w:ascii="宋体" w:hAnsi="宋体"/>
        </w:rPr>
      </w:pPr>
      <w:r>
        <w:rPr>
          <w:rStyle w:val="43"/>
          <w:rFonts w:ascii="宋体" w:hAnsi="宋体"/>
        </w:rPr>
        <w:t>（4）曾因在招标、评标及其他与招标投标有关活动中从事违法行为而受过行政处罚或刑事处罚的。</w:t>
      </w:r>
    </w:p>
    <w:p>
      <w:pPr>
        <w:pStyle w:val="47"/>
        <w:spacing w:before="0" w:after="0" w:line="360" w:lineRule="auto"/>
        <w:rPr>
          <w:rStyle w:val="43"/>
          <w:rFonts w:ascii="宋体" w:hAnsi="宋体"/>
        </w:rPr>
      </w:pPr>
      <w:r>
        <w:rPr>
          <w:rStyle w:val="43"/>
          <w:rFonts w:ascii="宋体" w:hAnsi="宋体"/>
          <w:sz w:val="24"/>
        </w:rPr>
        <w:t>6.2 评标原则</w:t>
      </w:r>
      <w:r>
        <w:rPr>
          <w:rStyle w:val="43"/>
          <w:rFonts w:ascii="宋体" w:hAnsi="宋体"/>
        </w:rPr>
        <w:tab/>
      </w:r>
    </w:p>
    <w:p>
      <w:pPr>
        <w:spacing w:line="360" w:lineRule="auto"/>
        <w:ind w:firstLine="420" w:firstLineChars="200"/>
        <w:rPr>
          <w:rStyle w:val="43"/>
          <w:rFonts w:ascii="宋体" w:hAnsi="宋体"/>
        </w:rPr>
      </w:pPr>
      <w:r>
        <w:rPr>
          <w:rStyle w:val="43"/>
          <w:rFonts w:ascii="宋体" w:hAnsi="宋体"/>
        </w:rPr>
        <w:t>评标活动遵循公平、公正、科学和择优的原则。</w:t>
      </w:r>
    </w:p>
    <w:p>
      <w:pPr>
        <w:pStyle w:val="47"/>
        <w:spacing w:before="0" w:after="0" w:line="360" w:lineRule="auto"/>
        <w:rPr>
          <w:rStyle w:val="43"/>
          <w:rFonts w:ascii="宋体" w:hAnsi="宋体"/>
          <w:sz w:val="24"/>
        </w:rPr>
      </w:pPr>
      <w:r>
        <w:rPr>
          <w:rStyle w:val="43"/>
          <w:rFonts w:ascii="宋体" w:hAnsi="宋体"/>
          <w:sz w:val="24"/>
        </w:rPr>
        <w:t>6.3 评标</w:t>
      </w:r>
    </w:p>
    <w:p>
      <w:pPr>
        <w:spacing w:line="360" w:lineRule="auto"/>
        <w:ind w:firstLine="420" w:firstLineChars="200"/>
        <w:rPr>
          <w:rStyle w:val="43"/>
          <w:rFonts w:ascii="宋体" w:hAnsi="宋体"/>
        </w:rPr>
      </w:pPr>
      <w:r>
        <w:rPr>
          <w:rStyle w:val="43"/>
          <w:rFonts w:ascii="宋体" w:hAnsi="宋体"/>
        </w:rPr>
        <w:t>评标委员会按照第三章“评标办法”规定的方法、评审因素、标准和程序对投标文件进行评审。第三章“评标办法”没有规定的方法、评审因素和标准，不作为评标依据。</w:t>
      </w:r>
    </w:p>
    <w:p>
      <w:pPr>
        <w:pStyle w:val="4"/>
        <w:spacing w:before="0" w:after="0" w:line="360" w:lineRule="auto"/>
        <w:jc w:val="center"/>
        <w:rPr>
          <w:sz w:val="30"/>
          <w:szCs w:val="30"/>
        </w:rPr>
      </w:pPr>
      <w:bookmarkStart w:id="57" w:name="_Toc16063899"/>
      <w:bookmarkStart w:id="58" w:name="_Toc17817329"/>
      <w:bookmarkStart w:id="59" w:name="_Toc31317"/>
      <w:bookmarkStart w:id="60" w:name="_Toc162361711"/>
      <w:bookmarkStart w:id="61" w:name="_7. 合同授予"/>
      <w:r>
        <w:rPr>
          <w:sz w:val="30"/>
          <w:szCs w:val="30"/>
        </w:rPr>
        <w:t>7. 合同授予</w:t>
      </w:r>
      <w:bookmarkEnd w:id="57"/>
      <w:bookmarkEnd w:id="58"/>
      <w:bookmarkEnd w:id="59"/>
      <w:bookmarkEnd w:id="60"/>
    </w:p>
    <w:bookmarkEnd w:id="61"/>
    <w:p>
      <w:pPr>
        <w:pStyle w:val="47"/>
        <w:spacing w:before="0" w:after="0" w:line="360" w:lineRule="auto"/>
        <w:rPr>
          <w:rStyle w:val="43"/>
          <w:rFonts w:ascii="宋体" w:hAnsi="宋体"/>
          <w:sz w:val="24"/>
        </w:rPr>
      </w:pPr>
      <w:r>
        <w:rPr>
          <w:rStyle w:val="43"/>
          <w:rFonts w:ascii="宋体" w:hAnsi="宋体"/>
          <w:sz w:val="24"/>
        </w:rPr>
        <w:t>7.1 定标方式</w:t>
      </w:r>
    </w:p>
    <w:p>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pPr>
        <w:pStyle w:val="47"/>
        <w:spacing w:before="0" w:after="0" w:line="360" w:lineRule="auto"/>
        <w:rPr>
          <w:rStyle w:val="43"/>
          <w:rFonts w:ascii="宋体" w:hAnsi="宋体"/>
          <w:sz w:val="24"/>
        </w:rPr>
      </w:pPr>
      <w:r>
        <w:rPr>
          <w:rStyle w:val="43"/>
          <w:rFonts w:ascii="宋体" w:hAnsi="宋体"/>
          <w:sz w:val="24"/>
        </w:rPr>
        <w:t>7.2 中标通知</w:t>
      </w:r>
    </w:p>
    <w:p>
      <w:pPr>
        <w:spacing w:line="360" w:lineRule="auto"/>
        <w:ind w:firstLine="420" w:firstLineChars="200"/>
        <w:rPr>
          <w:rStyle w:val="43"/>
          <w:rFonts w:hint="default" w:ascii="宋体" w:hAnsi="宋体" w:eastAsia="宋体"/>
          <w:lang w:val="en-US" w:eastAsia="zh-CN"/>
        </w:rPr>
      </w:pPr>
      <w:r>
        <w:rPr>
          <w:rStyle w:val="43"/>
          <w:rFonts w:ascii="宋体" w:hAnsi="宋体"/>
        </w:rPr>
        <w:t>在本章</w:t>
      </w:r>
      <w:r>
        <w:rPr>
          <w:rStyle w:val="29"/>
          <w:rFonts w:ascii="宋体" w:hAnsi="宋体"/>
          <w:color w:val="auto"/>
          <w:sz w:val="21"/>
        </w:rPr>
        <w:t>第3.3款</w:t>
      </w:r>
      <w:r>
        <w:rPr>
          <w:rStyle w:val="43"/>
          <w:rFonts w:ascii="宋体" w:hAnsi="宋体"/>
        </w:rPr>
        <w:t>规定的投标有效期内，招标人以书面形式向中标人发出中标通知书，同时将中标结果通知未中标的投标人。</w:t>
      </w:r>
      <w:r>
        <w:rPr>
          <w:rStyle w:val="43"/>
          <w:rFonts w:hint="eastAsia" w:ascii="宋体" w:hAnsi="宋体"/>
          <w:b/>
          <w:bCs/>
          <w:color w:val="C00000"/>
          <w:lang w:val="en-US" w:eastAsia="zh-CN"/>
        </w:rPr>
        <w:t>中标通知包括但不限于电话、微信、邮件、书面通知等形式，中标人应在收到中标通知后立即对接进场事宜，不得以未收到书面中标通知书为由延误工期。</w:t>
      </w:r>
    </w:p>
    <w:p>
      <w:pPr>
        <w:pStyle w:val="47"/>
        <w:spacing w:before="0" w:after="0" w:line="360" w:lineRule="auto"/>
        <w:rPr>
          <w:rStyle w:val="43"/>
          <w:rFonts w:ascii="宋体" w:hAnsi="宋体"/>
          <w:sz w:val="24"/>
        </w:rPr>
      </w:pPr>
      <w:r>
        <w:rPr>
          <w:rStyle w:val="43"/>
          <w:rFonts w:ascii="宋体" w:hAnsi="宋体"/>
          <w:sz w:val="24"/>
        </w:rPr>
        <w:t>7.3 签订合同</w:t>
      </w:r>
    </w:p>
    <w:p>
      <w:pPr>
        <w:spacing w:line="360" w:lineRule="auto"/>
        <w:ind w:firstLine="420" w:firstLineChars="200"/>
        <w:rPr>
          <w:rStyle w:val="43"/>
          <w:rFonts w:ascii="宋体" w:hAnsi="宋体"/>
        </w:rPr>
      </w:pPr>
      <w:r>
        <w:rPr>
          <w:rStyle w:val="43"/>
          <w:rFonts w:ascii="宋体" w:hAnsi="宋体"/>
        </w:rPr>
        <w:t xml:space="preserve">7.3.1招标人和中标人应当自中标通知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360" w:lineRule="auto"/>
        <w:ind w:firstLine="420" w:firstLineChars="200"/>
        <w:rPr>
          <w:rStyle w:val="43"/>
          <w:rFonts w:ascii="宋体" w:hAnsi="宋体"/>
        </w:rPr>
      </w:pPr>
      <w:r>
        <w:rPr>
          <w:rStyle w:val="43"/>
          <w:rFonts w:ascii="宋体" w:hAnsi="宋体"/>
        </w:rPr>
        <w:t xml:space="preserve">7.3.2发出中标通知书后，招标人无正当理由拒签合同的，招标人向中标人退还投标保证金；给中标人造成损失的，还应当赔偿损失。 </w:t>
      </w:r>
    </w:p>
    <w:p>
      <w:pPr>
        <w:pStyle w:val="4"/>
        <w:spacing w:before="0" w:after="0" w:line="360" w:lineRule="auto"/>
        <w:jc w:val="center"/>
        <w:rPr>
          <w:sz w:val="30"/>
          <w:szCs w:val="30"/>
        </w:rPr>
      </w:pPr>
      <w:bookmarkStart w:id="62" w:name="_Toc162361712"/>
      <w:bookmarkStart w:id="63" w:name="_Toc19379"/>
      <w:bookmarkStart w:id="64" w:name="_Toc16063900"/>
      <w:bookmarkStart w:id="65" w:name="_Toc17817330"/>
      <w:bookmarkStart w:id="66" w:name="_8. 重新招标和不再招标"/>
      <w:r>
        <w:rPr>
          <w:sz w:val="30"/>
          <w:szCs w:val="30"/>
        </w:rPr>
        <w:t>8. 重新招标和不再招标</w:t>
      </w:r>
      <w:bookmarkEnd w:id="62"/>
      <w:bookmarkEnd w:id="63"/>
      <w:bookmarkEnd w:id="64"/>
      <w:bookmarkEnd w:id="65"/>
    </w:p>
    <w:bookmarkEnd w:id="66"/>
    <w:p>
      <w:pPr>
        <w:pStyle w:val="47"/>
        <w:spacing w:before="0" w:after="0" w:line="360" w:lineRule="auto"/>
        <w:rPr>
          <w:rStyle w:val="43"/>
          <w:rFonts w:ascii="宋体" w:hAnsi="宋体"/>
          <w:sz w:val="24"/>
        </w:rPr>
      </w:pPr>
      <w:r>
        <w:rPr>
          <w:rStyle w:val="43"/>
          <w:rFonts w:ascii="宋体" w:hAnsi="宋体"/>
          <w:sz w:val="24"/>
        </w:rPr>
        <w:t>8.1 重新招标</w:t>
      </w:r>
    </w:p>
    <w:p>
      <w:pPr>
        <w:spacing w:line="360" w:lineRule="auto"/>
        <w:ind w:firstLine="420" w:firstLineChars="200"/>
        <w:rPr>
          <w:rStyle w:val="43"/>
          <w:rFonts w:ascii="宋体" w:hAnsi="宋体"/>
        </w:rPr>
      </w:pPr>
      <w:r>
        <w:rPr>
          <w:rStyle w:val="43"/>
          <w:rFonts w:ascii="宋体" w:hAnsi="宋体"/>
        </w:rPr>
        <w:t>有下列情形之一的，招标人将重新招标：</w:t>
      </w:r>
    </w:p>
    <w:p>
      <w:pPr>
        <w:spacing w:line="360" w:lineRule="auto"/>
        <w:ind w:firstLine="359" w:firstLineChars="171"/>
        <w:rPr>
          <w:rStyle w:val="43"/>
          <w:rFonts w:ascii="宋体" w:hAnsi="宋体"/>
        </w:rPr>
      </w:pPr>
      <w:r>
        <w:rPr>
          <w:rStyle w:val="43"/>
          <w:rFonts w:ascii="宋体" w:hAnsi="宋体"/>
        </w:rPr>
        <w:t>（1）投标截止时间止，投标人少于3个的；</w:t>
      </w:r>
    </w:p>
    <w:p>
      <w:pPr>
        <w:spacing w:line="360" w:lineRule="auto"/>
        <w:ind w:firstLine="359" w:firstLineChars="171"/>
        <w:rPr>
          <w:rStyle w:val="43"/>
          <w:rFonts w:ascii="宋体" w:hAnsi="宋体"/>
        </w:rPr>
      </w:pPr>
      <w:r>
        <w:rPr>
          <w:rStyle w:val="43"/>
          <w:rFonts w:ascii="宋体" w:hAnsi="宋体"/>
        </w:rPr>
        <w:t>（2）经评标委员会评审后否决所有投标的。</w:t>
      </w:r>
    </w:p>
    <w:p>
      <w:pPr>
        <w:pStyle w:val="47"/>
        <w:spacing w:before="0" w:after="0" w:line="360" w:lineRule="auto"/>
        <w:rPr>
          <w:rStyle w:val="43"/>
          <w:rFonts w:ascii="宋体" w:hAnsi="宋体"/>
          <w:sz w:val="24"/>
        </w:rPr>
      </w:pPr>
      <w:r>
        <w:rPr>
          <w:rStyle w:val="43"/>
          <w:rFonts w:ascii="宋体" w:hAnsi="宋体"/>
          <w:sz w:val="24"/>
        </w:rPr>
        <w:t>8.2 不再招标</w:t>
      </w:r>
    </w:p>
    <w:p>
      <w:pPr>
        <w:spacing w:line="360" w:lineRule="auto"/>
        <w:ind w:firstLine="420" w:firstLineChars="200"/>
        <w:rPr>
          <w:rStyle w:val="43"/>
          <w:rFonts w:ascii="宋体" w:hAnsi="宋体"/>
        </w:rPr>
      </w:pPr>
      <w:r>
        <w:rPr>
          <w:rStyle w:val="43"/>
          <w:rFonts w:ascii="宋体" w:hAnsi="宋体"/>
        </w:rPr>
        <w:t>重新招标后投标人仍少于3个或者所有投标被否决的，属于必须审批或核准的工程建设项目，经原审批或核准部门批准后不再进行招标。</w:t>
      </w:r>
    </w:p>
    <w:p>
      <w:pPr>
        <w:pStyle w:val="47"/>
        <w:keepLines w:val="0"/>
        <w:pageBreakBefore w:val="0"/>
        <w:widowControl w:val="0"/>
        <w:kinsoku/>
        <w:wordWrap/>
        <w:overflowPunct/>
        <w:topLinePunct w:val="0"/>
        <w:autoSpaceDE/>
        <w:autoSpaceDN/>
        <w:bidi w:val="0"/>
        <w:snapToGrid w:val="0"/>
        <w:spacing w:line="312" w:lineRule="auto"/>
        <w:textAlignment w:val="auto"/>
        <w:rPr>
          <w:rStyle w:val="43"/>
          <w:rFonts w:hint="eastAsia" w:ascii="宋体" w:hAnsi="宋体" w:eastAsia="宋体" w:cs="宋体"/>
          <w:sz w:val="21"/>
          <w:szCs w:val="21"/>
        </w:rPr>
      </w:pPr>
      <w:r>
        <w:rPr>
          <w:rStyle w:val="43"/>
          <w:rFonts w:hint="eastAsia" w:ascii="宋体" w:hAnsi="宋体" w:eastAsia="宋体" w:cs="宋体"/>
          <w:sz w:val="21"/>
          <w:szCs w:val="21"/>
        </w:rPr>
        <w:t>8.3终止招标</w:t>
      </w:r>
    </w:p>
    <w:p>
      <w:pPr>
        <w:keepLines w:val="0"/>
        <w:pageBreakBefore w:val="0"/>
        <w:widowControl w:val="0"/>
        <w:kinsoku/>
        <w:wordWrap/>
        <w:overflowPunct/>
        <w:topLinePunct w:val="0"/>
        <w:autoSpaceDE/>
        <w:autoSpaceDN/>
        <w:bidi w:val="0"/>
        <w:snapToGrid w:val="0"/>
        <w:spacing w:line="312" w:lineRule="auto"/>
        <w:ind w:left="420" w:leftChars="200"/>
        <w:textAlignment w:val="auto"/>
        <w:rPr>
          <w:rStyle w:val="43"/>
          <w:rFonts w:hint="eastAsia" w:ascii="宋体" w:hAnsi="宋体" w:eastAsia="宋体" w:cs="宋体"/>
          <w:sz w:val="21"/>
          <w:szCs w:val="21"/>
        </w:rPr>
      </w:pPr>
      <w:r>
        <w:rPr>
          <w:rStyle w:val="43"/>
          <w:rFonts w:hint="eastAsia" w:ascii="宋体" w:hAnsi="宋体" w:eastAsia="宋体" w:cs="宋体"/>
          <w:sz w:val="21"/>
          <w:szCs w:val="21"/>
        </w:rPr>
        <w:t>出现下列情形之一，招标人有权否决所有投标人的投标，并终止招标：</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（1）符合条件的投标人或者对招标文件做实质响应的投标人不足三家的；</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（2）出现影响采购公正的违法、违规行为的；</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（3）因重大变故，采购任务取消的；</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（4）评标委员会经评审，认为所有投标都不符合招标文件要求的；</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（5）招标人认为其他应终止招标的情形；</w:t>
      </w:r>
      <w:r>
        <w:rPr>
          <w:rStyle w:val="43"/>
          <w:rFonts w:hint="eastAsia" w:ascii="宋体" w:hAnsi="宋体" w:eastAsia="宋体" w:cs="宋体"/>
          <w:sz w:val="21"/>
          <w:szCs w:val="21"/>
        </w:rPr>
        <w:br w:type="textWrapping"/>
      </w:r>
      <w:r>
        <w:rPr>
          <w:rStyle w:val="43"/>
          <w:rFonts w:hint="eastAsia" w:ascii="宋体" w:hAnsi="宋体" w:eastAsia="宋体" w:cs="宋体"/>
          <w:sz w:val="21"/>
          <w:szCs w:val="21"/>
        </w:rPr>
        <w:t>（6）投标人承诺并同意因招标人公司政策变化引起的随时终止项目的情形，并自行承担由此带来的一切损失。</w:t>
      </w:r>
    </w:p>
    <w:p>
      <w:pPr>
        <w:spacing w:line="360" w:lineRule="auto"/>
        <w:ind w:firstLine="420" w:firstLineChars="200"/>
        <w:rPr>
          <w:rStyle w:val="43"/>
          <w:rFonts w:ascii="宋体" w:hAnsi="宋体"/>
        </w:rPr>
      </w:pPr>
    </w:p>
    <w:p>
      <w:pPr>
        <w:pStyle w:val="4"/>
        <w:spacing w:before="0" w:after="0" w:line="360" w:lineRule="auto"/>
        <w:jc w:val="center"/>
        <w:rPr>
          <w:sz w:val="30"/>
          <w:szCs w:val="30"/>
        </w:rPr>
      </w:pPr>
      <w:bookmarkStart w:id="67" w:name="_Toc162361713"/>
      <w:bookmarkStart w:id="68" w:name="_Toc17817331"/>
      <w:bookmarkStart w:id="69" w:name="_Toc16063901"/>
      <w:bookmarkStart w:id="70" w:name="_Toc21395"/>
      <w:bookmarkStart w:id="71" w:name="_9. 纪律和监督"/>
      <w:r>
        <w:rPr>
          <w:sz w:val="30"/>
          <w:szCs w:val="30"/>
        </w:rPr>
        <w:t>9. 纪律和监督</w:t>
      </w:r>
      <w:bookmarkEnd w:id="67"/>
      <w:bookmarkEnd w:id="68"/>
      <w:bookmarkEnd w:id="69"/>
      <w:bookmarkEnd w:id="70"/>
    </w:p>
    <w:bookmarkEnd w:id="71"/>
    <w:p>
      <w:pPr>
        <w:pStyle w:val="47"/>
        <w:spacing w:before="0" w:after="0" w:line="360" w:lineRule="auto"/>
        <w:rPr>
          <w:rStyle w:val="43"/>
          <w:rFonts w:ascii="宋体" w:hAnsi="宋体"/>
          <w:sz w:val="24"/>
        </w:rPr>
      </w:pPr>
      <w:r>
        <w:rPr>
          <w:rStyle w:val="43"/>
          <w:rFonts w:ascii="宋体" w:hAnsi="宋体"/>
          <w:sz w:val="24"/>
        </w:rPr>
        <w:t>9.1 对招标人的纪律要求</w:t>
      </w:r>
    </w:p>
    <w:p>
      <w:pPr>
        <w:spacing w:line="360" w:lineRule="auto"/>
        <w:ind w:firstLine="420" w:firstLineChars="200"/>
        <w:rPr>
          <w:rStyle w:val="43"/>
          <w:rFonts w:ascii="宋体" w:hAnsi="宋体"/>
        </w:rPr>
      </w:pPr>
      <w:r>
        <w:rPr>
          <w:rStyle w:val="43"/>
          <w:rFonts w:ascii="宋体" w:hAnsi="宋体"/>
        </w:rPr>
        <w:t>招标人不得泄漏招标投标活动中应当保密的情况和资料，不得与投标人串通损害国家利益、社会公共利益或者他人合法权益。</w:t>
      </w:r>
    </w:p>
    <w:p>
      <w:pPr>
        <w:pStyle w:val="47"/>
        <w:spacing w:before="0" w:after="0" w:line="360" w:lineRule="auto"/>
        <w:rPr>
          <w:rStyle w:val="43"/>
          <w:rFonts w:ascii="宋体" w:hAnsi="宋体"/>
          <w:sz w:val="24"/>
        </w:rPr>
      </w:pPr>
      <w:r>
        <w:rPr>
          <w:rStyle w:val="43"/>
          <w:rFonts w:ascii="宋体" w:hAnsi="宋体"/>
          <w:sz w:val="24"/>
        </w:rPr>
        <w:t>9.2 对投标人的纪律要求</w:t>
      </w:r>
    </w:p>
    <w:p>
      <w:pPr>
        <w:spacing w:line="360" w:lineRule="auto"/>
        <w:ind w:firstLine="420" w:firstLineChars="200"/>
        <w:rPr>
          <w:rStyle w:val="43"/>
          <w:rFonts w:ascii="宋体" w:hAnsi="宋体"/>
        </w:rPr>
      </w:pPr>
      <w:r>
        <w:rPr>
          <w:rStyle w:val="43"/>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7"/>
        <w:spacing w:before="0" w:after="0" w:line="360" w:lineRule="auto"/>
        <w:rPr>
          <w:rStyle w:val="43"/>
          <w:rFonts w:ascii="宋体" w:hAnsi="宋体"/>
          <w:sz w:val="24"/>
        </w:rPr>
      </w:pPr>
      <w:r>
        <w:rPr>
          <w:rStyle w:val="43"/>
          <w:rFonts w:ascii="宋体" w:hAnsi="宋体"/>
          <w:sz w:val="24"/>
        </w:rPr>
        <w:t>9.3 对评标委员会成员的纪律要求</w:t>
      </w:r>
    </w:p>
    <w:p>
      <w:pPr>
        <w:spacing w:line="360" w:lineRule="auto"/>
        <w:ind w:firstLine="420" w:firstLineChars="200"/>
        <w:rPr>
          <w:rStyle w:val="43"/>
          <w:rFonts w:ascii="宋体" w:hAnsi="宋体"/>
        </w:rPr>
      </w:pPr>
      <w:r>
        <w:rPr>
          <w:rStyle w:val="43"/>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47"/>
        <w:spacing w:before="0" w:after="0" w:line="360" w:lineRule="auto"/>
        <w:rPr>
          <w:rStyle w:val="43"/>
          <w:rFonts w:ascii="宋体" w:hAnsi="宋体"/>
          <w:sz w:val="24"/>
        </w:rPr>
      </w:pPr>
      <w:r>
        <w:rPr>
          <w:rStyle w:val="43"/>
          <w:rFonts w:ascii="宋体" w:hAnsi="宋体"/>
          <w:sz w:val="24"/>
        </w:rPr>
        <w:t>9.4 对与评标活动有关的工作人员的纪律要求</w:t>
      </w:r>
    </w:p>
    <w:p>
      <w:pPr>
        <w:spacing w:line="360" w:lineRule="auto"/>
        <w:ind w:firstLine="420" w:firstLineChars="200"/>
        <w:rPr>
          <w:rStyle w:val="43"/>
          <w:rFonts w:ascii="宋体" w:hAnsi="宋体"/>
        </w:rPr>
      </w:pPr>
      <w:r>
        <w:rPr>
          <w:rStyle w:val="43"/>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47"/>
        <w:spacing w:before="0" w:after="0" w:line="360" w:lineRule="auto"/>
        <w:rPr>
          <w:rStyle w:val="43"/>
          <w:rFonts w:ascii="宋体" w:hAnsi="宋体"/>
          <w:sz w:val="24"/>
        </w:rPr>
      </w:pPr>
      <w:r>
        <w:rPr>
          <w:rStyle w:val="43"/>
          <w:rFonts w:ascii="宋体" w:hAnsi="宋体"/>
          <w:sz w:val="24"/>
        </w:rPr>
        <w:t>9.5 投诉</w:t>
      </w:r>
    </w:p>
    <w:p>
      <w:pPr>
        <w:spacing w:line="360" w:lineRule="auto"/>
        <w:ind w:firstLine="420" w:firstLineChars="200"/>
        <w:rPr>
          <w:rStyle w:val="43"/>
          <w:rFonts w:ascii="宋体" w:hAnsi="宋体"/>
        </w:rPr>
      </w:pPr>
      <w:r>
        <w:rPr>
          <w:rStyle w:val="43"/>
          <w:rFonts w:ascii="宋体" w:hAnsi="宋体"/>
        </w:rPr>
        <w:t>投标人和其他利害关系人认为本次招标活动违反法律、法规和规章规定的，有权向有关行政监督部门投诉。</w:t>
      </w:r>
    </w:p>
    <w:p>
      <w:pPr>
        <w:spacing w:line="360" w:lineRule="auto"/>
        <w:ind w:firstLine="420" w:firstLineChars="200"/>
        <w:rPr>
          <w:rStyle w:val="43"/>
          <w:rFonts w:ascii="宋体" w:hAnsi="宋体"/>
        </w:rPr>
      </w:pPr>
      <w:r>
        <w:rPr>
          <w:rStyle w:val="43"/>
          <w:rFonts w:ascii="宋体" w:hAnsi="宋体"/>
        </w:rPr>
        <w:t>9.5.1潜在投标人或其他利害关系人对招标文件有异议的，应当在投标截止时间10日前向招标人提出。</w:t>
      </w:r>
    </w:p>
    <w:p>
      <w:pPr>
        <w:spacing w:line="360" w:lineRule="auto"/>
        <w:ind w:firstLine="420" w:firstLineChars="200"/>
        <w:rPr>
          <w:rStyle w:val="43"/>
          <w:rFonts w:ascii="宋体" w:hAnsi="宋体"/>
        </w:rPr>
      </w:pPr>
      <w:r>
        <w:rPr>
          <w:rStyle w:val="43"/>
          <w:rFonts w:ascii="宋体" w:hAnsi="宋体"/>
        </w:rPr>
        <w:t>9.5.2投标人对开标有异议，应在开标现场向招标人提出。</w:t>
      </w:r>
    </w:p>
    <w:p>
      <w:pPr>
        <w:spacing w:line="360" w:lineRule="auto"/>
        <w:ind w:firstLine="420" w:firstLineChars="200"/>
        <w:rPr>
          <w:rStyle w:val="43"/>
          <w:rFonts w:ascii="宋体" w:hAnsi="宋体"/>
        </w:rPr>
      </w:pPr>
      <w:r>
        <w:rPr>
          <w:rStyle w:val="43"/>
          <w:rFonts w:ascii="宋体" w:hAnsi="宋体"/>
        </w:rPr>
        <w:t>9.5.3投标人或者其他利害关系人对依法必须进行招标的项目的评标结果有异议的，应当在中标候选人公示期间向招标人提出。</w:t>
      </w:r>
    </w:p>
    <w:p>
      <w:pPr>
        <w:spacing w:line="360" w:lineRule="auto"/>
        <w:ind w:firstLine="420" w:firstLineChars="200"/>
        <w:rPr>
          <w:rStyle w:val="43"/>
          <w:rFonts w:ascii="宋体" w:hAnsi="宋体"/>
        </w:rPr>
      </w:pPr>
      <w:r>
        <w:rPr>
          <w:rStyle w:val="43"/>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pPr>
        <w:pStyle w:val="4"/>
        <w:spacing w:before="0" w:after="0" w:line="360" w:lineRule="auto"/>
        <w:jc w:val="center"/>
        <w:rPr>
          <w:sz w:val="30"/>
          <w:szCs w:val="30"/>
        </w:rPr>
      </w:pPr>
      <w:bookmarkStart w:id="72" w:name="_Toc44666935"/>
      <w:bookmarkStart w:id="73" w:name="_Toc162361714"/>
      <w:bookmarkStart w:id="74" w:name="_10.中标人瑕疵滞后发现的处理原则"/>
      <w:bookmarkStart w:id="75" w:name="_Toc11499"/>
      <w:bookmarkStart w:id="76" w:name="_Toc16063902"/>
      <w:bookmarkStart w:id="77" w:name="_Toc17817332"/>
      <w:r>
        <w:rPr>
          <w:rFonts w:hint="eastAsia"/>
          <w:sz w:val="30"/>
          <w:szCs w:val="30"/>
        </w:rPr>
        <w:t>1</w:t>
      </w:r>
      <w:r>
        <w:rPr>
          <w:sz w:val="30"/>
          <w:szCs w:val="30"/>
        </w:rPr>
        <w:t>0.</w:t>
      </w:r>
      <w:r>
        <w:rPr>
          <w:rFonts w:hint="eastAsia"/>
          <w:sz w:val="30"/>
          <w:szCs w:val="30"/>
        </w:rPr>
        <w:t>中标人瑕疵滞后发现的处理原则</w:t>
      </w:r>
      <w:bookmarkEnd w:id="72"/>
      <w:bookmarkEnd w:id="73"/>
    </w:p>
    <w:bookmarkEnd w:id="74"/>
    <w:p>
      <w:pPr>
        <w:pStyle w:val="9"/>
        <w:spacing w:line="360" w:lineRule="auto"/>
        <w:ind w:firstLine="420" w:firstLineChars="200"/>
        <w:jc w:val="left"/>
        <w:rPr>
          <w:rStyle w:val="43"/>
          <w:rFonts w:ascii="宋体" w:hAnsi="宋体" w:eastAsia="宋体"/>
          <w:sz w:val="21"/>
          <w:szCs w:val="24"/>
        </w:rPr>
      </w:pPr>
      <w:r>
        <w:rPr>
          <w:rStyle w:val="43"/>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4"/>
        <w:spacing w:before="0" w:after="0" w:line="360" w:lineRule="auto"/>
        <w:jc w:val="center"/>
        <w:rPr>
          <w:sz w:val="30"/>
          <w:szCs w:val="30"/>
        </w:rPr>
      </w:pPr>
      <w:bookmarkStart w:id="78" w:name="_Toc162361715"/>
      <w:bookmarkStart w:id="79" w:name="_11. 需要补充的其他内容"/>
      <w:r>
        <w:rPr>
          <w:sz w:val="30"/>
          <w:szCs w:val="30"/>
        </w:rPr>
        <w:t>1</w:t>
      </w:r>
      <w:r>
        <w:rPr>
          <w:rFonts w:hint="eastAsia"/>
          <w:sz w:val="30"/>
          <w:szCs w:val="30"/>
        </w:rPr>
        <w:t>1</w:t>
      </w:r>
      <w:r>
        <w:rPr>
          <w:sz w:val="30"/>
          <w:szCs w:val="30"/>
        </w:rPr>
        <w:t>. 需要补充的其他内容</w:t>
      </w:r>
      <w:bookmarkEnd w:id="75"/>
      <w:bookmarkEnd w:id="76"/>
      <w:bookmarkEnd w:id="77"/>
      <w:bookmarkEnd w:id="78"/>
    </w:p>
    <w:bookmarkEnd w:id="79"/>
    <w:p>
      <w:pPr>
        <w:spacing w:line="360" w:lineRule="auto"/>
        <w:ind w:firstLine="420" w:firstLineChars="200"/>
        <w:rPr>
          <w:rStyle w:val="43"/>
          <w:rFonts w:ascii="宋体" w:hAnsi="宋体"/>
        </w:rPr>
      </w:pPr>
      <w:r>
        <w:rPr>
          <w:rStyle w:val="43"/>
          <w:rFonts w:ascii="宋体" w:hAnsi="宋体"/>
        </w:rPr>
        <w:t>需要补充的其他内容：见投标人须知前附表。</w:t>
      </w:r>
    </w:p>
    <w:p>
      <w:pPr>
        <w:pStyle w:val="49"/>
        <w:spacing w:before="0" w:after="0"/>
        <w:jc w:val="center"/>
        <w:rPr>
          <w:rStyle w:val="43"/>
          <w:rFonts w:ascii="宋体" w:hAnsi="宋体"/>
          <w:i w:val="0"/>
          <w:iCs w:val="0"/>
        </w:rPr>
      </w:pPr>
      <w:r>
        <w:rPr>
          <w:rStyle w:val="43"/>
          <w:rFonts w:ascii="宋体" w:hAnsi="宋体"/>
          <w:i w:val="0"/>
          <w:iCs w:val="0"/>
        </w:rPr>
        <w:br w:type="page"/>
      </w:r>
    </w:p>
    <w:p>
      <w:pPr>
        <w:pStyle w:val="3"/>
        <w:spacing w:line="360" w:lineRule="auto"/>
        <w:jc w:val="center"/>
        <w:rPr>
          <w:i w:val="0"/>
          <w:iCs w:val="0"/>
          <w:sz w:val="32"/>
          <w:szCs w:val="32"/>
        </w:rPr>
      </w:pPr>
      <w:bookmarkStart w:id="80" w:name="_Toc17817333"/>
      <w:bookmarkStart w:id="81" w:name="_Toc162361716"/>
      <w:bookmarkStart w:id="82" w:name="_Toc31391"/>
      <w:bookmarkStart w:id="83" w:name="_第三章 评标办法"/>
      <w:r>
        <w:rPr>
          <w:i w:val="0"/>
          <w:iCs w:val="0"/>
          <w:sz w:val="32"/>
          <w:szCs w:val="32"/>
        </w:rPr>
        <w:t>第三章 评标办法</w:t>
      </w:r>
      <w:bookmarkEnd w:id="80"/>
      <w:bookmarkEnd w:id="81"/>
      <w:bookmarkEnd w:id="82"/>
    </w:p>
    <w:bookmarkEnd w:id="83"/>
    <w:p>
      <w:pPr>
        <w:pStyle w:val="4"/>
        <w:spacing w:before="0" w:after="0" w:line="360" w:lineRule="auto"/>
        <w:jc w:val="center"/>
        <w:rPr>
          <w:sz w:val="30"/>
          <w:szCs w:val="30"/>
        </w:rPr>
      </w:pPr>
      <w:bookmarkStart w:id="84" w:name="_Toc162361717"/>
      <w:bookmarkStart w:id="85" w:name="_Toc151132049"/>
      <w:bookmarkStart w:id="86" w:name="_一、评分细则"/>
      <w:r>
        <w:rPr>
          <w:rFonts w:hint="eastAsia"/>
          <w:sz w:val="30"/>
          <w:szCs w:val="30"/>
        </w:rPr>
        <w:t>一</w:t>
      </w:r>
      <w:r>
        <w:rPr>
          <w:sz w:val="30"/>
          <w:szCs w:val="30"/>
        </w:rPr>
        <w:t>、</w:t>
      </w:r>
      <w:r>
        <w:rPr>
          <w:rFonts w:hint="eastAsia"/>
          <w:sz w:val="30"/>
          <w:szCs w:val="30"/>
        </w:rPr>
        <w:t>评分细则</w:t>
      </w:r>
      <w:bookmarkEnd w:id="84"/>
      <w:bookmarkEnd w:id="85"/>
    </w:p>
    <w:bookmarkEnd w:id="86"/>
    <w:p>
      <w:pPr>
        <w:pStyle w:val="47"/>
        <w:spacing w:before="0" w:after="0"/>
        <w:rPr>
          <w:rStyle w:val="43"/>
          <w:rFonts w:ascii="宋体" w:hAnsi="宋体"/>
          <w:sz w:val="24"/>
        </w:rPr>
      </w:pPr>
      <w:r>
        <w:rPr>
          <w:rFonts w:hint="eastAsia" w:ascii="宋体" w:hAnsi="宋体" w:cs="宋体"/>
          <w:b/>
          <w:bCs/>
          <w:sz w:val="24"/>
        </w:rPr>
        <w:t>本次评标采用商务标评标的模式。进入商务标评比资格的投标方</w:t>
      </w:r>
      <w:r>
        <w:rPr>
          <w:rFonts w:hint="eastAsia" w:ascii="宋体" w:hAnsi="宋体" w:cs="宋体"/>
          <w:b/>
          <w:bCs/>
          <w:sz w:val="24"/>
          <w:lang w:eastAsia="zh-CN"/>
        </w:rPr>
        <w:t>，</w:t>
      </w:r>
      <w:r>
        <w:rPr>
          <w:rFonts w:hint="eastAsia" w:ascii="宋体" w:hAnsi="宋体" w:cs="宋体"/>
          <w:sz w:val="24"/>
        </w:rPr>
        <w:t>进行商务标的评标，</w:t>
      </w:r>
      <w:r>
        <w:rPr>
          <w:rFonts w:hint="eastAsia" w:ascii="宋体" w:cs="宋体"/>
          <w:sz w:val="24"/>
          <w:lang w:bidi="ar"/>
        </w:rPr>
        <w:t>招标人有权根据项目情况，商务标采取多轮评标模式，最终根据商务标的报价高低确定各投标人排序，原则上按照评标合理最低价确定推荐中标人（不保证最低价格中标），对未中标单位不做任何解释。</w:t>
      </w:r>
      <w:r>
        <w:rPr>
          <w:rFonts w:hint="eastAsia" w:ascii="宋体" w:hAnsi="宋体" w:cs="宋体"/>
          <w:sz w:val="24"/>
        </w:rPr>
        <w:t>评分细则如下：</w:t>
      </w:r>
      <w:bookmarkStart w:id="87" w:name="_Toc3914"/>
      <w:bookmarkStart w:id="88" w:name="_Toc17817335"/>
    </w:p>
    <w:p>
      <w:pPr>
        <w:pStyle w:val="47"/>
        <w:spacing w:before="0" w:after="0"/>
        <w:jc w:val="center"/>
        <w:rPr>
          <w:rStyle w:val="43"/>
          <w:rFonts w:ascii="宋体" w:hAnsi="宋体"/>
          <w:sz w:val="24"/>
        </w:rPr>
      </w:pPr>
    </w:p>
    <w:p>
      <w:pPr>
        <w:pStyle w:val="47"/>
        <w:spacing w:before="0" w:after="0"/>
        <w:jc w:val="center"/>
        <w:rPr>
          <w:rStyle w:val="43"/>
          <w:rFonts w:ascii="宋体" w:hAnsi="宋体"/>
          <w:sz w:val="24"/>
        </w:rPr>
      </w:pPr>
      <w:r>
        <w:rPr>
          <w:rStyle w:val="43"/>
          <w:rFonts w:ascii="宋体" w:hAnsi="宋体"/>
          <w:sz w:val="24"/>
        </w:rPr>
        <w:t>商务标评分细则</w:t>
      </w:r>
    </w:p>
    <w:tbl>
      <w:tblPr>
        <w:tblStyle w:val="23"/>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0"/>
                <w:szCs w:val="22"/>
              </w:rPr>
            </w:pPr>
            <w:r>
              <w:rPr>
                <w:rFonts w:hint="eastAsia" w:ascii="宋体" w:hAnsi="宋体" w:cs="宋体"/>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rPr>
            </w:pPr>
            <w:r>
              <w:rPr>
                <w:rStyle w:val="43"/>
                <w:rFonts w:hint="eastAsia" w:ascii="宋体" w:hAnsi="宋体"/>
                <w:bCs/>
              </w:rPr>
              <w:t>/</w:t>
            </w:r>
          </w:p>
        </w:tc>
        <w:tc>
          <w:tcPr>
            <w:tcW w:w="6764"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ind w:firstLine="422" w:firstLineChars="200"/>
              <w:jc w:val="left"/>
              <w:rPr>
                <w:rFonts w:ascii="宋体" w:hAnsi="宋体" w:cs="宋体"/>
                <w:bCs/>
                <w:szCs w:val="21"/>
                <w:lang w:bidi="ar"/>
              </w:rPr>
            </w:pPr>
            <w:r>
              <w:rPr>
                <w:rFonts w:hint="eastAsia" w:ascii="宋体" w:hAnsi="宋体" w:eastAsia="宋体" w:cs="宋体"/>
                <w:b/>
                <w:color w:val="C00000"/>
                <w:szCs w:val="21"/>
                <w:lang w:bidi="ar"/>
              </w:rPr>
              <w:t>在开标价的基础上进行至少3轮商务谈判</w:t>
            </w:r>
            <w:r>
              <w:rPr>
                <w:rFonts w:hint="eastAsia" w:ascii="宋体" w:hAnsi="宋体" w:cs="宋体"/>
                <w:bCs/>
                <w:szCs w:val="21"/>
                <w:lang w:bidi="ar"/>
              </w:rPr>
              <w:t>并实行淘汰制，根据最终有效报价由低到高进行排序，报价最低者排名第一，报价次低者排名第二，以此类推，报价最高者排名最后。最终排名第一的推荐为拟中标人，但是报价明显低于成本的除外。</w:t>
            </w:r>
          </w:p>
          <w:p>
            <w:pPr>
              <w:spacing w:line="360" w:lineRule="auto"/>
              <w:ind w:firstLine="422" w:firstLineChars="200"/>
              <w:jc w:val="left"/>
            </w:pPr>
            <w:r>
              <w:rPr>
                <w:rFonts w:hint="eastAsia" w:ascii="宋体" w:hAnsi="宋体" w:cs="宋体"/>
                <w:b/>
                <w:color w:val="C00000"/>
                <w:szCs w:val="21"/>
                <w:lang w:bidi="ar"/>
              </w:rPr>
              <w:t>拟中标人应按最终澄清报价调整各分项单价，原则上要求同比例下调，不允许采用不平衡报价。如发现非客观因素不平衡报价，招标人有权对其高报价部分予以调低，同时降低拟中标总价，结算时按不利于投标人的方式结算。</w:t>
            </w:r>
          </w:p>
        </w:tc>
      </w:tr>
    </w:tbl>
    <w:p>
      <w:pPr>
        <w:spacing w:line="360" w:lineRule="auto"/>
        <w:jc w:val="left"/>
        <w:rPr>
          <w:rFonts w:hint="eastAsia" w:ascii="宋体" w:hAnsi="宋体" w:eastAsia="宋体" w:cs="宋体"/>
          <w:b/>
          <w:color w:val="C00000"/>
          <w:szCs w:val="21"/>
          <w:lang w:val="en-US" w:eastAsia="zh-CN" w:bidi="ar"/>
        </w:rPr>
      </w:pPr>
    </w:p>
    <w:p>
      <w:pPr>
        <w:spacing w:line="360" w:lineRule="auto"/>
        <w:jc w:val="left"/>
        <w:rPr>
          <w:rFonts w:hint="default" w:ascii="宋体" w:hAnsi="宋体" w:eastAsia="宋体" w:cs="宋体"/>
          <w:b/>
          <w:color w:val="000000" w:themeColor="text1"/>
          <w:sz w:val="32"/>
          <w:szCs w:val="32"/>
          <w:highlight w:val="red"/>
          <w:em w:val="dot"/>
          <w:lang w:val="en-US" w:eastAsia="zh-CN" w:bidi="ar"/>
          <w14:textFill>
            <w14:solidFill>
              <w14:schemeClr w14:val="tx1"/>
            </w14:solidFill>
          </w14:textFill>
        </w:rPr>
      </w:pPr>
      <w:r>
        <w:rPr>
          <w:rFonts w:hint="eastAsia" w:ascii="宋体" w:hAnsi="宋体" w:eastAsia="宋体" w:cs="宋体"/>
          <w:b/>
          <w:color w:val="000000" w:themeColor="text1"/>
          <w:sz w:val="32"/>
          <w:szCs w:val="32"/>
          <w:highlight w:val="red"/>
          <w:em w:val="dot"/>
          <w:lang w:val="en-US" w:eastAsia="zh-CN" w:bidi="ar"/>
          <w14:textFill>
            <w14:solidFill>
              <w14:schemeClr w14:val="tx1"/>
            </w14:solidFill>
          </w14:textFill>
        </w:rPr>
        <w:t>注：合同清单部分的价格结算时按照承包人开标修正后的已标价工程量清单价格乘下浮系数（商务标最后一轮澄清含税总报价/开标清标修正后的含税总报价）执行，单独澄清的清单项除外。其中承包人开标清标修正后的已标价工程量清单随开标后第一轮报价上传到e采通附件中，并与第一轮报价金额一致。</w:t>
      </w:r>
    </w:p>
    <w:p>
      <w:pPr>
        <w:pStyle w:val="4"/>
        <w:spacing w:before="0" w:after="0"/>
        <w:jc w:val="center"/>
        <w:outlineLvl w:val="9"/>
        <w:rPr>
          <w:sz w:val="30"/>
          <w:szCs w:val="30"/>
        </w:rPr>
      </w:pPr>
      <w:bookmarkStart w:id="89" w:name="_Toc32749"/>
      <w:bookmarkStart w:id="90" w:name="_Toc162361718"/>
      <w:bookmarkStart w:id="91" w:name="_Toc29153"/>
      <w:bookmarkStart w:id="92" w:name="_二、评标办法"/>
    </w:p>
    <w:p>
      <w:pPr>
        <w:rPr>
          <w:sz w:val="30"/>
          <w:szCs w:val="30"/>
        </w:rPr>
      </w:pPr>
    </w:p>
    <w:p>
      <w:pPr>
        <w:rPr>
          <w:sz w:val="30"/>
          <w:szCs w:val="30"/>
        </w:rPr>
      </w:pPr>
    </w:p>
    <w:p>
      <w:pPr>
        <w:rPr>
          <w:sz w:val="30"/>
          <w:szCs w:val="30"/>
        </w:rPr>
      </w:pPr>
    </w:p>
    <w:p>
      <w:pPr>
        <w:rPr>
          <w:sz w:val="30"/>
          <w:szCs w:val="30"/>
        </w:rPr>
      </w:pPr>
    </w:p>
    <w:p>
      <w:pPr>
        <w:rPr>
          <w:sz w:val="30"/>
          <w:szCs w:val="30"/>
        </w:rPr>
      </w:pPr>
    </w:p>
    <w:p>
      <w:pPr>
        <w:rPr>
          <w:sz w:val="30"/>
          <w:szCs w:val="30"/>
        </w:rPr>
      </w:pPr>
    </w:p>
    <w:p>
      <w:pPr>
        <w:pStyle w:val="4"/>
        <w:spacing w:before="0" w:after="0"/>
        <w:jc w:val="center"/>
        <w:outlineLvl w:val="0"/>
        <w:rPr>
          <w:sz w:val="30"/>
          <w:szCs w:val="30"/>
        </w:rPr>
      </w:pPr>
      <w:bookmarkStart w:id="93" w:name="_Toc7020"/>
    </w:p>
    <w:p>
      <w:pPr>
        <w:pStyle w:val="4"/>
        <w:spacing w:before="0" w:after="0"/>
        <w:jc w:val="center"/>
        <w:outlineLvl w:val="0"/>
        <w:rPr>
          <w:sz w:val="30"/>
          <w:szCs w:val="30"/>
        </w:rPr>
      </w:pPr>
      <w:r>
        <w:rPr>
          <w:sz w:val="30"/>
          <w:szCs w:val="30"/>
        </w:rPr>
        <w:t>二、评标办法</w:t>
      </w:r>
      <w:bookmarkEnd w:id="87"/>
      <w:bookmarkEnd w:id="88"/>
      <w:bookmarkEnd w:id="89"/>
      <w:bookmarkEnd w:id="90"/>
      <w:bookmarkEnd w:id="91"/>
      <w:bookmarkEnd w:id="93"/>
    </w:p>
    <w:bookmarkEnd w:id="92"/>
    <w:p>
      <w:pPr>
        <w:pStyle w:val="47"/>
        <w:spacing w:before="0" w:after="0"/>
        <w:rPr>
          <w:rStyle w:val="43"/>
          <w:rFonts w:ascii="宋体" w:hAnsi="宋体"/>
          <w:sz w:val="24"/>
        </w:rPr>
      </w:pPr>
      <w:r>
        <w:rPr>
          <w:rStyle w:val="43"/>
          <w:rFonts w:ascii="宋体" w:hAnsi="宋体"/>
          <w:sz w:val="24"/>
        </w:rPr>
        <w:t>1. 评标方法</w:t>
      </w:r>
    </w:p>
    <w:p>
      <w:pPr>
        <w:spacing w:line="360" w:lineRule="auto"/>
        <w:rPr>
          <w:rStyle w:val="43"/>
          <w:rFonts w:ascii="宋体" w:hAnsi="宋体"/>
          <w:b/>
        </w:rPr>
      </w:pPr>
      <w:r>
        <w:rPr>
          <w:rStyle w:val="43"/>
          <w:rFonts w:ascii="宋体" w:hAnsi="宋体"/>
          <w:b/>
        </w:rPr>
        <w:t>1.1评标方法</w:t>
      </w:r>
    </w:p>
    <w:p>
      <w:pPr>
        <w:spacing w:line="360" w:lineRule="auto"/>
        <w:rPr>
          <w:rStyle w:val="43"/>
          <w:rFonts w:ascii="宋体" w:hAnsi="宋体"/>
          <w:b/>
        </w:rPr>
      </w:pPr>
      <w:r>
        <w:rPr>
          <w:rStyle w:val="43"/>
          <w:rFonts w:ascii="宋体" w:hAnsi="宋体"/>
          <w:b/>
        </w:rPr>
        <w:t>1.2评分及排序</w:t>
      </w:r>
    </w:p>
    <w:p>
      <w:pPr>
        <w:spacing w:line="360" w:lineRule="auto"/>
        <w:ind w:firstLine="420" w:firstLineChars="200"/>
        <w:rPr>
          <w:rStyle w:val="43"/>
          <w:rFonts w:ascii="宋体" w:hAnsi="宋体"/>
        </w:rPr>
      </w:pPr>
      <w:r>
        <w:rPr>
          <w:rStyle w:val="43"/>
          <w:rFonts w:hint="eastAsia" w:ascii="宋体" w:hAnsi="宋体"/>
        </w:rPr>
        <w:t>技术标和商务标同时开标、分阶段评标的模式</w:t>
      </w:r>
      <w:r>
        <w:rPr>
          <w:rStyle w:val="43"/>
          <w:rFonts w:ascii="宋体" w:hAnsi="宋体"/>
        </w:rPr>
        <w:t>。</w:t>
      </w:r>
    </w:p>
    <w:p>
      <w:pPr>
        <w:spacing w:line="360" w:lineRule="auto"/>
        <w:ind w:firstLine="420" w:firstLineChars="200"/>
        <w:rPr>
          <w:rStyle w:val="43"/>
          <w:rFonts w:ascii="宋体" w:hAnsi="宋体"/>
          <w:szCs w:val="22"/>
        </w:rPr>
      </w:pPr>
      <w:r>
        <w:rPr>
          <w:rStyle w:val="43"/>
          <w:rFonts w:ascii="宋体" w:hAnsi="宋体"/>
        </w:rPr>
        <w:t>评标委员会对满足招标文件实质性要求的投标文件，按照本章第2.2款规定的评分标准进行打分，</w:t>
      </w:r>
      <w:r>
        <w:rPr>
          <w:rStyle w:val="43"/>
          <w:rFonts w:hint="eastAsia" w:ascii="宋体" w:hAnsi="宋体"/>
          <w:szCs w:val="22"/>
        </w:rPr>
        <w:t>评标委员会按照最终得分由高到低的次序排列，但投标报价低于其成本的除外。评分相等时由招标人自行确定排序。</w:t>
      </w:r>
    </w:p>
    <w:p>
      <w:pPr>
        <w:pStyle w:val="16"/>
      </w:pPr>
      <w:r>
        <w:rPr>
          <w:rStyle w:val="43"/>
          <w:rFonts w:hint="eastAsia" w:ascii="宋体" w:hAnsi="宋体"/>
          <w:szCs w:val="22"/>
        </w:rPr>
        <w:t>1.3招标人有权根据项目情况，采取多轮报价模式。</w:t>
      </w:r>
    </w:p>
    <w:p>
      <w:pPr>
        <w:pStyle w:val="47"/>
        <w:spacing w:before="0" w:after="0"/>
        <w:rPr>
          <w:rStyle w:val="43"/>
          <w:rFonts w:ascii="宋体" w:hAnsi="宋体"/>
          <w:sz w:val="24"/>
        </w:rPr>
      </w:pPr>
      <w:r>
        <w:rPr>
          <w:rStyle w:val="43"/>
          <w:rFonts w:ascii="宋体" w:hAnsi="宋体"/>
          <w:sz w:val="24"/>
        </w:rPr>
        <w:t>2. 评标程序</w:t>
      </w:r>
    </w:p>
    <w:p>
      <w:pPr>
        <w:spacing w:line="360" w:lineRule="auto"/>
        <w:rPr>
          <w:rStyle w:val="43"/>
          <w:rFonts w:ascii="宋体" w:hAnsi="宋体"/>
          <w:b/>
        </w:rPr>
      </w:pPr>
      <w:r>
        <w:rPr>
          <w:rStyle w:val="43"/>
          <w:rFonts w:ascii="宋体" w:hAnsi="宋体"/>
          <w:b/>
        </w:rPr>
        <w:t>2.1 初步评审</w:t>
      </w:r>
    </w:p>
    <w:p>
      <w:pPr>
        <w:spacing w:line="360" w:lineRule="auto"/>
        <w:rPr>
          <w:rStyle w:val="43"/>
          <w:rFonts w:ascii="宋体" w:hAnsi="宋体"/>
        </w:rPr>
      </w:pPr>
      <w:r>
        <w:rPr>
          <w:rStyle w:val="43"/>
          <w:rFonts w:ascii="宋体" w:hAnsi="宋体"/>
        </w:rPr>
        <w:t>2.1.1 评标委员会可以要求投标人提交第九章资格审查文件规定的有关证明和证件的原件，以便核验。评标委员会对投标文件进行初步评审。有一项不符合</w:t>
      </w:r>
      <w:bookmarkStart w:id="94" w:name="_Hlk161833919"/>
      <w:r>
        <w:rPr>
          <w:rStyle w:val="43"/>
          <w:rFonts w:hint="eastAsia" w:ascii="宋体" w:hAnsi="宋体"/>
        </w:rPr>
        <w:t>资格要求</w:t>
      </w:r>
      <w:bookmarkEnd w:id="94"/>
      <w:r>
        <w:rPr>
          <w:rStyle w:val="43"/>
          <w:rFonts w:ascii="宋体" w:hAnsi="宋体"/>
        </w:rPr>
        <w:t>的，作废标处理。</w:t>
      </w:r>
    </w:p>
    <w:p>
      <w:pPr>
        <w:spacing w:line="360" w:lineRule="auto"/>
        <w:rPr>
          <w:rStyle w:val="43"/>
          <w:rFonts w:ascii="宋体" w:hAnsi="宋体"/>
          <w:b/>
        </w:rPr>
      </w:pPr>
      <w:r>
        <w:rPr>
          <w:rStyle w:val="43"/>
          <w:rFonts w:ascii="宋体" w:hAnsi="宋体"/>
        </w:rPr>
        <w:t>2.1.2 投标人有以下情形之一的，其投标作废标处理：</w:t>
      </w:r>
      <w:r>
        <w:rPr>
          <w:rStyle w:val="43"/>
          <w:rFonts w:ascii="宋体" w:hAnsi="宋体"/>
          <w:b/>
        </w:rPr>
        <w:t>详</w:t>
      </w:r>
      <w:r>
        <w:rPr>
          <w:rStyle w:val="29"/>
          <w:rFonts w:ascii="宋体" w:hAnsi="宋体"/>
          <w:b/>
          <w:color w:val="auto"/>
        </w:rPr>
        <w:t>附件B</w:t>
      </w:r>
      <w:r>
        <w:rPr>
          <w:rStyle w:val="43"/>
          <w:rFonts w:ascii="宋体" w:hAnsi="宋体"/>
          <w:b/>
        </w:rPr>
        <w:t>：废标条件</w:t>
      </w:r>
    </w:p>
    <w:p>
      <w:pPr>
        <w:spacing w:line="360" w:lineRule="auto"/>
        <w:rPr>
          <w:rStyle w:val="43"/>
          <w:rFonts w:ascii="宋体" w:hAnsi="宋体"/>
        </w:rPr>
      </w:pPr>
      <w:r>
        <w:rPr>
          <w:rStyle w:val="43"/>
          <w:rFonts w:ascii="宋体" w:hAnsi="宋体"/>
        </w:rPr>
        <w:t>2.1.3投标报价有算术错误的，评标委员会按以下原则对投标报价进行修正，修正的价格经投标人书面确认后具有约束力。投标人不接受修正价格的，其投标作废标处理。</w:t>
      </w:r>
    </w:p>
    <w:p>
      <w:pPr>
        <w:spacing w:line="360" w:lineRule="auto"/>
        <w:rPr>
          <w:rStyle w:val="43"/>
          <w:rFonts w:ascii="宋体" w:hAnsi="宋体"/>
        </w:rPr>
      </w:pPr>
      <w:r>
        <w:rPr>
          <w:rStyle w:val="43"/>
          <w:rFonts w:ascii="宋体" w:hAnsi="宋体"/>
        </w:rPr>
        <w:t>（1）投标文件中的大写金额与小写金额不一致的，以大写金额为准；</w:t>
      </w:r>
    </w:p>
    <w:p>
      <w:pPr>
        <w:spacing w:line="360" w:lineRule="auto"/>
        <w:rPr>
          <w:rStyle w:val="43"/>
          <w:rFonts w:ascii="宋体" w:hAnsi="宋体"/>
        </w:rPr>
      </w:pPr>
      <w:r>
        <w:rPr>
          <w:rStyle w:val="43"/>
          <w:rFonts w:ascii="宋体" w:hAnsi="宋体"/>
        </w:rPr>
        <w:t>（2）总价金额与依据单价计算出的结果不一致的，以</w:t>
      </w:r>
      <w:r>
        <w:rPr>
          <w:rStyle w:val="43"/>
          <w:rFonts w:hint="eastAsia" w:ascii="宋体" w:hAnsi="宋体"/>
        </w:rPr>
        <w:t>总</w:t>
      </w:r>
      <w:r>
        <w:rPr>
          <w:rStyle w:val="43"/>
          <w:rFonts w:ascii="宋体" w:hAnsi="宋体"/>
        </w:rPr>
        <w:t>价金额为准修正</w:t>
      </w:r>
      <w:r>
        <w:rPr>
          <w:rStyle w:val="43"/>
          <w:rFonts w:hint="eastAsia" w:ascii="宋体" w:hAnsi="宋体"/>
        </w:rPr>
        <w:t>单</w:t>
      </w:r>
      <w:r>
        <w:rPr>
          <w:rStyle w:val="43"/>
          <w:rFonts w:ascii="宋体" w:hAnsi="宋体"/>
        </w:rPr>
        <w:t>价。</w:t>
      </w:r>
    </w:p>
    <w:p>
      <w:pPr>
        <w:spacing w:line="360" w:lineRule="auto"/>
        <w:rPr>
          <w:rStyle w:val="43"/>
          <w:rFonts w:ascii="宋体" w:hAnsi="宋体"/>
        </w:rPr>
      </w:pPr>
      <w:r>
        <w:rPr>
          <w:rStyle w:val="43"/>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pPr>
        <w:spacing w:line="480" w:lineRule="exact"/>
        <w:rPr>
          <w:rStyle w:val="43"/>
          <w:rFonts w:ascii="宋体" w:hAnsi="宋体"/>
          <w:b/>
        </w:rPr>
      </w:pPr>
      <w:r>
        <w:rPr>
          <w:rStyle w:val="43"/>
          <w:rFonts w:ascii="宋体" w:hAnsi="宋体"/>
          <w:b/>
        </w:rPr>
        <w:t>2.1.4投标人有下列情形之一的视为无效投标：</w:t>
      </w:r>
    </w:p>
    <w:p>
      <w:pPr>
        <w:spacing w:line="480" w:lineRule="exact"/>
        <w:rPr>
          <w:rStyle w:val="43"/>
          <w:rFonts w:ascii="宋体" w:hAnsi="宋体"/>
        </w:rPr>
      </w:pPr>
      <w:r>
        <w:rPr>
          <w:rStyle w:val="43"/>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pPr>
        <w:spacing w:line="480" w:lineRule="exact"/>
        <w:rPr>
          <w:rStyle w:val="43"/>
          <w:rFonts w:ascii="宋体" w:hAnsi="宋体"/>
        </w:rPr>
      </w:pPr>
      <w:r>
        <w:rPr>
          <w:rStyle w:val="43"/>
          <w:rFonts w:ascii="宋体" w:hAnsi="宋体"/>
        </w:rPr>
        <w:t>（2）无单位盖章并无法定代表人或法定代表人授权的代理人签字或盖章的；</w:t>
      </w:r>
    </w:p>
    <w:p>
      <w:pPr>
        <w:spacing w:line="480" w:lineRule="exact"/>
        <w:rPr>
          <w:rStyle w:val="43"/>
          <w:rFonts w:ascii="宋体" w:hAnsi="宋体"/>
        </w:rPr>
      </w:pPr>
      <w:r>
        <w:rPr>
          <w:rStyle w:val="43"/>
          <w:rFonts w:ascii="宋体" w:hAnsi="宋体"/>
        </w:rPr>
        <w:t>（3）未按规定格式填写，内容不全或关键字迹模糊、无法辨认的；</w:t>
      </w:r>
    </w:p>
    <w:p>
      <w:pPr>
        <w:spacing w:line="480" w:lineRule="exact"/>
        <w:rPr>
          <w:rStyle w:val="43"/>
          <w:rFonts w:ascii="宋体" w:hAnsi="宋体"/>
        </w:rPr>
      </w:pPr>
      <w:r>
        <w:rPr>
          <w:rStyle w:val="43"/>
          <w:rFonts w:ascii="宋体" w:hAnsi="宋体"/>
        </w:rPr>
        <w:t>（4）投标人递交两份或多份内容不同的投标文件，或在一份投标文件中对同一招标项目抱有两个或多个报价，且未声明哪一个有效，按招标文件规定提交备选投标方案的除外；</w:t>
      </w:r>
    </w:p>
    <w:p>
      <w:pPr>
        <w:spacing w:line="480" w:lineRule="exact"/>
        <w:rPr>
          <w:rStyle w:val="43"/>
          <w:rFonts w:ascii="宋体" w:hAnsi="宋体"/>
        </w:rPr>
      </w:pPr>
      <w:r>
        <w:rPr>
          <w:rStyle w:val="43"/>
          <w:rFonts w:ascii="宋体" w:hAnsi="宋体"/>
        </w:rPr>
        <w:t>（5）投标人名称或组织结构与资格预审时不一致（资格预审的）；</w:t>
      </w:r>
    </w:p>
    <w:p>
      <w:pPr>
        <w:spacing w:line="480" w:lineRule="exact"/>
        <w:rPr>
          <w:rStyle w:val="43"/>
          <w:rFonts w:ascii="宋体" w:hAnsi="宋体"/>
        </w:rPr>
      </w:pPr>
      <w:r>
        <w:rPr>
          <w:rStyle w:val="43"/>
          <w:rFonts w:ascii="宋体" w:hAnsi="宋体"/>
        </w:rPr>
        <w:t>（6）投标人未按投标文件的要求提交投标保证金的；</w:t>
      </w:r>
    </w:p>
    <w:p>
      <w:pPr>
        <w:spacing w:line="480" w:lineRule="exact"/>
        <w:rPr>
          <w:rStyle w:val="43"/>
          <w:rFonts w:ascii="宋体" w:hAnsi="宋体"/>
        </w:rPr>
      </w:pPr>
      <w:r>
        <w:rPr>
          <w:rStyle w:val="43"/>
          <w:rFonts w:ascii="宋体" w:hAnsi="宋体"/>
        </w:rPr>
        <w:t>（7）联合体投标未附联合体各方共同投标协议的（允许联合体投标的）；</w:t>
      </w:r>
    </w:p>
    <w:p>
      <w:pPr>
        <w:spacing w:line="480" w:lineRule="exact"/>
        <w:rPr>
          <w:rStyle w:val="43"/>
          <w:rFonts w:ascii="宋体" w:hAnsi="宋体"/>
        </w:rPr>
      </w:pPr>
      <w:bookmarkStart w:id="95" w:name="_Toc16063905"/>
      <w:r>
        <w:rPr>
          <w:rStyle w:val="43"/>
          <w:rFonts w:ascii="宋体" w:hAnsi="宋体"/>
        </w:rPr>
        <w:t>（8）投标文件未按照招标文件的要求予以密封的；</w:t>
      </w:r>
      <w:bookmarkEnd w:id="95"/>
    </w:p>
    <w:p>
      <w:pPr>
        <w:spacing w:line="480" w:lineRule="exact"/>
        <w:rPr>
          <w:rStyle w:val="43"/>
          <w:rFonts w:ascii="宋体" w:hAnsi="宋体"/>
        </w:rPr>
      </w:pPr>
      <w:r>
        <w:rPr>
          <w:rStyle w:val="43"/>
          <w:rFonts w:ascii="宋体" w:hAnsi="宋体"/>
        </w:rPr>
        <w:t>（9）投标文件中的投标函未加盖投标人的企业及企业法定代表人印章的，或者企业法定代表人委托代理人没有合法、有效的委托书（原件）及委托代理人印章的；</w:t>
      </w:r>
    </w:p>
    <w:p>
      <w:pPr>
        <w:spacing w:line="480" w:lineRule="exact"/>
        <w:rPr>
          <w:rStyle w:val="43"/>
          <w:rFonts w:ascii="宋体" w:hAnsi="宋体"/>
        </w:rPr>
      </w:pPr>
      <w:r>
        <w:rPr>
          <w:rStyle w:val="43"/>
          <w:rFonts w:ascii="宋体" w:hAnsi="宋体"/>
        </w:rPr>
        <w:t>（10）资格审查未通过的</w:t>
      </w:r>
      <w:r>
        <w:rPr>
          <w:rStyle w:val="43"/>
          <w:rFonts w:hint="eastAsia" w:ascii="宋体" w:hAnsi="宋体"/>
        </w:rPr>
        <w:t>；</w:t>
      </w:r>
    </w:p>
    <w:p>
      <w:pPr>
        <w:spacing w:line="480" w:lineRule="exact"/>
        <w:rPr>
          <w:rStyle w:val="43"/>
          <w:rFonts w:ascii="宋体" w:hAnsi="宋体"/>
        </w:rPr>
      </w:pPr>
      <w:r>
        <w:rPr>
          <w:rStyle w:val="43"/>
          <w:rFonts w:hint="eastAsia" w:ascii="宋体" w:hAnsi="宋体"/>
        </w:rPr>
        <w:t>（11）未实质性响应招标文件内容的；</w:t>
      </w:r>
    </w:p>
    <w:p>
      <w:pPr>
        <w:spacing w:line="480" w:lineRule="exact"/>
        <w:rPr>
          <w:rStyle w:val="43"/>
          <w:rFonts w:ascii="宋体" w:hAnsi="宋体"/>
        </w:rPr>
      </w:pPr>
      <w:r>
        <w:rPr>
          <w:rStyle w:val="43"/>
          <w:rFonts w:hint="eastAsia" w:ascii="宋体" w:hAnsi="宋体"/>
        </w:rPr>
        <w:t>（12）投标单位负责人为同一人或存在管理关系的。</w:t>
      </w:r>
    </w:p>
    <w:p>
      <w:pPr>
        <w:spacing w:line="480" w:lineRule="exact"/>
        <w:rPr>
          <w:rStyle w:val="43"/>
          <w:rFonts w:ascii="宋体" w:hAnsi="宋体"/>
        </w:rPr>
      </w:pPr>
      <w:r>
        <w:rPr>
          <w:rStyle w:val="43"/>
          <w:rFonts w:hint="eastAsia" w:ascii="宋体" w:hAnsi="宋体"/>
        </w:rPr>
        <w:t>（13）投标人被举报、检举，并经招标方查实无误的。</w:t>
      </w:r>
    </w:p>
    <w:p>
      <w:pPr>
        <w:spacing w:line="360" w:lineRule="auto"/>
        <w:rPr>
          <w:rStyle w:val="43"/>
          <w:rFonts w:ascii="宋体" w:hAnsi="宋体"/>
          <w:b/>
        </w:rPr>
      </w:pPr>
      <w:r>
        <w:rPr>
          <w:rStyle w:val="43"/>
          <w:rFonts w:ascii="宋体" w:hAnsi="宋体"/>
          <w:b/>
        </w:rPr>
        <w:t>2.2 详细评审</w:t>
      </w:r>
    </w:p>
    <w:p>
      <w:pPr>
        <w:spacing w:line="360" w:lineRule="auto"/>
        <w:rPr>
          <w:rStyle w:val="43"/>
          <w:rFonts w:ascii="宋体" w:hAnsi="宋体"/>
        </w:rPr>
      </w:pPr>
      <w:r>
        <w:rPr>
          <w:rStyle w:val="43"/>
          <w:rFonts w:ascii="宋体" w:hAnsi="宋体"/>
        </w:rPr>
        <w:t>2.2.</w:t>
      </w:r>
      <w:r>
        <w:rPr>
          <w:rStyle w:val="43"/>
          <w:rFonts w:hint="eastAsia" w:ascii="宋体" w:hAnsi="宋体"/>
          <w:lang w:val="en-US" w:eastAsia="zh-CN"/>
        </w:rPr>
        <w:t>1</w:t>
      </w:r>
      <w:r>
        <w:rPr>
          <w:rStyle w:val="43"/>
          <w:rFonts w:ascii="宋体" w:hAnsi="宋体"/>
        </w:rPr>
        <w:t xml:space="preserve"> 评分分值计算保留小数点后两位，小数点后第三位“四舍五入”。</w:t>
      </w:r>
    </w:p>
    <w:p>
      <w:pPr>
        <w:spacing w:line="360" w:lineRule="auto"/>
        <w:rPr>
          <w:rStyle w:val="43"/>
          <w:rFonts w:ascii="宋体" w:hAnsi="宋体"/>
        </w:rPr>
      </w:pPr>
      <w:r>
        <w:rPr>
          <w:rStyle w:val="43"/>
          <w:rFonts w:ascii="宋体" w:hAnsi="宋体"/>
        </w:rPr>
        <w:t>2.2.</w:t>
      </w:r>
      <w:r>
        <w:rPr>
          <w:rStyle w:val="43"/>
          <w:rFonts w:hint="eastAsia" w:ascii="宋体" w:hAnsi="宋体"/>
          <w:lang w:val="en-US" w:eastAsia="zh-CN"/>
        </w:rPr>
        <w:t>2</w:t>
      </w:r>
      <w:r>
        <w:rPr>
          <w:rStyle w:val="43"/>
          <w:rFonts w:ascii="宋体" w:hAnsi="宋体"/>
        </w:rPr>
        <w:t xml:space="preserve"> 投标人得分=评标委员会按照本章评分细则评审的得分。</w:t>
      </w:r>
    </w:p>
    <w:p>
      <w:pPr>
        <w:spacing w:line="360" w:lineRule="auto"/>
        <w:rPr>
          <w:rStyle w:val="43"/>
          <w:rFonts w:ascii="宋体" w:hAnsi="宋体"/>
        </w:rPr>
      </w:pPr>
      <w:r>
        <w:rPr>
          <w:rStyle w:val="43"/>
          <w:rFonts w:ascii="宋体" w:hAnsi="宋体"/>
        </w:rPr>
        <w:t>2.2.</w:t>
      </w:r>
      <w:r>
        <w:rPr>
          <w:rStyle w:val="43"/>
          <w:rFonts w:hint="eastAsia" w:ascii="宋体" w:hAnsi="宋体"/>
          <w:lang w:val="en-US" w:eastAsia="zh-CN"/>
        </w:rPr>
        <w:t>3</w:t>
      </w:r>
      <w:r>
        <w:rPr>
          <w:rStyle w:val="43"/>
          <w:rFonts w:ascii="宋体" w:hAnsi="宋体"/>
        </w:rPr>
        <w:t xml:space="preserve">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360" w:lineRule="auto"/>
        <w:rPr>
          <w:rStyle w:val="43"/>
          <w:rFonts w:ascii="宋体" w:hAnsi="宋体"/>
          <w:b/>
        </w:rPr>
      </w:pPr>
      <w:r>
        <w:rPr>
          <w:rStyle w:val="43"/>
          <w:rFonts w:ascii="宋体" w:hAnsi="宋体"/>
          <w:b/>
        </w:rPr>
        <w:t>2.3 投标文件的澄清和补正</w:t>
      </w:r>
    </w:p>
    <w:p>
      <w:pPr>
        <w:spacing w:line="360" w:lineRule="auto"/>
        <w:rPr>
          <w:rStyle w:val="43"/>
          <w:rFonts w:ascii="宋体" w:hAnsi="宋体"/>
        </w:rPr>
      </w:pPr>
      <w:r>
        <w:rPr>
          <w:rStyle w:val="43"/>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rPr>
          <w:rStyle w:val="43"/>
          <w:rFonts w:ascii="宋体" w:hAnsi="宋体"/>
        </w:rPr>
      </w:pPr>
      <w:r>
        <w:rPr>
          <w:rStyle w:val="43"/>
          <w:rFonts w:ascii="宋体" w:hAnsi="宋体"/>
        </w:rPr>
        <w:t>2.3.2 投标人的书面澄清、说明和补正属于投标文件的组成部分。</w:t>
      </w:r>
    </w:p>
    <w:p>
      <w:pPr>
        <w:spacing w:line="360" w:lineRule="auto"/>
        <w:rPr>
          <w:rStyle w:val="43"/>
          <w:rFonts w:ascii="宋体" w:hAnsi="宋体"/>
        </w:rPr>
      </w:pPr>
      <w:r>
        <w:rPr>
          <w:rStyle w:val="43"/>
          <w:rFonts w:ascii="宋体" w:hAnsi="宋体"/>
        </w:rPr>
        <w:t>2.3.3 评标委员会对投标人提交的澄清、说明或补正有疑问的，可以要求投标人进一步澄清、说明或补正，直至满足评标委员会的要求。</w:t>
      </w:r>
    </w:p>
    <w:p>
      <w:pPr>
        <w:spacing w:line="360" w:lineRule="auto"/>
        <w:rPr>
          <w:rStyle w:val="43"/>
          <w:rFonts w:ascii="宋体" w:hAnsi="宋体"/>
          <w:b/>
        </w:rPr>
      </w:pPr>
      <w:r>
        <w:rPr>
          <w:rStyle w:val="43"/>
          <w:rFonts w:ascii="宋体" w:hAnsi="宋体"/>
          <w:b/>
        </w:rPr>
        <w:t>2.4 评标结果</w:t>
      </w:r>
    </w:p>
    <w:p>
      <w:pPr>
        <w:spacing w:line="360" w:lineRule="auto"/>
        <w:rPr>
          <w:rFonts w:ascii="宋体" w:hAnsi="宋体"/>
        </w:rPr>
      </w:pPr>
      <w:r>
        <w:rPr>
          <w:rStyle w:val="43"/>
          <w:rFonts w:ascii="宋体" w:hAnsi="宋体"/>
        </w:rPr>
        <w:t>2.4.1</w:t>
      </w:r>
      <w:r>
        <w:rPr>
          <w:rFonts w:hint="eastAsia" w:ascii="宋体" w:hAnsi="宋体"/>
          <w:szCs w:val="21"/>
        </w:rPr>
        <w:t>评标委员会按照最终得分由高到低的次序排列</w:t>
      </w:r>
      <w:r>
        <w:rPr>
          <w:rFonts w:hint="eastAsia" w:ascii="宋体" w:hAnsi="宋体"/>
        </w:rPr>
        <w:t>。</w:t>
      </w:r>
    </w:p>
    <w:p>
      <w:pPr>
        <w:pStyle w:val="47"/>
        <w:spacing w:before="0" w:after="0"/>
        <w:outlineLvl w:val="0"/>
        <w:rPr>
          <w:rStyle w:val="43"/>
          <w:rFonts w:ascii="宋体" w:hAnsi="宋体"/>
          <w:sz w:val="24"/>
        </w:rPr>
      </w:pPr>
      <w:bookmarkStart w:id="96" w:name="_Toc3217"/>
      <w:r>
        <w:rPr>
          <w:rStyle w:val="43"/>
          <w:rFonts w:ascii="宋体" w:hAnsi="宋体"/>
          <w:sz w:val="24"/>
        </w:rPr>
        <w:t>附件B：废标条件</w:t>
      </w:r>
      <w:bookmarkEnd w:id="96"/>
    </w:p>
    <w:p>
      <w:pPr>
        <w:pStyle w:val="47"/>
        <w:spacing w:before="0" w:after="0"/>
        <w:rPr>
          <w:rStyle w:val="43"/>
          <w:rFonts w:ascii="宋体" w:hAnsi="宋体"/>
          <w:sz w:val="24"/>
        </w:rPr>
      </w:pPr>
      <w:bookmarkStart w:id="97" w:name="_Toc16063939"/>
      <w:r>
        <w:rPr>
          <w:rStyle w:val="43"/>
          <w:rFonts w:ascii="宋体" w:hAnsi="宋体"/>
          <w:sz w:val="24"/>
        </w:rPr>
        <w:t>B0、总则</w:t>
      </w:r>
      <w:bookmarkEnd w:id="97"/>
    </w:p>
    <w:p>
      <w:pPr>
        <w:spacing w:line="360" w:lineRule="auto"/>
        <w:ind w:firstLine="420" w:firstLineChars="200"/>
        <w:rPr>
          <w:rStyle w:val="43"/>
          <w:rFonts w:ascii="宋体" w:hAnsi="宋体"/>
        </w:rPr>
      </w:pPr>
      <w:r>
        <w:rPr>
          <w:rStyle w:val="43"/>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pPr>
        <w:pStyle w:val="47"/>
        <w:spacing w:before="0" w:after="0"/>
        <w:rPr>
          <w:rStyle w:val="43"/>
          <w:rFonts w:ascii="宋体" w:hAnsi="宋体"/>
          <w:sz w:val="24"/>
        </w:rPr>
      </w:pPr>
      <w:bookmarkStart w:id="98" w:name="_Toc16063940"/>
      <w:r>
        <w:rPr>
          <w:rStyle w:val="43"/>
          <w:rFonts w:ascii="宋体" w:hAnsi="宋体"/>
          <w:sz w:val="24"/>
        </w:rPr>
        <w:t>B1 废标条件</w:t>
      </w:r>
      <w:bookmarkEnd w:id="98"/>
    </w:p>
    <w:p>
      <w:pPr>
        <w:spacing w:line="360" w:lineRule="auto"/>
        <w:rPr>
          <w:rStyle w:val="43"/>
          <w:rFonts w:ascii="宋体" w:hAnsi="宋体"/>
        </w:rPr>
      </w:pPr>
      <w:r>
        <w:rPr>
          <w:rStyle w:val="43"/>
          <w:rFonts w:ascii="宋体" w:hAnsi="宋体"/>
        </w:rPr>
        <w:t xml:space="preserve">    投标人或其投标文件有下列情形之一的，其投标作废标处理：</w:t>
      </w:r>
    </w:p>
    <w:p>
      <w:pPr>
        <w:spacing w:line="360" w:lineRule="auto"/>
        <w:ind w:firstLine="420" w:firstLineChars="200"/>
        <w:rPr>
          <w:rStyle w:val="43"/>
          <w:rFonts w:ascii="宋体" w:hAnsi="宋体"/>
        </w:rPr>
      </w:pPr>
      <w:r>
        <w:rPr>
          <w:rStyle w:val="43"/>
          <w:rFonts w:ascii="宋体" w:hAnsi="宋体"/>
        </w:rPr>
        <w:t>B1.1有第二章“投标人须知”</w:t>
      </w:r>
      <w:r>
        <w:rPr>
          <w:rStyle w:val="29"/>
          <w:rFonts w:ascii="宋体" w:hAnsi="宋体"/>
          <w:color w:val="auto"/>
        </w:rPr>
        <w:t>第1.4.3</w:t>
      </w:r>
      <w:r>
        <w:rPr>
          <w:rStyle w:val="43"/>
          <w:rFonts w:ascii="宋体" w:hAnsi="宋体"/>
        </w:rPr>
        <w:t>项规定的任何一种情形的。</w:t>
      </w:r>
    </w:p>
    <w:p>
      <w:pPr>
        <w:spacing w:line="360" w:lineRule="auto"/>
        <w:ind w:firstLine="420" w:firstLineChars="200"/>
        <w:rPr>
          <w:rStyle w:val="43"/>
          <w:rFonts w:ascii="宋体" w:hAnsi="宋体"/>
          <w:shd w:val="clear" w:color="auto" w:fill="D9D9D9"/>
        </w:rPr>
      </w:pPr>
      <w:r>
        <w:rPr>
          <w:rStyle w:val="43"/>
          <w:rFonts w:ascii="宋体" w:hAnsi="宋体"/>
          <w:shd w:val="clear" w:color="auto" w:fill="D9D9D9"/>
        </w:rPr>
        <w:t>B1.2 有串通投标或弄虚作假或其他违法行为的，详下：</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B1.2.1投标人之间协商投标报价等投标文件的实质性内容；</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B1.2.2投标人之间约定中标人；</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B1.2.3投标人之间约定部分投标人放弃投标或者中标；</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B1.2.4属于同一集团、协会、商会等组织成员的投标人按照该组织要求协同投标；</w:t>
      </w:r>
    </w:p>
    <w:p>
      <w:pPr>
        <w:spacing w:line="360" w:lineRule="auto"/>
        <w:ind w:left="216" w:leftChars="103" w:firstLine="621" w:firstLineChars="296"/>
        <w:rPr>
          <w:rStyle w:val="43"/>
          <w:rFonts w:ascii="宋体" w:hAnsi="宋体"/>
          <w:shd w:val="clear" w:color="auto" w:fill="D9D9D9"/>
        </w:rPr>
      </w:pPr>
      <w:bookmarkStart w:id="99" w:name="_Toc16063941"/>
      <w:r>
        <w:rPr>
          <w:rStyle w:val="43"/>
          <w:rFonts w:ascii="宋体" w:hAnsi="宋体"/>
          <w:shd w:val="clear" w:color="auto" w:fill="D9D9D9"/>
        </w:rPr>
        <w:t>B1.2.5投标人之间为谋取中标或者排斥特定投标人而采取的其他联合行动；</w:t>
      </w:r>
      <w:bookmarkEnd w:id="99"/>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B1.2.6不同投标人的投标文件由同一单位或者个人编制；</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B1.2.7不同投标人委托同一单位或者个人办理投标事宜；</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B1.2.8不同投标人的投标文件载明的项目管理成员为同一人；</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B1.2.9 不同投标人聘请同一个人为其投标提供技术或者经济咨询服务的，但招标工程本身要求采用专有技术的除外；</w:t>
      </w:r>
    </w:p>
    <w:p>
      <w:pPr>
        <w:spacing w:line="360" w:lineRule="auto"/>
        <w:ind w:left="216" w:leftChars="103" w:firstLine="621" w:firstLineChars="296"/>
        <w:rPr>
          <w:rStyle w:val="43"/>
          <w:rFonts w:ascii="宋体" w:hAnsi="宋体"/>
          <w:shd w:val="clear" w:color="auto" w:fill="D9D9D9"/>
        </w:rPr>
      </w:pPr>
      <w:bookmarkStart w:id="100" w:name="_Toc16063942"/>
      <w:r>
        <w:rPr>
          <w:rStyle w:val="43"/>
          <w:rFonts w:ascii="宋体" w:hAnsi="宋体"/>
          <w:shd w:val="clear" w:color="auto" w:fill="D9D9D9"/>
        </w:rPr>
        <w:t>B1.2.10不同投标人的投标文件异常一致或者投标报价呈规律性差异；</w:t>
      </w:r>
      <w:bookmarkEnd w:id="100"/>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B1.2.11不同投标人的投标文件错漏之处一致的；</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B1.2.12不同投标人的投标文件相互混装；</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B1.2.13不同投标人的投标文件由同一台电脑编制或者同一台附属设备打印；</w:t>
      </w:r>
    </w:p>
    <w:p>
      <w:pPr>
        <w:spacing w:line="360" w:lineRule="auto"/>
        <w:ind w:left="216" w:leftChars="103" w:firstLine="621" w:firstLineChars="296"/>
        <w:rPr>
          <w:rStyle w:val="43"/>
          <w:rFonts w:ascii="宋体" w:hAnsi="宋体"/>
          <w:shd w:val="clear" w:color="auto" w:fill="D9D9D9"/>
        </w:rPr>
      </w:pPr>
      <w:bookmarkStart w:id="101" w:name="_Toc16063943"/>
      <w:r>
        <w:rPr>
          <w:rStyle w:val="43"/>
          <w:rFonts w:ascii="宋体" w:hAnsi="宋体"/>
          <w:shd w:val="clear" w:color="auto" w:fill="D9D9D9"/>
        </w:rPr>
        <w:t>B1.2.14不同投标人的投标保证金从同一单位或者个人的账户转出；</w:t>
      </w:r>
      <w:bookmarkEnd w:id="101"/>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B1.2.15不同投标人使用同一个人或者企业资金交纳投标保证金或者投标保函的反担保的；</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B1.2.16使用伪造、变造的许可证件；</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B1.2.17提供虚假的财务状况或者业绩；</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B1.2.18提供虚假的项目负责人或者主要技术人员简历、劳动关系证明；</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B1.2.19提供虚假的信用状况；</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B1.2.20其他弄虚作假的行为；</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B1.2.21招标人在开标前开启投标文件并将有关信息泄露给其他投标人;</w:t>
      </w:r>
    </w:p>
    <w:p>
      <w:pPr>
        <w:spacing w:line="360" w:lineRule="auto"/>
        <w:ind w:left="216" w:leftChars="103" w:firstLine="621" w:firstLineChars="296"/>
        <w:rPr>
          <w:rStyle w:val="43"/>
          <w:rFonts w:ascii="宋体" w:hAnsi="宋体"/>
          <w:shd w:val="clear" w:color="auto" w:fill="D9D9D9"/>
        </w:rPr>
      </w:pPr>
      <w:bookmarkStart w:id="102" w:name="_Toc16063944"/>
      <w:r>
        <w:rPr>
          <w:rStyle w:val="43"/>
          <w:rFonts w:ascii="宋体" w:hAnsi="宋体"/>
          <w:shd w:val="clear" w:color="auto" w:fill="D9D9D9"/>
        </w:rPr>
        <w:t>B1.2.22招标人直接或者间接向投标人泄露标底、评标委员会成员等信息；</w:t>
      </w:r>
      <w:bookmarkEnd w:id="102"/>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B1.2.23招标人明示或者暗示投标人压低或者抬高投标报价；</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B1.2.24招标人授意投标人撤换、修改投标文件；</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B1.2.25招标人明示或者暗示投标人为特定投标人中标提供方便；</w:t>
      </w:r>
    </w:p>
    <w:p>
      <w:pPr>
        <w:spacing w:line="360" w:lineRule="auto"/>
        <w:ind w:left="216" w:leftChars="103" w:firstLine="621" w:firstLineChars="296"/>
        <w:rPr>
          <w:rStyle w:val="43"/>
          <w:rFonts w:ascii="宋体" w:hAnsi="宋体"/>
          <w:shd w:val="clear" w:color="auto" w:fill="D9D9D9"/>
        </w:rPr>
      </w:pPr>
      <w:r>
        <w:rPr>
          <w:rStyle w:val="43"/>
          <w:rFonts w:ascii="宋体" w:hAnsi="宋体"/>
          <w:shd w:val="clear" w:color="auto" w:fill="D9D9D9"/>
        </w:rPr>
        <w:t>B1.2.26招标人与投标人为谋求特定投标人中标而采取的其他串通行为；</w:t>
      </w:r>
    </w:p>
    <w:p>
      <w:pPr>
        <w:spacing w:line="360" w:lineRule="auto"/>
        <w:ind w:left="216" w:leftChars="103" w:firstLine="621" w:firstLineChars="296"/>
        <w:rPr>
          <w:rStyle w:val="43"/>
          <w:rFonts w:ascii="宋体" w:hAnsi="宋体"/>
          <w:shd w:val="clear" w:color="auto" w:fill="D9D9D9"/>
        </w:rPr>
      </w:pPr>
      <w:bookmarkStart w:id="103" w:name="_Toc16063945"/>
      <w:r>
        <w:rPr>
          <w:rStyle w:val="43"/>
          <w:rFonts w:ascii="宋体" w:hAnsi="宋体"/>
          <w:shd w:val="clear" w:color="auto" w:fill="D9D9D9"/>
        </w:rPr>
        <w:t>B1.2.27评标委员会认定的其他串通投标情形；</w:t>
      </w:r>
      <w:bookmarkEnd w:id="103"/>
    </w:p>
    <w:p>
      <w:pPr>
        <w:spacing w:line="360" w:lineRule="auto"/>
        <w:ind w:firstLine="420" w:firstLineChars="200"/>
        <w:rPr>
          <w:rStyle w:val="43"/>
          <w:rFonts w:ascii="宋体" w:hAnsi="宋体"/>
        </w:rPr>
      </w:pPr>
      <w:r>
        <w:rPr>
          <w:rStyle w:val="43"/>
          <w:rFonts w:ascii="宋体" w:hAnsi="宋体"/>
        </w:rPr>
        <w:t>B1.3不按评标委员会要求澄清、说明或补正的。</w:t>
      </w:r>
    </w:p>
    <w:p>
      <w:pPr>
        <w:spacing w:line="360" w:lineRule="auto"/>
        <w:ind w:firstLine="422" w:firstLineChars="200"/>
        <w:rPr>
          <w:rStyle w:val="43"/>
          <w:rFonts w:ascii="宋体" w:hAnsi="宋体"/>
          <w:b/>
        </w:rPr>
      </w:pPr>
      <w:r>
        <w:rPr>
          <w:rStyle w:val="43"/>
          <w:rFonts w:ascii="宋体" w:hAnsi="宋体"/>
          <w:b/>
        </w:rPr>
        <w:t>B1.</w:t>
      </w:r>
      <w:r>
        <w:rPr>
          <w:rStyle w:val="43"/>
          <w:rFonts w:hint="eastAsia" w:ascii="宋体" w:hAnsi="宋体"/>
          <w:b/>
        </w:rPr>
        <w:t>4</w:t>
      </w:r>
      <w:r>
        <w:rPr>
          <w:rStyle w:val="43"/>
          <w:rFonts w:ascii="宋体" w:hAnsi="宋体"/>
          <w:b/>
        </w:rPr>
        <w:t>投标报价文件（投标函除外）未经有资格的工程造价专业人员签字并加盖执业专用章的。</w:t>
      </w:r>
    </w:p>
    <w:p>
      <w:pPr>
        <w:spacing w:line="360" w:lineRule="auto"/>
        <w:ind w:firstLine="420" w:firstLineChars="200"/>
        <w:rPr>
          <w:rStyle w:val="43"/>
          <w:rFonts w:ascii="宋体" w:hAnsi="宋体"/>
        </w:rPr>
      </w:pPr>
      <w:r>
        <w:rPr>
          <w:rStyle w:val="43"/>
          <w:rFonts w:ascii="宋体" w:hAnsi="宋体"/>
        </w:rPr>
        <w:t>B1.</w:t>
      </w:r>
      <w:r>
        <w:rPr>
          <w:rStyle w:val="43"/>
          <w:rFonts w:hint="eastAsia" w:ascii="宋体" w:hAnsi="宋体"/>
        </w:rPr>
        <w:t>5</w:t>
      </w:r>
      <w:r>
        <w:rPr>
          <w:rStyle w:val="43"/>
          <w:rFonts w:ascii="宋体" w:hAnsi="宋体"/>
        </w:rPr>
        <w:t>在施工组织设计和项目管理机构评审中，评标委员会认定投标人的投标未能通过此项评审的。</w:t>
      </w:r>
    </w:p>
    <w:p>
      <w:pPr>
        <w:spacing w:line="360" w:lineRule="auto"/>
        <w:ind w:firstLine="420" w:firstLineChars="200"/>
        <w:rPr>
          <w:rStyle w:val="43"/>
          <w:rFonts w:ascii="宋体" w:hAnsi="宋体"/>
        </w:rPr>
      </w:pPr>
      <w:r>
        <w:rPr>
          <w:rStyle w:val="43"/>
          <w:rFonts w:ascii="宋体" w:hAnsi="宋体"/>
        </w:rPr>
        <w:t>B1.</w:t>
      </w:r>
      <w:r>
        <w:rPr>
          <w:rStyle w:val="43"/>
          <w:rFonts w:hint="eastAsia" w:ascii="宋体" w:hAnsi="宋体"/>
        </w:rPr>
        <w:t>6</w:t>
      </w:r>
      <w:r>
        <w:rPr>
          <w:rStyle w:val="43"/>
          <w:rFonts w:ascii="宋体" w:hAnsi="宋体"/>
        </w:rPr>
        <w:t>评标委员会认定投标人以低于成本报价竞标的。</w:t>
      </w:r>
    </w:p>
    <w:p>
      <w:pPr>
        <w:spacing w:line="360" w:lineRule="auto"/>
        <w:ind w:firstLine="420" w:firstLineChars="200"/>
        <w:rPr>
          <w:rStyle w:val="43"/>
          <w:rFonts w:ascii="宋体" w:hAnsi="宋体"/>
        </w:rPr>
      </w:pPr>
      <w:r>
        <w:rPr>
          <w:rStyle w:val="43"/>
          <w:rFonts w:ascii="宋体" w:hAnsi="宋体"/>
        </w:rPr>
        <w:t>B1.</w:t>
      </w:r>
      <w:r>
        <w:rPr>
          <w:rStyle w:val="43"/>
          <w:rFonts w:hint="eastAsia" w:ascii="宋体" w:hAnsi="宋体"/>
        </w:rPr>
        <w:t>7</w:t>
      </w:r>
      <w:r>
        <w:rPr>
          <w:rStyle w:val="43"/>
          <w:rFonts w:ascii="宋体" w:hAnsi="宋体"/>
        </w:rPr>
        <w:t xml:space="preserve">投标人未按第二章 </w:t>
      </w:r>
      <w:r>
        <w:rPr>
          <w:rStyle w:val="29"/>
          <w:rFonts w:ascii="宋体" w:hAnsi="宋体"/>
          <w:color w:val="auto"/>
        </w:rPr>
        <w:t>投标人须知前附表第10.5款</w:t>
      </w:r>
      <w:r>
        <w:rPr>
          <w:rStyle w:val="43"/>
          <w:rFonts w:ascii="宋体" w:hAnsi="宋体"/>
        </w:rPr>
        <w:t>规定出席开标会的。</w:t>
      </w:r>
    </w:p>
    <w:p>
      <w:pPr>
        <w:spacing w:line="360" w:lineRule="auto"/>
        <w:ind w:left="420" w:leftChars="200"/>
        <w:rPr>
          <w:rStyle w:val="43"/>
          <w:rFonts w:ascii="宋体" w:hAnsi="宋体"/>
          <w:szCs w:val="22"/>
        </w:rPr>
      </w:pPr>
      <w:r>
        <w:rPr>
          <w:rStyle w:val="43"/>
          <w:rFonts w:hint="eastAsia" w:ascii="宋体" w:hAnsi="宋体"/>
          <w:szCs w:val="22"/>
        </w:rPr>
        <w:t>B1.8</w:t>
      </w:r>
      <w:r>
        <w:rPr>
          <w:rStyle w:val="43"/>
          <w:rFonts w:ascii="宋体" w:hAnsi="宋体"/>
          <w:szCs w:val="22"/>
        </w:rPr>
        <w:t>符合条件、或对招标文件做实质响应的供应商不足3家的</w:t>
      </w:r>
      <w:r>
        <w:rPr>
          <w:rStyle w:val="43"/>
          <w:rFonts w:hint="eastAsia" w:ascii="宋体" w:hAnsi="宋体"/>
          <w:szCs w:val="22"/>
        </w:rPr>
        <w:t>。</w:t>
      </w:r>
    </w:p>
    <w:p>
      <w:pPr>
        <w:spacing w:line="360" w:lineRule="auto"/>
        <w:ind w:left="420" w:leftChars="200"/>
        <w:rPr>
          <w:rStyle w:val="43"/>
          <w:rFonts w:ascii="宋体" w:hAnsi="宋体"/>
          <w:szCs w:val="22"/>
        </w:rPr>
      </w:pPr>
      <w:r>
        <w:rPr>
          <w:rStyle w:val="43"/>
          <w:rFonts w:hint="eastAsia" w:ascii="宋体" w:hAnsi="宋体"/>
          <w:szCs w:val="22"/>
        </w:rPr>
        <w:t>B1.9</w:t>
      </w:r>
      <w:r>
        <w:rPr>
          <w:rStyle w:val="43"/>
          <w:rFonts w:ascii="宋体" w:hAnsi="宋体"/>
          <w:szCs w:val="22"/>
        </w:rPr>
        <w:t>出现影响采购公正的违法违规行为的、投标人报价均超过采购预算的、因重大变故、采购任务取消的等</w:t>
      </w:r>
      <w:r>
        <w:rPr>
          <w:rStyle w:val="43"/>
          <w:rFonts w:hint="eastAsia" w:ascii="宋体" w:hAnsi="宋体"/>
          <w:szCs w:val="22"/>
        </w:rPr>
        <w:t>。</w:t>
      </w:r>
    </w:p>
    <w:p>
      <w:pPr>
        <w:spacing w:line="360" w:lineRule="auto"/>
        <w:ind w:firstLine="420" w:firstLineChars="200"/>
        <w:rPr>
          <w:rStyle w:val="43"/>
          <w:rFonts w:ascii="宋体" w:hAnsi="宋体"/>
        </w:rPr>
      </w:pPr>
    </w:p>
    <w:p>
      <w:pPr>
        <w:pStyle w:val="3"/>
        <w:jc w:val="both"/>
        <w:rPr>
          <w:i w:val="0"/>
          <w:iCs w:val="0"/>
          <w:sz w:val="32"/>
          <w:szCs w:val="32"/>
        </w:rPr>
      </w:pPr>
      <w:bookmarkStart w:id="104" w:name="_Toc11114"/>
      <w:bookmarkStart w:id="105" w:name="_Toc17817336"/>
      <w:bookmarkStart w:id="106" w:name="_Toc162361719"/>
      <w:bookmarkStart w:id="107" w:name="_第四章 合同条款及格式"/>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104"/>
      <w:bookmarkEnd w:id="105"/>
      <w:bookmarkEnd w:id="106"/>
    </w:p>
    <w:bookmarkEnd w:id="107"/>
    <w:p>
      <w:pPr>
        <w:rPr>
          <w:rStyle w:val="43"/>
          <w:rFonts w:ascii="宋体" w:hAnsi="宋体"/>
        </w:rPr>
      </w:pPr>
    </w:p>
    <w:p>
      <w:pPr>
        <w:jc w:val="center"/>
        <w:rPr>
          <w:rStyle w:val="43"/>
        </w:rPr>
      </w:pPr>
      <w:r>
        <w:rPr>
          <w:rStyle w:val="43"/>
          <w:rFonts w:hint="eastAsia" w:ascii="宋体" w:hAnsi="宋体"/>
          <w:b/>
          <w:bCs/>
        </w:rPr>
        <w:t>（</w:t>
      </w:r>
      <w:r>
        <w:rPr>
          <w:rStyle w:val="43"/>
          <w:rFonts w:ascii="宋体" w:hAnsi="宋体"/>
          <w:b/>
          <w:bCs/>
        </w:rPr>
        <w:t>以最终签署合同文本为准）</w:t>
      </w:r>
    </w:p>
    <w:p>
      <w:pPr>
        <w:wordWrap w:val="0"/>
        <w:adjustRightInd w:val="0"/>
        <w:snapToGrid w:val="0"/>
        <w:spacing w:line="360" w:lineRule="auto"/>
        <w:jc w:val="right"/>
        <w:rPr>
          <w:rFonts w:hint="default" w:ascii="宋体" w:hAnsi="宋体" w:eastAsia="宋体"/>
          <w:b/>
          <w:sz w:val="28"/>
          <w:szCs w:val="28"/>
          <w:u w:val="single"/>
          <w:lang w:val="en-US" w:eastAsia="zh-CN"/>
        </w:rPr>
      </w:pPr>
      <w:bookmarkStart w:id="108" w:name="_Toc294124224"/>
      <w:bookmarkStart w:id="109" w:name="_Toc363561430"/>
      <w:bookmarkStart w:id="110" w:name="_Toc24390"/>
      <w:bookmarkStart w:id="111" w:name="_Toc22187"/>
      <w:bookmarkStart w:id="112" w:name="_Toc20700"/>
      <w:bookmarkStart w:id="113" w:name="_Toc17162"/>
      <w:bookmarkStart w:id="114" w:name="_Toc19722"/>
      <w:bookmarkStart w:id="115" w:name="_Toc28547"/>
      <w:bookmarkStart w:id="116" w:name="_Toc372"/>
      <w:bookmarkStart w:id="117" w:name="_Toc1254"/>
      <w:bookmarkStart w:id="118" w:name="_Toc3675"/>
      <w:bookmarkStart w:id="119" w:name="_Toc162361720"/>
      <w:bookmarkStart w:id="120" w:name="_Toc19628"/>
      <w:bookmarkStart w:id="121" w:name="_第五章 投标报价要求"/>
      <w:bookmarkStart w:id="122" w:name="_Toc15775"/>
      <w:bookmarkStart w:id="123" w:name="_Toc17817340"/>
      <w:r>
        <w:rPr>
          <w:rFonts w:ascii="宋体" w:hAnsi="宋体"/>
          <w:b/>
          <w:sz w:val="28"/>
          <w:szCs w:val="28"/>
        </w:rPr>
        <w:t>编号：</w:t>
      </w:r>
      <w:r>
        <w:rPr>
          <w:rFonts w:hint="eastAsia" w:ascii="宋体" w:hAnsi="宋体" w:cs="宋体"/>
          <w:sz w:val="24"/>
          <w:szCs w:val="24"/>
          <w:u w:val="single"/>
          <w:lang w:val="en-US" w:eastAsia="zh-CN"/>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宋体" w:hAnsi="宋体"/>
          <w:b/>
          <w:bCs/>
          <w:sz w:val="52"/>
          <w:szCs w:val="36"/>
        </w:rPr>
      </w:pPr>
    </w:p>
    <w:p>
      <w:pPr>
        <w:adjustRightInd w:val="0"/>
        <w:snapToGrid w:val="0"/>
        <w:spacing w:line="360" w:lineRule="auto"/>
        <w:jc w:val="center"/>
        <w:rPr>
          <w:rFonts w:ascii="宋体" w:hAnsi="宋体"/>
          <w:b/>
          <w:bCs/>
          <w:sz w:val="52"/>
          <w:szCs w:val="36"/>
        </w:rPr>
      </w:pPr>
    </w:p>
    <w:p>
      <w:pPr>
        <w:adjustRightInd w:val="0"/>
        <w:snapToGrid w:val="0"/>
        <w:spacing w:line="360" w:lineRule="auto"/>
        <w:jc w:val="center"/>
        <w:rPr>
          <w:rFonts w:ascii="宋体" w:hAnsi="宋体"/>
          <w:b/>
          <w:bCs/>
          <w:sz w:val="52"/>
          <w:szCs w:val="36"/>
        </w:rPr>
      </w:pPr>
    </w:p>
    <w:p>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480" w:lineRule="auto"/>
        <w:ind w:left="2801" w:leftChars="665" w:hanging="1405" w:hangingChars="500"/>
        <w:jc w:val="left"/>
        <w:rPr>
          <w:rFonts w:hint="eastAsia" w:ascii="宋体" w:hAnsi="宋体"/>
          <w:b/>
          <w:sz w:val="28"/>
          <w:szCs w:val="36"/>
        </w:rPr>
      </w:pPr>
    </w:p>
    <w:p>
      <w:pPr>
        <w:adjustRightInd w:val="0"/>
        <w:snapToGrid w:val="0"/>
        <w:spacing w:line="480" w:lineRule="auto"/>
        <w:ind w:left="2801" w:leftChars="665" w:hanging="1405" w:hangingChars="500"/>
        <w:jc w:val="left"/>
        <w:rPr>
          <w:rFonts w:hint="default" w:ascii="宋体" w:hAnsi="宋体"/>
          <w:b/>
          <w:sz w:val="28"/>
          <w:szCs w:val="36"/>
          <w:lang w:val="en-US" w:eastAsia="zh-CN"/>
        </w:rPr>
      </w:pPr>
      <w:r>
        <w:rPr>
          <w:rFonts w:hint="eastAsia" w:ascii="宋体" w:hAnsi="宋体"/>
          <w:b/>
          <w:sz w:val="28"/>
          <w:szCs w:val="36"/>
        </w:rPr>
        <w:t>项目名称：</w:t>
      </w:r>
      <w:r>
        <w:rPr>
          <w:rFonts w:hint="eastAsia" w:ascii="宋体" w:hAnsi="宋体"/>
          <w:b/>
          <w:sz w:val="24"/>
          <w:szCs w:val="32"/>
          <w:lang w:val="en-US" w:eastAsia="zh-CN"/>
        </w:rPr>
        <w:t xml:space="preserve"> </w:t>
      </w:r>
      <w:r>
        <w:rPr>
          <w:rFonts w:hint="eastAsia" w:ascii="宋体" w:hAnsi="宋体"/>
          <w:b/>
          <w:sz w:val="24"/>
          <w:szCs w:val="32"/>
          <w:u w:val="single"/>
        </w:rPr>
        <w:t>济南</w:t>
      </w:r>
      <w:r>
        <w:rPr>
          <w:rFonts w:hint="eastAsia" w:ascii="宋体" w:hAnsi="宋体"/>
          <w:b/>
          <w:sz w:val="24"/>
          <w:szCs w:val="32"/>
          <w:u w:val="single"/>
          <w:lang w:val="en-US" w:eastAsia="zh-CN"/>
        </w:rPr>
        <w:t>汽车部件</w:t>
      </w:r>
      <w:r>
        <w:rPr>
          <w:rFonts w:hint="eastAsia" w:ascii="宋体" w:hAnsi="宋体"/>
          <w:b/>
          <w:sz w:val="24"/>
          <w:szCs w:val="32"/>
          <w:u w:val="single"/>
        </w:rPr>
        <w:t>公司</w:t>
      </w:r>
      <w:r>
        <w:rPr>
          <w:rFonts w:hint="eastAsia" w:ascii="宋体" w:hAnsi="宋体"/>
          <w:b/>
          <w:sz w:val="24"/>
          <w:szCs w:val="32"/>
          <w:u w:val="single"/>
          <w:lang w:val="en-US" w:eastAsia="zh-CN"/>
        </w:rPr>
        <w:t xml:space="preserve">零件线甲、乙醇混合罐迁移改造施工项目 </w:t>
      </w:r>
      <w:r>
        <w:rPr>
          <w:rFonts w:hint="eastAsia" w:ascii="宋体" w:hAnsi="宋体"/>
          <w:b/>
          <w:sz w:val="24"/>
          <w:szCs w:val="32"/>
          <w:lang w:val="en-US" w:eastAsia="zh-CN"/>
        </w:rPr>
        <w:t xml:space="preserve"> </w:t>
      </w:r>
      <w:r>
        <w:rPr>
          <w:rFonts w:hint="eastAsia" w:ascii="宋体" w:hAnsi="宋体"/>
          <w:b/>
          <w:sz w:val="28"/>
          <w:szCs w:val="36"/>
          <w:lang w:val="en-US" w:eastAsia="zh-CN"/>
        </w:rPr>
        <w:t xml:space="preserve">       </w:t>
      </w:r>
    </w:p>
    <w:p>
      <w:pPr>
        <w:adjustRightInd w:val="0"/>
        <w:snapToGrid w:val="0"/>
        <w:spacing w:line="480" w:lineRule="auto"/>
        <w:ind w:left="2801" w:leftChars="665" w:hanging="1405" w:hangingChars="500"/>
        <w:jc w:val="left"/>
        <w:rPr>
          <w:rFonts w:hint="default" w:ascii="宋体" w:hAnsi="宋体"/>
          <w:b/>
          <w:sz w:val="28"/>
          <w:szCs w:val="36"/>
          <w:u w:val="single"/>
          <w:lang w:val="en-US"/>
        </w:rPr>
      </w:pPr>
      <w:r>
        <w:rPr>
          <w:rFonts w:hint="eastAsia" w:ascii="宋体" w:hAnsi="宋体"/>
          <w:b/>
          <w:sz w:val="28"/>
          <w:szCs w:val="36"/>
        </w:rPr>
        <w:t>发 包 人：</w:t>
      </w:r>
      <w:r>
        <w:rPr>
          <w:rFonts w:hint="eastAsia" w:ascii="宋体" w:hAnsi="宋体"/>
          <w:b/>
          <w:sz w:val="24"/>
          <w:szCs w:val="32"/>
          <w:u w:val="single"/>
          <w:lang w:val="en-US" w:eastAsia="zh-CN"/>
        </w:rPr>
        <w:t>中国重汽集团济南汽车部件有限公司</w:t>
      </w:r>
    </w:p>
    <w:p>
      <w:pPr>
        <w:adjustRightInd w:val="0"/>
        <w:snapToGrid w:val="0"/>
        <w:spacing w:line="480" w:lineRule="auto"/>
        <w:ind w:left="2801" w:leftChars="665" w:hanging="1405" w:hangingChars="500"/>
        <w:jc w:val="left"/>
        <w:rPr>
          <w:rFonts w:hint="default" w:ascii="宋体" w:hAnsi="宋体"/>
          <w:b/>
          <w:sz w:val="24"/>
          <w:szCs w:val="32"/>
          <w:u w:val="single"/>
          <w:lang w:val="en-US" w:eastAsia="zh-CN"/>
        </w:rPr>
      </w:pPr>
      <w:r>
        <w:rPr>
          <w:rFonts w:hint="eastAsia" w:ascii="宋体" w:hAnsi="宋体"/>
          <w:b/>
          <w:sz w:val="28"/>
          <w:szCs w:val="36"/>
        </w:rPr>
        <w:t>承 包 人：</w:t>
      </w:r>
      <w:r>
        <w:rPr>
          <w:rFonts w:hint="eastAsia" w:ascii="宋体" w:hAnsi="宋体"/>
          <w:b/>
          <w:sz w:val="24"/>
          <w:szCs w:val="32"/>
          <w:u w:val="single"/>
          <w:lang w:val="en-US" w:eastAsia="zh-CN"/>
        </w:rPr>
        <w:t xml:space="preserve">本次中标单位                                      </w:t>
      </w:r>
    </w:p>
    <w:p>
      <w:pPr>
        <w:adjustRightInd w:val="0"/>
        <w:snapToGrid w:val="0"/>
        <w:spacing w:line="360" w:lineRule="auto"/>
        <w:ind w:firstLine="2530" w:firstLineChars="900"/>
        <w:jc w:val="left"/>
        <w:rPr>
          <w:rFonts w:ascii="宋体" w:hAnsi="宋体"/>
          <w:b/>
          <w:sz w:val="28"/>
          <w:szCs w:val="36"/>
        </w:rPr>
      </w:pPr>
    </w:p>
    <w:p>
      <w:pPr>
        <w:adjustRightInd w:val="0"/>
        <w:snapToGrid w:val="0"/>
        <w:spacing w:line="360" w:lineRule="auto"/>
        <w:ind w:firstLine="2530" w:firstLineChars="900"/>
        <w:jc w:val="left"/>
        <w:rPr>
          <w:rFonts w:ascii="宋体" w:hAnsi="宋体"/>
          <w:b/>
          <w:sz w:val="28"/>
          <w:szCs w:val="36"/>
        </w:rPr>
      </w:pPr>
    </w:p>
    <w:p>
      <w:pPr>
        <w:adjustRightInd w:val="0"/>
        <w:snapToGrid w:val="0"/>
        <w:spacing w:line="360" w:lineRule="auto"/>
        <w:rPr>
          <w:rFonts w:hint="eastAsia" w:ascii="仿宋" w:hAnsi="仿宋" w:eastAsia="仿宋" w:cs="仿宋"/>
          <w:b/>
          <w:sz w:val="24"/>
          <w:u w:val="single"/>
          <w:lang w:val="en-US" w:eastAsia="zh-CN"/>
        </w:rPr>
      </w:pPr>
      <w:r>
        <w:rPr>
          <w:rFonts w:hint="eastAsia" w:ascii="仿宋" w:hAnsi="仿宋" w:eastAsia="仿宋" w:cs="仿宋"/>
          <w:b/>
          <w:sz w:val="24"/>
        </w:rPr>
        <w:t>发包人（全称）：</w:t>
      </w:r>
      <w:r>
        <w:rPr>
          <w:rFonts w:hint="eastAsia" w:ascii="仿宋" w:hAnsi="仿宋" w:eastAsia="仿宋" w:cs="仿宋"/>
          <w:b/>
          <w:sz w:val="24"/>
          <w:u w:val="single"/>
          <w:lang w:val="en-US" w:eastAsia="zh-CN"/>
        </w:rPr>
        <w:t>中国重汽集团济南汽车部件有限公司</w:t>
      </w:r>
    </w:p>
    <w:p>
      <w:pPr>
        <w:adjustRightInd w:val="0"/>
        <w:snapToGrid w:val="0"/>
        <w:spacing w:line="360" w:lineRule="auto"/>
        <w:rPr>
          <w:rFonts w:hint="default" w:ascii="仿宋" w:hAnsi="仿宋" w:eastAsia="仿宋" w:cs="仿宋"/>
          <w:b/>
          <w:sz w:val="24"/>
          <w:u w:val="single"/>
          <w:lang w:val="en-US" w:eastAsia="zh-CN"/>
        </w:rPr>
      </w:pPr>
      <w:r>
        <w:rPr>
          <w:rFonts w:hint="eastAsia" w:ascii="仿宋" w:hAnsi="仿宋" w:eastAsia="仿宋" w:cs="仿宋"/>
          <w:b/>
          <w:sz w:val="24"/>
        </w:rPr>
        <w:t>承包人（全称）：</w:t>
      </w:r>
      <w:r>
        <w:rPr>
          <w:rFonts w:hint="eastAsia" w:ascii="仿宋" w:hAnsi="仿宋" w:eastAsia="仿宋" w:cs="仿宋"/>
          <w:b/>
          <w:sz w:val="24"/>
          <w:u w:val="single"/>
          <w:lang w:val="en-US" w:eastAsia="zh-CN"/>
        </w:rPr>
        <w:t>本次中标单位</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根据《中华人民共和国建筑法》及有关法律规定，遵循平等、自愿、公平和诚实信用的原则，双方就工程施工及有关事项协商一致，共同达成如下协议：</w:t>
      </w:r>
    </w:p>
    <w:p>
      <w:pPr>
        <w:pStyle w:val="5"/>
        <w:adjustRightInd w:val="0"/>
        <w:snapToGrid w:val="0"/>
        <w:spacing w:before="120" w:after="120" w:line="336" w:lineRule="auto"/>
        <w:rPr>
          <w:rFonts w:ascii="仿宋" w:hAnsi="仿宋" w:eastAsia="仿宋" w:cs="仿宋"/>
          <w:bCs w:val="0"/>
          <w:sz w:val="24"/>
          <w:szCs w:val="24"/>
        </w:rPr>
      </w:pPr>
      <w:bookmarkStart w:id="124" w:name="_Toc351203481"/>
      <w:r>
        <w:rPr>
          <w:rFonts w:hint="eastAsia" w:ascii="仿宋" w:hAnsi="仿宋" w:eastAsia="仿宋" w:cs="仿宋"/>
          <w:sz w:val="24"/>
          <w:szCs w:val="24"/>
        </w:rPr>
        <w:t>一、工程概况</w:t>
      </w:r>
      <w:bookmarkEnd w:id="124"/>
    </w:p>
    <w:p>
      <w:pPr>
        <w:adjustRightInd w:val="0"/>
        <w:snapToGrid w:val="0"/>
        <w:spacing w:line="336" w:lineRule="auto"/>
        <w:ind w:firstLine="470" w:firstLineChars="196"/>
        <w:rPr>
          <w:rFonts w:hint="eastAsia" w:ascii="仿宋" w:hAnsi="仿宋" w:eastAsia="仿宋" w:cs="仿宋"/>
          <w:sz w:val="24"/>
          <w:u w:val="single"/>
        </w:rPr>
      </w:pPr>
      <w:r>
        <w:rPr>
          <w:rFonts w:hint="eastAsia" w:ascii="仿宋" w:hAnsi="仿宋" w:eastAsia="仿宋" w:cs="仿宋"/>
          <w:bCs/>
          <w:sz w:val="24"/>
        </w:rPr>
        <w:t>1.1工程名称</w:t>
      </w:r>
      <w:r>
        <w:rPr>
          <w:rFonts w:hint="eastAsia" w:ascii="仿宋" w:hAnsi="仿宋" w:eastAsia="仿宋" w:cs="仿宋"/>
          <w:sz w:val="24"/>
        </w:rPr>
        <w:t>：</w:t>
      </w:r>
      <w:r>
        <w:rPr>
          <w:rFonts w:hint="eastAsia" w:ascii="仿宋" w:hAnsi="仿宋" w:eastAsia="仿宋" w:cs="仿宋"/>
          <w:sz w:val="24"/>
          <w:u w:val="single"/>
        </w:rPr>
        <w:t>济南</w:t>
      </w:r>
      <w:r>
        <w:rPr>
          <w:rFonts w:hint="eastAsia" w:ascii="仿宋" w:hAnsi="仿宋" w:eastAsia="仿宋" w:cs="仿宋"/>
          <w:sz w:val="24"/>
          <w:u w:val="single"/>
          <w:lang w:val="en-US" w:eastAsia="zh-CN"/>
        </w:rPr>
        <w:t>汽车部件</w:t>
      </w:r>
      <w:r>
        <w:rPr>
          <w:rFonts w:hint="eastAsia" w:ascii="仿宋" w:hAnsi="仿宋" w:eastAsia="仿宋" w:cs="仿宋"/>
          <w:sz w:val="24"/>
          <w:u w:val="single"/>
        </w:rPr>
        <w:t>公司</w:t>
      </w:r>
      <w:r>
        <w:rPr>
          <w:rFonts w:hint="eastAsia" w:ascii="仿宋" w:hAnsi="仿宋" w:eastAsia="仿宋" w:cs="仿宋"/>
          <w:sz w:val="24"/>
          <w:u w:val="single"/>
          <w:lang w:val="en-US" w:eastAsia="zh-CN"/>
        </w:rPr>
        <w:t>零件线甲、乙醇混合罐迁移改造施工项目</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adjustRightInd w:val="0"/>
        <w:snapToGrid w:val="0"/>
        <w:spacing w:line="336" w:lineRule="auto"/>
        <w:ind w:firstLine="470" w:firstLineChars="196"/>
        <w:rPr>
          <w:rStyle w:val="43"/>
          <w:rFonts w:hint="eastAsia" w:ascii="仿宋" w:hAnsi="仿宋" w:eastAsia="仿宋" w:cs="仿宋"/>
          <w:sz w:val="24"/>
          <w:u w:val="single"/>
          <w:lang w:val="en-US" w:eastAsia="zh-CN" w:bidi="ar"/>
        </w:rPr>
      </w:pPr>
      <w:r>
        <w:rPr>
          <w:rFonts w:hint="eastAsia" w:ascii="仿宋" w:hAnsi="仿宋" w:eastAsia="仿宋" w:cs="仿宋"/>
          <w:bCs/>
          <w:sz w:val="24"/>
        </w:rPr>
        <w:t>1.2工程地点：</w:t>
      </w:r>
      <w:r>
        <w:rPr>
          <w:rStyle w:val="43"/>
          <w:rFonts w:hint="eastAsia" w:ascii="仿宋" w:hAnsi="仿宋" w:eastAsia="仿宋" w:cs="仿宋"/>
          <w:sz w:val="24"/>
          <w:u w:val="single"/>
          <w:lang w:val="en-US" w:eastAsia="zh-CN" w:bidi="ar"/>
        </w:rPr>
        <w:t xml:space="preserve"> 济南市章丘区圣井街道潘王路西重汽工业园北三厂</w:t>
      </w:r>
      <w:r>
        <w:rPr>
          <w:rFonts w:hint="eastAsia" w:ascii="仿宋" w:hAnsi="仿宋" w:eastAsia="仿宋" w:cs="仿宋"/>
          <w:sz w:val="24"/>
          <w:u w:val="single"/>
          <w:lang w:val="en-US" w:eastAsia="zh-CN"/>
        </w:rPr>
        <w:t xml:space="preserve">中国重汽集团济南汽车部件有限公司底盘零件线 </w:t>
      </w:r>
      <w:r>
        <w:rPr>
          <w:rStyle w:val="43"/>
          <w:rFonts w:hint="eastAsia" w:ascii="仿宋" w:hAnsi="仿宋" w:eastAsia="仿宋" w:cs="仿宋"/>
          <w:sz w:val="24"/>
          <w:u w:val="single"/>
          <w:lang w:val="en-US" w:eastAsia="zh-CN" w:bidi="ar"/>
        </w:rPr>
        <w:t xml:space="preserve"> </w:t>
      </w:r>
    </w:p>
    <w:p>
      <w:pPr>
        <w:adjustRightInd w:val="0"/>
        <w:snapToGrid w:val="0"/>
        <w:spacing w:line="336" w:lineRule="auto"/>
        <w:ind w:firstLine="470" w:firstLineChars="196"/>
        <w:rPr>
          <w:rFonts w:ascii="仿宋" w:hAnsi="仿宋" w:eastAsia="仿宋" w:cs="仿宋"/>
          <w:bCs/>
          <w:sz w:val="24"/>
        </w:rPr>
      </w:pPr>
      <w:r>
        <w:rPr>
          <w:rFonts w:hint="eastAsia" w:ascii="仿宋" w:hAnsi="仿宋" w:eastAsia="仿宋" w:cs="仿宋"/>
          <w:bCs/>
          <w:sz w:val="24"/>
        </w:rPr>
        <w:t>1.3资金来源：</w:t>
      </w:r>
      <w:r>
        <w:rPr>
          <w:rStyle w:val="43"/>
          <w:rFonts w:hint="eastAsia" w:ascii="仿宋" w:hAnsi="仿宋" w:eastAsia="仿宋" w:cs="仿宋"/>
          <w:sz w:val="24"/>
          <w:u w:val="single"/>
          <w:lang w:val="en-US" w:eastAsia="zh-CN" w:bidi="ar"/>
        </w:rPr>
        <w:t xml:space="preserve">企业自筹 </w:t>
      </w:r>
      <w:r>
        <w:rPr>
          <w:rStyle w:val="43"/>
          <w:rFonts w:hint="eastAsia" w:ascii="宋体" w:hAnsi="宋体" w:eastAsia="宋体" w:cs="宋体"/>
          <w:sz w:val="24"/>
          <w:u w:val="single"/>
          <w:lang w:val="en-US" w:eastAsia="zh-CN" w:bidi="ar"/>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bCs/>
          <w:sz w:val="24"/>
        </w:rPr>
        <w:t xml:space="preserve"> </w:t>
      </w:r>
    </w:p>
    <w:p>
      <w:pPr>
        <w:widowControl/>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1.4工程承包范围：</w:t>
      </w:r>
      <w:r>
        <w:rPr>
          <w:rFonts w:hint="eastAsia" w:ascii="仿宋" w:hAnsi="仿宋" w:eastAsia="仿宋" w:cs="仿宋"/>
          <w:sz w:val="24"/>
          <w:u w:val="single"/>
        </w:rPr>
        <w:t>济南</w:t>
      </w:r>
      <w:r>
        <w:rPr>
          <w:rFonts w:hint="eastAsia" w:ascii="仿宋" w:hAnsi="仿宋" w:eastAsia="仿宋" w:cs="仿宋"/>
          <w:sz w:val="24"/>
          <w:u w:val="single"/>
          <w:lang w:val="en-US" w:eastAsia="zh-CN"/>
        </w:rPr>
        <w:t>汽车部件</w:t>
      </w:r>
      <w:r>
        <w:rPr>
          <w:rFonts w:hint="eastAsia" w:ascii="仿宋" w:hAnsi="仿宋" w:eastAsia="仿宋" w:cs="仿宋"/>
          <w:sz w:val="24"/>
          <w:u w:val="single"/>
        </w:rPr>
        <w:t>公司</w:t>
      </w:r>
      <w:r>
        <w:rPr>
          <w:rFonts w:hint="eastAsia" w:ascii="仿宋" w:hAnsi="仿宋" w:eastAsia="仿宋" w:cs="仿宋"/>
          <w:sz w:val="24"/>
          <w:u w:val="single"/>
          <w:lang w:val="en-US" w:eastAsia="zh-CN"/>
        </w:rPr>
        <w:t>零件线甲、乙醇混合罐迁移改造施工项目-</w:t>
      </w:r>
      <w:r>
        <w:rPr>
          <w:rFonts w:hint="eastAsia" w:ascii="仿宋" w:hAnsi="仿宋" w:eastAsia="仿宋" w:cs="仿宋"/>
          <w:bCs/>
          <w:sz w:val="24"/>
          <w:u w:val="single"/>
          <w:lang w:val="en-US" w:eastAsia="zh-CN"/>
        </w:rPr>
        <w:t>建筑物占地面积：27.22平方米，建筑物建筑面积：27.22平方米，其中地上建筑面积27.22平方米，无地下建筑面积，建筑层数：两层（底层架空），建筑高度：9.20m（室外设计地面至屋脊与檐口的平均高度）。</w:t>
      </w:r>
    </w:p>
    <w:p>
      <w:pPr>
        <w:adjustRightInd w:val="0"/>
        <w:snapToGrid w:val="0"/>
        <w:spacing w:line="336" w:lineRule="auto"/>
        <w:rPr>
          <w:rStyle w:val="43"/>
          <w:rFonts w:hint="eastAsia" w:ascii="仿宋" w:hAnsi="仿宋" w:eastAsia="仿宋" w:cs="仿宋"/>
          <w:sz w:val="24"/>
          <w:u w:val="single"/>
          <w:lang w:eastAsia="zh-CN" w:bidi="ar"/>
        </w:rPr>
      </w:pPr>
    </w:p>
    <w:p>
      <w:pPr>
        <w:pStyle w:val="5"/>
        <w:adjustRightInd w:val="0"/>
        <w:snapToGrid w:val="0"/>
        <w:spacing w:before="120" w:after="120" w:line="336" w:lineRule="auto"/>
        <w:rPr>
          <w:rFonts w:ascii="仿宋" w:hAnsi="仿宋" w:eastAsia="仿宋" w:cs="仿宋"/>
          <w:sz w:val="24"/>
          <w:szCs w:val="24"/>
        </w:rPr>
      </w:pPr>
      <w:bookmarkStart w:id="125" w:name="_Toc351203482"/>
      <w:r>
        <w:rPr>
          <w:rFonts w:hint="eastAsia" w:ascii="仿宋" w:hAnsi="仿宋" w:eastAsia="仿宋" w:cs="仿宋"/>
          <w:sz w:val="24"/>
          <w:szCs w:val="24"/>
        </w:rPr>
        <w:t>二、合同工期</w:t>
      </w:r>
      <w:bookmarkEnd w:id="125"/>
    </w:p>
    <w:p>
      <w:pPr>
        <w:adjustRightInd w:val="0"/>
        <w:snapToGrid w:val="0"/>
        <w:spacing w:line="336" w:lineRule="auto"/>
        <w:ind w:firstLine="459"/>
        <w:rPr>
          <w:rFonts w:hint="eastAsia" w:ascii="仿宋" w:hAnsi="仿宋" w:eastAsia="仿宋" w:cs="仿宋"/>
          <w:sz w:val="24"/>
          <w:lang w:eastAsia="zh-CN"/>
        </w:rPr>
      </w:pPr>
      <w:r>
        <w:rPr>
          <w:rFonts w:hint="eastAsia" w:ascii="仿宋" w:hAnsi="仿宋" w:eastAsia="仿宋" w:cs="仿宋"/>
          <w:sz w:val="24"/>
        </w:rPr>
        <w:t>2.1计划开工日期：</w:t>
      </w:r>
      <w:r>
        <w:rPr>
          <w:rFonts w:hint="eastAsia" w:ascii="仿宋" w:hAnsi="仿宋" w:eastAsia="仿宋" w:cs="仿宋"/>
          <w:sz w:val="24"/>
          <w:u w:val="single"/>
        </w:rPr>
        <w:t> 202</w:t>
      </w:r>
      <w:r>
        <w:rPr>
          <w:rFonts w:hint="eastAsia" w:ascii="仿宋" w:hAnsi="仿宋" w:eastAsia="仿宋" w:cs="仿宋"/>
          <w:sz w:val="24"/>
          <w:u w:val="single"/>
          <w:lang w:val="en-US" w:eastAsia="zh-CN"/>
        </w:rPr>
        <w:t>5</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日。</w:t>
      </w:r>
      <w:r>
        <w:rPr>
          <w:rFonts w:hint="eastAsia" w:ascii="仿宋" w:hAnsi="仿宋" w:eastAsia="仿宋" w:cs="仿宋"/>
          <w:sz w:val="24"/>
          <w:lang w:eastAsia="zh-CN"/>
        </w:rPr>
        <w:t>（</w:t>
      </w:r>
      <w:r>
        <w:rPr>
          <w:rFonts w:hint="eastAsia" w:ascii="仿宋" w:hAnsi="仿宋" w:eastAsia="仿宋" w:cs="仿宋"/>
          <w:sz w:val="24"/>
          <w:lang w:val="en-US" w:eastAsia="zh-CN"/>
        </w:rPr>
        <w:t>以开工令为准</w:t>
      </w:r>
      <w:r>
        <w:rPr>
          <w:rFonts w:hint="eastAsia" w:ascii="仿宋" w:hAnsi="仿宋" w:eastAsia="仿宋" w:cs="仿宋"/>
          <w:sz w:val="24"/>
          <w:lang w:eastAsia="zh-CN"/>
        </w:rPr>
        <w:t>）</w:t>
      </w:r>
    </w:p>
    <w:p>
      <w:pPr>
        <w:adjustRightInd w:val="0"/>
        <w:snapToGrid w:val="0"/>
        <w:spacing w:line="336" w:lineRule="auto"/>
        <w:ind w:firstLine="960" w:firstLineChars="400"/>
        <w:rPr>
          <w:rFonts w:ascii="仿宋" w:hAnsi="仿宋" w:eastAsia="仿宋" w:cs="仿宋"/>
          <w:sz w:val="24"/>
        </w:rPr>
      </w:pPr>
      <w:r>
        <w:rPr>
          <w:rFonts w:hint="eastAsia" w:ascii="仿宋" w:hAnsi="仿宋" w:eastAsia="仿宋" w:cs="仿宋"/>
          <w:sz w:val="24"/>
        </w:rPr>
        <w:t>计划竣工日期：</w:t>
      </w:r>
      <w:r>
        <w:rPr>
          <w:rFonts w:hint="eastAsia" w:ascii="仿宋" w:hAnsi="仿宋" w:eastAsia="仿宋" w:cs="仿宋"/>
          <w:sz w:val="24"/>
          <w:u w:val="single"/>
        </w:rPr>
        <w:t>202</w:t>
      </w:r>
      <w:r>
        <w:rPr>
          <w:rFonts w:hint="eastAsia" w:ascii="仿宋" w:hAnsi="仿宋" w:eastAsia="仿宋" w:cs="仿宋"/>
          <w:sz w:val="24"/>
          <w:u w:val="single"/>
          <w:lang w:val="en-US" w:eastAsia="zh-CN"/>
        </w:rPr>
        <w:t>5</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日。</w:t>
      </w:r>
    </w:p>
    <w:p>
      <w:pPr>
        <w:adjustRightInd w:val="0"/>
        <w:snapToGrid w:val="0"/>
        <w:spacing w:line="336" w:lineRule="auto"/>
        <w:ind w:firstLine="459"/>
        <w:rPr>
          <w:rFonts w:hint="eastAsia" w:ascii="仿宋" w:hAnsi="仿宋" w:eastAsia="仿宋" w:cs="仿宋"/>
          <w:kern w:val="2"/>
          <w:sz w:val="24"/>
          <w:szCs w:val="24"/>
          <w:lang w:val="en-US" w:eastAsia="zh-CN" w:bidi="ar-SA"/>
        </w:rPr>
      </w:pPr>
      <w:r>
        <w:rPr>
          <w:rFonts w:hint="eastAsia" w:ascii="仿宋" w:hAnsi="仿宋" w:eastAsia="仿宋" w:cs="仿宋"/>
          <w:sz w:val="24"/>
        </w:rPr>
        <w:t>工期总日历天数：</w:t>
      </w:r>
      <w:r>
        <w:rPr>
          <w:rFonts w:hint="eastAsia" w:ascii="仿宋" w:hAnsi="仿宋" w:eastAsia="仿宋" w:cs="仿宋"/>
          <w:sz w:val="24"/>
          <w:u w:val="single"/>
          <w:lang w:val="en-US" w:eastAsia="zh-CN"/>
        </w:rPr>
        <w:t>60</w:t>
      </w:r>
      <w:r>
        <w:rPr>
          <w:rFonts w:hint="eastAsia" w:ascii="仿宋" w:hAnsi="仿宋" w:eastAsia="仿宋" w:cs="仿宋"/>
          <w:sz w:val="24"/>
        </w:rPr>
        <w:t>天</w:t>
      </w:r>
      <w:r>
        <w:rPr>
          <w:rFonts w:hint="eastAsia" w:ascii="仿宋" w:hAnsi="仿宋" w:eastAsia="仿宋" w:cs="仿宋"/>
          <w:sz w:val="24"/>
          <w:lang w:val="en-US" w:eastAsia="zh-CN"/>
        </w:rPr>
        <w:t>内</w:t>
      </w:r>
      <w:r>
        <w:rPr>
          <w:rFonts w:hint="eastAsia" w:ascii="仿宋" w:hAnsi="仿宋" w:eastAsia="仿宋" w:cs="仿宋"/>
          <w:sz w:val="24"/>
        </w:rPr>
        <w:t>。工期总日历天数与根据前述计划开竣工日期计算的工期天数不一致的，以工期总日历天数为准。</w:t>
      </w:r>
    </w:p>
    <w:p>
      <w:pPr>
        <w:adjustRightInd w:val="0"/>
        <w:snapToGrid w:val="0"/>
        <w:spacing w:line="336" w:lineRule="auto"/>
        <w:ind w:firstLine="459"/>
        <w:rPr>
          <w:rFonts w:hint="default" w:ascii="仿宋" w:hAnsi="仿宋" w:eastAsia="仿宋" w:cs="仿宋"/>
          <w:sz w:val="24"/>
          <w:lang w:val="en-US"/>
        </w:rPr>
      </w:pPr>
      <w:r>
        <w:rPr>
          <w:rFonts w:hint="eastAsia" w:ascii="仿宋" w:hAnsi="仿宋" w:eastAsia="仿宋" w:cs="仿宋"/>
          <w:sz w:val="24"/>
        </w:rPr>
        <w:sym w:font="Wingdings 2" w:char="00A3"/>
      </w:r>
      <w:r>
        <w:rPr>
          <w:rFonts w:hint="eastAsia" w:ascii="仿宋" w:hAnsi="仿宋" w:eastAsia="仿宋" w:cs="仿宋"/>
          <w:sz w:val="24"/>
        </w:rPr>
        <w:t>其中关键节点工期计划：</w:t>
      </w:r>
      <w:r>
        <w:rPr>
          <w:rFonts w:hint="eastAsia" w:ascii="仿宋" w:hAnsi="仿宋" w:eastAsia="仿宋" w:cs="仿宋"/>
          <w:sz w:val="24"/>
          <w:u w:val="single"/>
          <w:lang w:val="en-US" w:eastAsia="zh-CN"/>
        </w:rPr>
        <w:t xml:space="preserve">  无  </w:t>
      </w:r>
    </w:p>
    <w:p>
      <w:pPr>
        <w:adjustRightInd w:val="0"/>
        <w:snapToGrid w:val="0"/>
        <w:spacing w:line="336" w:lineRule="auto"/>
        <w:ind w:firstLine="420" w:firstLineChars="175"/>
        <w:rPr>
          <w:rFonts w:ascii="仿宋" w:hAnsi="仿宋" w:eastAsia="仿宋" w:cs="仿宋"/>
          <w:sz w:val="24"/>
        </w:rPr>
      </w:pPr>
      <w:r>
        <w:rPr>
          <w:rFonts w:hint="eastAsia" w:ascii="仿宋" w:hAnsi="仿宋" w:eastAsia="仿宋" w:cs="仿宋"/>
          <w:sz w:val="24"/>
        </w:rPr>
        <w:t>2.2承包人应在</w:t>
      </w:r>
      <w:r>
        <w:rPr>
          <w:rFonts w:hint="eastAsia" w:ascii="仿宋" w:hAnsi="仿宋" w:eastAsia="仿宋" w:cs="仿宋"/>
          <w:i/>
          <w:iCs/>
          <w:sz w:val="24"/>
          <w:u w:val="single"/>
        </w:rPr>
        <w:t>进场后3日内或工地第一次例会前</w:t>
      </w:r>
      <w:r>
        <w:rPr>
          <w:rFonts w:hint="eastAsia" w:ascii="仿宋" w:hAnsi="仿宋" w:eastAsia="仿宋" w:cs="仿宋"/>
          <w:sz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336" w:lineRule="auto"/>
        <w:ind w:firstLine="420" w:firstLineChars="175"/>
        <w:rPr>
          <w:rFonts w:ascii="仿宋" w:hAnsi="仿宋" w:eastAsia="仿宋" w:cs="仿宋"/>
          <w:sz w:val="24"/>
        </w:rPr>
      </w:pPr>
      <w:r>
        <w:rPr>
          <w:rFonts w:hint="eastAsia" w:ascii="仿宋" w:hAnsi="仿宋" w:eastAsia="仿宋" w:cs="仿宋"/>
          <w:sz w:val="24"/>
        </w:rPr>
        <w:t>2.3因承包人原因造成不能按期开工或中途无故停工的，工期不能顺延，由此引起的赶工等费用由承包人自行承担。</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rPr>
        <w:t>0.5</w:t>
      </w:r>
      <w:r>
        <w:rPr>
          <w:rFonts w:hint="eastAsia" w:ascii="仿宋" w:hAnsi="仿宋" w:eastAsia="仿宋" w:cs="仿宋"/>
          <w:sz w:val="24"/>
        </w:rPr>
        <w:t>‰的金额向发包人支付违约金，没有最终结算价的，按合同签约暂定价的</w:t>
      </w:r>
      <w:r>
        <w:rPr>
          <w:rFonts w:ascii="仿宋" w:hAnsi="仿宋" w:eastAsia="仿宋" w:cs="仿宋"/>
          <w:sz w:val="24"/>
        </w:rPr>
        <w:t>0.5</w:t>
      </w:r>
      <w:r>
        <w:rPr>
          <w:rFonts w:hint="eastAsia" w:ascii="仿宋" w:hAnsi="仿宋" w:eastAsia="仿宋" w:cs="仿宋"/>
          <w:sz w:val="24"/>
        </w:rPr>
        <w:t>‰计算；各里程碑节点逾期超过</w:t>
      </w:r>
      <w:r>
        <w:rPr>
          <w:rFonts w:ascii="仿宋" w:hAnsi="仿宋" w:eastAsia="仿宋" w:cs="仿宋"/>
          <w:sz w:val="24"/>
        </w:rPr>
        <w:t>90</w:t>
      </w:r>
      <w:r>
        <w:rPr>
          <w:rFonts w:hint="eastAsia" w:ascii="仿宋" w:hAnsi="仿宋" w:eastAsia="仿宋" w:cs="仿宋"/>
          <w:sz w:val="24"/>
        </w:rPr>
        <w:t>天，每逾期一天按合同最终结算价款</w:t>
      </w:r>
      <w:r>
        <w:rPr>
          <w:rFonts w:ascii="仿宋" w:hAnsi="仿宋" w:eastAsia="仿宋" w:cs="仿宋"/>
          <w:sz w:val="24"/>
        </w:rPr>
        <w:t>1</w:t>
      </w:r>
      <w:r>
        <w:rPr>
          <w:rFonts w:hint="eastAsia" w:ascii="仿宋" w:hAnsi="仿宋" w:eastAsia="仿宋" w:cs="仿宋"/>
          <w:sz w:val="24"/>
        </w:rPr>
        <w:t>‰的金额向发包人支付违约金，没有最终结算价的，按合同签约暂定价的</w:t>
      </w:r>
      <w:r>
        <w:rPr>
          <w:rFonts w:ascii="仿宋" w:hAnsi="仿宋" w:eastAsia="仿宋" w:cs="仿宋"/>
          <w:sz w:val="24"/>
        </w:rPr>
        <w:t>1</w:t>
      </w:r>
      <w:r>
        <w:rPr>
          <w:rFonts w:hint="eastAsia" w:ascii="仿宋" w:hAnsi="仿宋" w:eastAsia="仿宋" w:cs="仿宋"/>
          <w:sz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rPr>
        <w:t xml:space="preserve"> </w:t>
      </w:r>
      <w:r>
        <w:rPr>
          <w:rFonts w:hint="eastAsia" w:ascii="仿宋" w:hAnsi="仿宋" w:eastAsia="仿宋" w:cs="仿宋"/>
          <w:sz w:val="24"/>
        </w:rPr>
        <w:t>，但造成发包人的损失部分不予免除。</w:t>
      </w:r>
    </w:p>
    <w:p>
      <w:pPr>
        <w:adjustRightInd w:val="0"/>
        <w:snapToGrid w:val="0"/>
        <w:spacing w:line="336" w:lineRule="auto"/>
        <w:ind w:firstLine="482" w:firstLineChars="200"/>
        <w:rPr>
          <w:rFonts w:ascii="仿宋" w:hAnsi="仿宋" w:eastAsia="仿宋" w:cs="仿宋"/>
          <w:b/>
          <w:sz w:val="24"/>
        </w:rPr>
      </w:pPr>
      <w:bookmarkStart w:id="126" w:name="_Toc351203483"/>
      <w:r>
        <w:rPr>
          <w:rFonts w:hint="eastAsia" w:ascii="仿宋" w:hAnsi="仿宋" w:eastAsia="仿宋" w:cs="仿宋"/>
          <w:b/>
          <w:sz w:val="24"/>
        </w:rPr>
        <w:t>三、质量标准</w:t>
      </w:r>
      <w:bookmarkEnd w:id="126"/>
    </w:p>
    <w:p>
      <w:pPr>
        <w:adjustRightInd w:val="0"/>
        <w:snapToGrid w:val="0"/>
        <w:spacing w:line="336" w:lineRule="auto"/>
        <w:ind w:firstLine="459"/>
        <w:rPr>
          <w:rFonts w:ascii="仿宋" w:hAnsi="仿宋" w:eastAsia="仿宋" w:cs="仿宋"/>
          <w:sz w:val="24"/>
        </w:rPr>
      </w:pPr>
      <w:r>
        <w:rPr>
          <w:rFonts w:hint="eastAsia" w:ascii="仿宋" w:hAnsi="仿宋" w:eastAsia="仿宋" w:cs="仿宋"/>
          <w:sz w:val="24"/>
        </w:rPr>
        <w:t>3.1工程质量要求：</w:t>
      </w:r>
      <w:r>
        <w:rPr>
          <w:rFonts w:hint="eastAsia" w:ascii="仿宋" w:hAnsi="仿宋" w:eastAsia="仿宋" w:cs="仿宋"/>
          <w:sz w:val="24"/>
          <w:u w:val="single"/>
        </w:rPr>
        <w:t>工程质量达到合格等级标准</w:t>
      </w:r>
      <w:r>
        <w:rPr>
          <w:rFonts w:hint="eastAsia" w:ascii="仿宋" w:hAnsi="仿宋" w:eastAsia="仿宋" w:cs="仿宋"/>
          <w:sz w:val="24"/>
        </w:rPr>
        <w:t>。质量标准的评定以现行国家、地方政府以及行业的质量检验评定标准为依据。</w:t>
      </w:r>
    </w:p>
    <w:p>
      <w:pPr>
        <w:adjustRightInd w:val="0"/>
        <w:snapToGrid w:val="0"/>
        <w:spacing w:line="336" w:lineRule="auto"/>
        <w:ind w:firstLine="459"/>
        <w:rPr>
          <w:rFonts w:ascii="仿宋" w:hAnsi="仿宋" w:eastAsia="仿宋" w:cs="仿宋"/>
          <w:sz w:val="24"/>
        </w:rPr>
      </w:pPr>
      <w:r>
        <w:rPr>
          <w:rFonts w:hint="eastAsia" w:ascii="仿宋" w:hAnsi="仿宋" w:eastAsia="仿宋" w:cs="仿宋"/>
          <w:sz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u w:val="single"/>
        </w:rPr>
        <w:t>不超过 5000元/次</w:t>
      </w:r>
      <w:r>
        <w:rPr>
          <w:rFonts w:hint="eastAsia" w:ascii="仿宋" w:hAnsi="仿宋" w:eastAsia="仿宋" w:cs="仿宋"/>
          <w:sz w:val="24"/>
        </w:rPr>
        <w:t>的罚款，该款项从承包人工程款结算中扣除。</w:t>
      </w:r>
    </w:p>
    <w:p>
      <w:pPr>
        <w:numPr>
          <w:ilvl w:val="0"/>
          <w:numId w:val="7"/>
        </w:numPr>
        <w:adjustRightInd w:val="0"/>
        <w:snapToGrid w:val="0"/>
        <w:spacing w:line="336" w:lineRule="auto"/>
        <w:rPr>
          <w:rFonts w:ascii="仿宋" w:hAnsi="仿宋" w:eastAsia="仿宋" w:cs="仿宋"/>
          <w:b/>
          <w:sz w:val="24"/>
        </w:rPr>
      </w:pPr>
      <w:r>
        <w:rPr>
          <w:rFonts w:hint="eastAsia" w:ascii="仿宋" w:hAnsi="仿宋" w:eastAsia="仿宋" w:cs="仿宋"/>
          <w:b/>
          <w:sz w:val="24"/>
        </w:rPr>
        <w:t>合同价款与支付方式</w:t>
      </w:r>
    </w:p>
    <w:p>
      <w:pPr>
        <w:adjustRightInd w:val="0"/>
        <w:snapToGrid w:val="0"/>
        <w:spacing w:line="336" w:lineRule="auto"/>
        <w:ind w:firstLine="482" w:firstLineChars="200"/>
        <w:rPr>
          <w:rFonts w:ascii="仿宋" w:hAnsi="仿宋" w:eastAsia="仿宋" w:cs="仿宋"/>
          <w:b/>
          <w:bCs/>
          <w:sz w:val="24"/>
        </w:rPr>
      </w:pPr>
      <w:r>
        <w:rPr>
          <w:rFonts w:hint="eastAsia" w:ascii="仿宋" w:hAnsi="仿宋" w:eastAsia="仿宋" w:cs="仿宋"/>
          <w:b/>
          <w:bCs/>
          <w:sz w:val="24"/>
        </w:rPr>
        <w:sym w:font="Wingdings 2" w:char="0052"/>
      </w:r>
      <w:r>
        <w:rPr>
          <w:rFonts w:hint="eastAsia" w:ascii="仿宋" w:hAnsi="仿宋" w:eastAsia="仿宋" w:cs="仿宋"/>
          <w:b/>
          <w:bCs/>
          <w:sz w:val="24"/>
        </w:rPr>
        <w:t>固定单价合同</w:t>
      </w:r>
    </w:p>
    <w:p>
      <w:pPr>
        <w:adjustRightInd w:val="0"/>
        <w:snapToGrid w:val="0"/>
        <w:spacing w:line="360" w:lineRule="auto"/>
        <w:ind w:firstLine="480" w:firstLineChars="200"/>
        <w:rPr>
          <w:rFonts w:hint="default" w:ascii="仿宋" w:hAnsi="仿宋" w:eastAsia="仿宋" w:cs="仿宋"/>
          <w:b/>
          <w:bCs/>
          <w:color w:val="000000" w:themeColor="text1"/>
          <w:sz w:val="24"/>
          <w:lang w:val="en-US" w:eastAsia="zh-CN"/>
          <w14:textFill>
            <w14:solidFill>
              <w14:schemeClr w14:val="tx1"/>
            </w14:solidFill>
          </w14:textFill>
        </w:rPr>
      </w:pPr>
      <w:r>
        <w:rPr>
          <w:rFonts w:hint="eastAsia" w:ascii="仿宋" w:hAnsi="仿宋" w:eastAsia="仿宋" w:cs="仿宋"/>
          <w:sz w:val="24"/>
        </w:rPr>
        <w:t>4.1合同价款：</w:t>
      </w:r>
    </w:p>
    <w:p>
      <w:pPr>
        <w:keepNext w:val="0"/>
        <w:keepLines w:val="0"/>
        <w:widowControl/>
        <w:suppressLineNumbers w:val="0"/>
        <w:spacing w:line="360" w:lineRule="auto"/>
        <w:ind w:firstLine="480" w:firstLineChars="200"/>
        <w:jc w:val="left"/>
        <w:rPr>
          <w:rFonts w:ascii="仿宋" w:hAnsi="仿宋" w:eastAsia="仿宋" w:cs="仿宋"/>
          <w:sz w:val="24"/>
        </w:rPr>
      </w:pPr>
      <w:r>
        <w:rPr>
          <w:rFonts w:hint="eastAsia" w:ascii="仿宋" w:hAnsi="仿宋" w:eastAsia="仿宋" w:cs="仿宋"/>
          <w:sz w:val="24"/>
        </w:rPr>
        <w:t>本工程合同签约暂定价格不含税价为人民币¥</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rPr>
        <w:t>元（大写：</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rPr>
        <w:t>），增值税税率</w:t>
      </w:r>
      <w:r>
        <w:rPr>
          <w:rFonts w:hint="eastAsia" w:ascii="仿宋" w:hAnsi="仿宋" w:eastAsia="仿宋" w:cs="仿宋"/>
          <w:sz w:val="24"/>
          <w:u w:val="single"/>
        </w:rPr>
        <w:t>【9】</w:t>
      </w:r>
      <w:r>
        <w:rPr>
          <w:rFonts w:hint="eastAsia" w:ascii="仿宋" w:hAnsi="仿宋" w:eastAsia="仿宋" w:cs="仿宋"/>
          <w:sz w:val="24"/>
        </w:rPr>
        <w:t>%，税额</w:t>
      </w:r>
      <w:r>
        <w:rPr>
          <w:rFonts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元，含税价</w:t>
      </w:r>
      <w:r>
        <w:rPr>
          <w:rFonts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元人民币（大写：</w:t>
      </w:r>
      <w:r>
        <w:rPr>
          <w:rFonts w:hint="eastAsia" w:ascii="仿宋" w:hAnsi="仿宋" w:eastAsia="仿宋" w:cs="仿宋"/>
          <w:sz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u w:val="single"/>
        </w:rPr>
        <w:t xml:space="preserve"> </w:t>
      </w:r>
      <w:r>
        <w:rPr>
          <w:rFonts w:hint="eastAsia" w:ascii="仿宋" w:hAnsi="仿宋" w:eastAsia="仿宋" w:cs="仿宋"/>
          <w:sz w:val="24"/>
        </w:rPr>
        <w:t>），其中包含取费后的暂列金额</w:t>
      </w:r>
      <w:r>
        <w:rPr>
          <w:rFonts w:hint="eastAsia" w:ascii="仿宋" w:hAnsi="仿宋" w:eastAsia="仿宋" w:cs="仿宋"/>
          <w:sz w:val="24"/>
          <w:u w:val="single"/>
          <w:lang w:val="en-US" w:eastAsia="zh-CN"/>
        </w:rPr>
        <w:t xml:space="preserve">       </w:t>
      </w:r>
      <w:r>
        <w:rPr>
          <w:rFonts w:hint="eastAsia" w:ascii="仿宋" w:hAnsi="仿宋" w:eastAsia="仿宋" w:cs="仿宋"/>
          <w:sz w:val="24"/>
        </w:rPr>
        <w:t>元。如国家出台新政策对增值税率进行了调整，则不含税价款不变，本合同含税总价在不含税价基础上根据国家最新税法进行相应的调整。</w:t>
      </w:r>
    </w:p>
    <w:p>
      <w:pPr>
        <w:adjustRightInd w:val="0"/>
        <w:snapToGrid w:val="0"/>
        <w:spacing w:line="336" w:lineRule="auto"/>
        <w:ind w:firstLine="480" w:firstLineChars="200"/>
        <w:rPr>
          <w:rFonts w:hint="eastAsia" w:ascii="仿宋" w:hAnsi="仿宋" w:eastAsia="仿宋" w:cs="仿宋"/>
          <w:color w:val="0000FF"/>
          <w:sz w:val="24"/>
          <w:highlight w:val="none"/>
          <w:lang w:val="en-US" w:eastAsia="zh-CN"/>
        </w:rPr>
      </w:pPr>
      <w:r>
        <w:rPr>
          <w:rFonts w:hint="eastAsia" w:ascii="仿宋" w:hAnsi="仿宋" w:eastAsia="仿宋" w:cs="仿宋"/>
          <w:color w:val="0000FF"/>
          <w:sz w:val="24"/>
          <w:highlight w:val="none"/>
          <w:lang w:val="en-US" w:eastAsia="zh-CN"/>
        </w:rPr>
        <w:t>合同清单部分的价格结算时按照承包人开标修正后的已标价工程量清单价格乘下浮系数（商务标最后一轮澄清含税总报价/开标清标修正后的含税总报价）执行，单独澄清的清单项除外。</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4.2本工程合同价格形式为：</w:t>
      </w:r>
      <w:r>
        <w:rPr>
          <w:rFonts w:hint="eastAsia" w:ascii="仿宋" w:hAnsi="仿宋" w:eastAsia="仿宋" w:cs="仿宋"/>
          <w:sz w:val="24"/>
          <w:u w:val="single"/>
        </w:rPr>
        <w:t>固定综合单价</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tabs>
          <w:tab w:val="left" w:pos="5565"/>
        </w:tabs>
        <w:adjustRightInd w:val="0"/>
        <w:snapToGrid w:val="0"/>
        <w:spacing w:line="336" w:lineRule="auto"/>
        <w:ind w:left="540"/>
        <w:rPr>
          <w:rFonts w:ascii="仿宋" w:hAnsi="仿宋" w:eastAsia="仿宋" w:cs="仿宋"/>
          <w:sz w:val="24"/>
        </w:rPr>
      </w:pPr>
      <w:bookmarkStart w:id="127" w:name="OLE_LINK1"/>
      <w:r>
        <w:rPr>
          <w:rFonts w:hint="eastAsia" w:ascii="仿宋" w:hAnsi="仿宋" w:eastAsia="仿宋" w:cs="仿宋"/>
          <w:sz w:val="24"/>
        </w:rPr>
        <w:t>4.3工程款支付</w:t>
      </w:r>
    </w:p>
    <w:p>
      <w:pPr>
        <w:numPr>
          <w:ilvl w:val="255"/>
          <w:numId w:val="0"/>
        </w:numPr>
        <w:tabs>
          <w:tab w:val="left" w:pos="5565"/>
        </w:tabs>
        <w:adjustRightInd w:val="0"/>
        <w:snapToGrid w:val="0"/>
        <w:spacing w:line="336" w:lineRule="auto"/>
        <w:ind w:left="540"/>
        <w:rPr>
          <w:rFonts w:ascii="仿宋" w:hAnsi="仿宋" w:eastAsia="仿宋" w:cs="仿宋"/>
          <w:sz w:val="24"/>
          <w:u w:val="single"/>
        </w:rPr>
      </w:pPr>
      <w:r>
        <w:rPr>
          <w:rFonts w:hint="eastAsia" w:ascii="仿宋" w:hAnsi="仿宋" w:eastAsia="仿宋" w:cs="仿宋"/>
          <w:sz w:val="24"/>
        </w:rPr>
        <w:t>双方约定的工程款支付的方式：</w:t>
      </w:r>
      <w:r>
        <w:rPr>
          <w:rFonts w:hint="eastAsia" w:ascii="仿宋" w:hAnsi="仿宋" w:eastAsia="仿宋" w:cs="仿宋"/>
          <w:sz w:val="24"/>
          <w:u w:val="single"/>
        </w:rPr>
        <w:t>半年期商业汇票（包括银行承兑汇票和商业承兑汇票）；</w:t>
      </w:r>
    </w:p>
    <w:p>
      <w:pPr>
        <w:numPr>
          <w:ilvl w:val="3"/>
          <w:numId w:val="8"/>
        </w:numPr>
        <w:tabs>
          <w:tab w:val="left" w:pos="5565"/>
        </w:tabs>
        <w:adjustRightInd w:val="0"/>
        <w:snapToGrid w:val="0"/>
        <w:spacing w:line="336" w:lineRule="auto"/>
        <w:ind w:firstLine="567"/>
        <w:rPr>
          <w:rFonts w:ascii="仿宋" w:hAnsi="仿宋" w:eastAsia="仿宋" w:cs="仿宋"/>
          <w:sz w:val="24"/>
        </w:rPr>
      </w:pPr>
      <w:r>
        <w:rPr>
          <w:rFonts w:hint="eastAsia" w:ascii="仿宋" w:hAnsi="仿宋" w:eastAsia="仿宋" w:cs="仿宋"/>
          <w:sz w:val="24"/>
        </w:rPr>
        <w:t>本合同预付款：</w:t>
      </w:r>
      <w:r>
        <w:rPr>
          <w:rFonts w:hint="eastAsia" w:ascii="仿宋" w:hAnsi="仿宋" w:eastAsia="仿宋" w:cs="仿宋"/>
          <w:sz w:val="24"/>
          <w:u w:val="single"/>
        </w:rPr>
        <w:t>无预付款</w:t>
      </w:r>
      <w:r>
        <w:rPr>
          <w:rFonts w:hint="eastAsia" w:ascii="仿宋" w:hAnsi="仿宋" w:eastAsia="仿宋" w:cs="仿宋"/>
          <w:sz w:val="24"/>
        </w:rPr>
        <w:t>；</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每月工程款支付按月形象进度报表，经发包人审核后于次月底前付至月形象进度造价的70% ，最高付至合同金额的70%；完成工程竣工资料移交、竣工结算申报且</w:t>
      </w:r>
      <w:r>
        <w:rPr>
          <w:rFonts w:hint="eastAsia" w:ascii="仿宋" w:hAnsi="仿宋" w:eastAsia="仿宋" w:cs="仿宋"/>
          <w:color w:val="000000" w:themeColor="text1"/>
          <w:sz w:val="24"/>
          <w:lang w:val="en-US" w:eastAsia="zh-CN"/>
          <w14:textFill>
            <w14:solidFill>
              <w14:schemeClr w14:val="tx1"/>
            </w14:solidFill>
          </w14:textFill>
        </w:rPr>
        <w:t>经内部</w:t>
      </w:r>
      <w:r>
        <w:rPr>
          <w:rFonts w:hint="eastAsia" w:ascii="仿宋" w:hAnsi="仿宋" w:eastAsia="仿宋" w:cs="仿宋"/>
          <w:sz w:val="24"/>
        </w:rPr>
        <w:t>竣工验收合格后付至已完成形象进度产值的75%，且最高付至合同金额的75%；竣工结算审计完毕经双方签字认可后付款至</w:t>
      </w:r>
      <w:r>
        <w:rPr>
          <w:rFonts w:hint="eastAsia" w:ascii="仿宋" w:hAnsi="仿宋" w:eastAsia="仿宋" w:cs="仿宋"/>
          <w:sz w:val="24"/>
          <w:lang w:val="en-US" w:eastAsia="zh-CN"/>
        </w:rPr>
        <w:t>最终结算</w:t>
      </w:r>
      <w:r>
        <w:rPr>
          <w:rFonts w:hint="eastAsia" w:ascii="仿宋" w:hAnsi="仿宋" w:eastAsia="仿宋" w:cs="仿宋"/>
          <w:sz w:val="24"/>
        </w:rPr>
        <w:t>金额的9</w:t>
      </w:r>
      <w:r>
        <w:rPr>
          <w:rFonts w:hint="eastAsia" w:ascii="仿宋" w:hAnsi="仿宋" w:eastAsia="仿宋" w:cs="仿宋"/>
          <w:sz w:val="24"/>
          <w:lang w:val="en-US" w:eastAsia="zh-CN"/>
        </w:rPr>
        <w:t>5</w:t>
      </w:r>
      <w:r>
        <w:rPr>
          <w:rFonts w:hint="eastAsia" w:ascii="仿宋" w:hAnsi="仿宋" w:eastAsia="仿宋" w:cs="仿宋"/>
          <w:sz w:val="24"/>
        </w:rPr>
        <w:t>%，结算款的</w:t>
      </w:r>
      <w:r>
        <w:rPr>
          <w:rFonts w:hint="eastAsia" w:ascii="仿宋" w:hAnsi="仿宋" w:eastAsia="仿宋" w:cs="仿宋"/>
          <w:sz w:val="24"/>
          <w:lang w:val="en-US" w:eastAsia="zh-CN"/>
        </w:rPr>
        <w:t>5</w:t>
      </w:r>
      <w:r>
        <w:rPr>
          <w:rFonts w:hint="eastAsia" w:ascii="仿宋" w:hAnsi="仿宋" w:eastAsia="仿宋" w:cs="仿宋"/>
          <w:sz w:val="24"/>
        </w:rPr>
        <w:t>%作为质量保修金。质量保修金的支付按照本合同附件1《工程质量保修书》中的规定执行。</w:t>
      </w:r>
      <w:bookmarkEnd w:id="127"/>
    </w:p>
    <w:p>
      <w:pPr>
        <w:spacing w:line="336" w:lineRule="auto"/>
        <w:ind w:firstLine="480" w:firstLineChars="200"/>
        <w:rPr>
          <w:rFonts w:ascii="仿宋" w:hAnsi="仿宋" w:eastAsia="仿宋" w:cs="仿宋"/>
          <w:sz w:val="24"/>
        </w:rPr>
      </w:pPr>
      <w:r>
        <w:rPr>
          <w:rFonts w:hint="eastAsia" w:ascii="仿宋" w:hAnsi="仿宋" w:eastAsia="仿宋" w:cs="仿宋"/>
          <w:sz w:val="24"/>
        </w:rPr>
        <w:t>（3）发包人所有款项的支付均需承包人持当批付款金额一致的符合国家要求的增值税专用发票、收据、授权委托书、经办人身份证明原件及复印件等其他发包人财务制度要求的资料办理</w:t>
      </w:r>
      <w:r>
        <w:rPr>
          <w:rFonts w:hint="eastAsia" w:ascii="仿宋" w:hAnsi="仿宋" w:eastAsia="仿宋" w:cs="仿宋"/>
          <w:color w:val="0000FF"/>
          <w:sz w:val="24"/>
          <w:highlight w:val="none"/>
          <w:lang w:eastAsia="zh-CN"/>
        </w:rPr>
        <w:t>，</w:t>
      </w:r>
      <w:r>
        <w:rPr>
          <w:rFonts w:hint="eastAsia" w:ascii="仿宋" w:hAnsi="仿宋" w:eastAsia="仿宋" w:cs="仿宋"/>
          <w:color w:val="0000FF"/>
          <w:sz w:val="24"/>
          <w:highlight w:val="none"/>
          <w:lang w:val="en-US" w:eastAsia="zh-CN"/>
        </w:rPr>
        <w:t>其中申请结算款时要求开具全额发票</w:t>
      </w:r>
      <w:r>
        <w:rPr>
          <w:rFonts w:hint="eastAsia" w:ascii="仿宋" w:hAnsi="仿宋" w:eastAsia="仿宋" w:cs="仿宋"/>
          <w:sz w:val="24"/>
          <w:highlight w:val="none"/>
        </w:rPr>
        <w:t>。</w:t>
      </w:r>
      <w:r>
        <w:rPr>
          <w:rFonts w:hint="eastAsia" w:ascii="仿宋" w:hAnsi="仿宋" w:eastAsia="仿宋" w:cs="仿宋"/>
          <w:sz w:val="24"/>
        </w:rPr>
        <w:t>因发票违规给发包人造成的增值税、所得税等损失，由承包人承担相关责任，包括但不限于税款、滞纳金、罚款及其它相关损失。</w:t>
      </w:r>
    </w:p>
    <w:p>
      <w:pPr>
        <w:adjustRightInd w:val="0"/>
        <w:snapToGrid w:val="0"/>
        <w:spacing w:line="336" w:lineRule="auto"/>
        <w:ind w:firstLine="470" w:firstLineChars="196"/>
        <w:rPr>
          <w:rFonts w:ascii="仿宋" w:hAnsi="仿宋" w:eastAsia="仿宋" w:cs="仿宋"/>
          <w:sz w:val="24"/>
          <w:u w:val="single"/>
        </w:rPr>
      </w:pPr>
      <w:r>
        <w:rPr>
          <w:rFonts w:hint="eastAsia" w:ascii="仿宋" w:hAnsi="仿宋" w:eastAsia="仿宋" w:cs="仿宋"/>
          <w:sz w:val="24"/>
        </w:rPr>
        <w:t>4.4合同价款及调整</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u w:val="single"/>
        </w:rPr>
        <w:t xml:space="preserve"> </w:t>
      </w:r>
      <w:r>
        <w:rPr>
          <w:rFonts w:hint="eastAsia" w:ascii="仿宋" w:hAnsi="仿宋" w:eastAsia="仿宋" w:cs="仿宋"/>
          <w:i/>
          <w:iCs/>
          <w:sz w:val="24"/>
          <w:u w:val="single"/>
        </w:rPr>
        <w:t xml:space="preserve"> 3</w:t>
      </w:r>
      <w:r>
        <w:rPr>
          <w:rFonts w:hint="eastAsia" w:ascii="仿宋" w:hAnsi="仿宋" w:eastAsia="仿宋" w:cs="仿宋"/>
          <w:sz w:val="24"/>
          <w:u w:val="single"/>
        </w:rPr>
        <w:t xml:space="preserve">  </w:t>
      </w:r>
      <w:r>
        <w:rPr>
          <w:rFonts w:hint="eastAsia" w:ascii="仿宋" w:hAnsi="仿宋" w:eastAsia="仿宋" w:cs="仿宋"/>
          <w:sz w:val="24"/>
        </w:rPr>
        <w:t>天内将索赔资料（变更原因、材料价格、变更金额）书面报发包人审核，索赔事件结束后</w:t>
      </w:r>
      <w:r>
        <w:rPr>
          <w:rFonts w:hint="eastAsia" w:ascii="仿宋" w:hAnsi="仿宋" w:eastAsia="仿宋" w:cs="仿宋"/>
          <w:sz w:val="24"/>
          <w:u w:val="single"/>
        </w:rPr>
        <w:t xml:space="preserve">  </w:t>
      </w:r>
      <w:r>
        <w:rPr>
          <w:rFonts w:hint="eastAsia" w:ascii="仿宋" w:hAnsi="仿宋" w:eastAsia="仿宋" w:cs="仿宋"/>
          <w:i/>
          <w:iCs/>
          <w:sz w:val="24"/>
          <w:u w:val="single"/>
        </w:rPr>
        <w:t xml:space="preserve">14 </w:t>
      </w:r>
      <w:r>
        <w:rPr>
          <w:rFonts w:hint="eastAsia" w:ascii="仿宋" w:hAnsi="仿宋" w:eastAsia="仿宋" w:cs="仿宋"/>
          <w:sz w:val="24"/>
          <w:u w:val="single"/>
        </w:rPr>
        <w:t>天内</w:t>
      </w:r>
      <w:r>
        <w:rPr>
          <w:rFonts w:hint="eastAsia" w:ascii="仿宋" w:hAnsi="仿宋" w:eastAsia="仿宋" w:cs="仿宋"/>
          <w:sz w:val="24"/>
        </w:rPr>
        <w:t>形成签章齐全的经济技术资料。</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变更合同价款按下列方法进行：</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关于变更估价的约定:</w:t>
      </w:r>
    </w:p>
    <w:p>
      <w:pPr>
        <w:adjustRightInd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sz w:val="24"/>
        </w:rPr>
        <w:t>（1）如发生与原子项相同的清单项，</w:t>
      </w:r>
      <w:r>
        <w:rPr>
          <w:rFonts w:hint="eastAsia" w:ascii="仿宋" w:hAnsi="仿宋" w:eastAsia="仿宋" w:cs="仿宋"/>
          <w:color w:val="auto"/>
          <w:sz w:val="24"/>
        </w:rPr>
        <w:t>以</w:t>
      </w:r>
      <w:r>
        <w:rPr>
          <w:rFonts w:hint="eastAsia" w:ascii="仿宋" w:hAnsi="仿宋" w:eastAsia="仿宋" w:cs="仿宋"/>
          <w:color w:val="auto"/>
          <w:sz w:val="24"/>
          <w:highlight w:val="none"/>
          <w:lang w:val="en-US" w:eastAsia="zh-CN"/>
        </w:rPr>
        <w:t>合同清单中</w:t>
      </w:r>
      <w:r>
        <w:rPr>
          <w:rFonts w:hint="eastAsia" w:ascii="仿宋" w:hAnsi="仿宋" w:eastAsia="仿宋" w:cs="仿宋"/>
          <w:color w:val="auto"/>
          <w:sz w:val="24"/>
        </w:rPr>
        <w:t>已有综合单价</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下浮后</w:t>
      </w:r>
      <w:r>
        <w:rPr>
          <w:rFonts w:hint="eastAsia" w:ascii="仿宋" w:hAnsi="仿宋" w:eastAsia="仿宋" w:cs="仿宋"/>
          <w:color w:val="auto"/>
          <w:sz w:val="24"/>
          <w:lang w:eastAsia="zh-CN"/>
        </w:rPr>
        <w:t>）</w:t>
      </w:r>
      <w:r>
        <w:rPr>
          <w:rFonts w:hint="eastAsia" w:ascii="仿宋" w:hAnsi="仿宋" w:eastAsia="仿宋" w:cs="仿宋"/>
          <w:color w:val="auto"/>
          <w:sz w:val="24"/>
        </w:rPr>
        <w:t>乘以工程量进行结算。</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color w:val="auto"/>
          <w:sz w:val="24"/>
        </w:rPr>
        <w:t>（2）如发生与原子项相类似的清单项，新增清单项的消耗量按原子项执行（高于定额含量的按定额含量执行、低于定额含量的按原投标含量执行）；新增清单项的人工、机械单价执行原子项单价，</w:t>
      </w:r>
      <w:r>
        <w:rPr>
          <w:rFonts w:hint="eastAsia" w:ascii="仿宋" w:hAnsi="仿宋" w:eastAsia="仿宋" w:cs="仿宋"/>
          <w:color w:val="auto"/>
          <w:sz w:val="24"/>
          <w:highlight w:val="none"/>
          <w:lang w:val="en-US" w:eastAsia="zh-CN"/>
        </w:rPr>
        <w:t>合同清单</w:t>
      </w:r>
      <w:r>
        <w:rPr>
          <w:rFonts w:hint="eastAsia" w:ascii="仿宋" w:hAnsi="仿宋" w:eastAsia="仿宋" w:cs="仿宋"/>
          <w:color w:val="auto"/>
          <w:sz w:val="24"/>
        </w:rPr>
        <w:t>中已有价格的材料执行中标价格，</w:t>
      </w:r>
      <w:r>
        <w:rPr>
          <w:rFonts w:hint="eastAsia" w:ascii="仿宋" w:hAnsi="仿宋" w:eastAsia="仿宋" w:cs="仿宋"/>
          <w:color w:val="auto"/>
          <w:sz w:val="24"/>
          <w:highlight w:val="none"/>
          <w:lang w:val="en-US" w:eastAsia="zh-CN"/>
        </w:rPr>
        <w:t>合同清单中</w:t>
      </w:r>
      <w:r>
        <w:rPr>
          <w:rFonts w:hint="eastAsia" w:ascii="仿宋" w:hAnsi="仿宋" w:eastAsia="仿宋" w:cs="仿宋"/>
          <w:color w:val="auto"/>
          <w:sz w:val="24"/>
        </w:rPr>
        <w:t>没</w:t>
      </w:r>
      <w:r>
        <w:rPr>
          <w:rFonts w:hint="eastAsia" w:ascii="仿宋" w:hAnsi="仿宋" w:eastAsia="仿宋" w:cs="仿宋"/>
          <w:sz w:val="24"/>
        </w:rPr>
        <w:t>有价格的主要材料按照发包人、监理人确认的价格执行；管理费、利润等组成综合单价的其他因素均不作调整。按以上原则生成新综合单价，以实际工程量据实结算。</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（3）非以上（1）、（2）两种情况，按照以下原则据实结算：</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 MERGEFORMAT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 MERGEFORMAT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工程类别：建筑执行</w:t>
      </w:r>
      <w:r>
        <w:rPr>
          <w:rFonts w:hint="eastAsia" w:ascii="仿宋" w:hAnsi="仿宋" w:eastAsia="仿宋" w:cs="仿宋"/>
          <w:sz w:val="24"/>
        </w:rPr>
        <w:fldChar w:fldCharType="begin"/>
      </w:r>
      <w:r>
        <w:rPr>
          <w:rFonts w:hint="eastAsia" w:ascii="仿宋" w:hAnsi="仿宋" w:eastAsia="仿宋" w:cs="仿宋"/>
          <w:sz w:val="24"/>
        </w:rPr>
        <w:instrText xml:space="preserve"> = 3 \* ROMAN \* MERGEFORMAT </w:instrText>
      </w:r>
      <w:r>
        <w:rPr>
          <w:rFonts w:hint="eastAsia" w:ascii="仿宋" w:hAnsi="仿宋" w:eastAsia="仿宋" w:cs="仿宋"/>
          <w:sz w:val="24"/>
        </w:rPr>
        <w:fldChar w:fldCharType="separate"/>
      </w:r>
      <w:r>
        <w:rPr>
          <w:rFonts w:hint="eastAsia" w:ascii="仿宋" w:hAnsi="仿宋" w:eastAsia="仿宋" w:cs="仿宋"/>
          <w:sz w:val="24"/>
        </w:rPr>
        <w:t>III</w:t>
      </w:r>
      <w:r>
        <w:rPr>
          <w:rFonts w:hint="eastAsia" w:ascii="仿宋" w:hAnsi="仿宋" w:eastAsia="仿宋" w:cs="仿宋"/>
          <w:sz w:val="24"/>
        </w:rPr>
        <w:fldChar w:fldCharType="end"/>
      </w:r>
      <w:r>
        <w:rPr>
          <w:rFonts w:hint="eastAsia" w:ascii="仿宋" w:hAnsi="仿宋" w:eastAsia="仿宋" w:cs="仿宋"/>
          <w:sz w:val="24"/>
        </w:rPr>
        <w:t>类取费，安装执行工业安装取费，装饰执行Ⅲ类取费，市政执行III类取费；</w:t>
      </w:r>
    </w:p>
    <w:p>
      <w:pPr>
        <w:adjustRightInd w:val="0"/>
        <w:snapToGrid w:val="0"/>
        <w:spacing w:line="336" w:lineRule="auto"/>
        <w:ind w:firstLine="48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 MERGEFORMAT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 MERGEFORMAT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承包人按上述原则就清单外工作内容按总造价最终优惠率（即让利【</w:t>
      </w:r>
      <w:r>
        <w:rPr>
          <w:rFonts w:hint="eastAsia" w:ascii="仿宋" w:hAnsi="仿宋" w:eastAsia="仿宋" w:cs="仿宋"/>
          <w:sz w:val="24"/>
          <w:lang w:val="en-US" w:eastAsia="zh-CN"/>
        </w:rPr>
        <w:t xml:space="preserve">  </w:t>
      </w:r>
      <w:r>
        <w:rPr>
          <w:rFonts w:hint="eastAsia" w:ascii="仿宋" w:hAnsi="仿宋" w:eastAsia="仿宋" w:cs="仿宋"/>
          <w:sz w:val="24"/>
        </w:rPr>
        <w:t>】%）；</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（4）非以上（1）、（2）、（3）三种情况，由承包人事前提出书面报价，由发包人按照规定程序审批后确定单价，以实际工程量结算。</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（5）按上述原则组成的新综合单价，明显偏离市场价时，发包人有权利对其价格进行调整。</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（6）招标文件或其他有关文件中所列材料暂定价按照发包人书面确定的价格进行调整。</w:t>
      </w:r>
    </w:p>
    <w:p>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（7）因变更或其它情况导致实际完成的工程量与预算书或工程量清单中有变化时，综合单价不予调整。</w:t>
      </w:r>
    </w:p>
    <w:p>
      <w:pPr>
        <w:adjustRightInd w:val="0"/>
        <w:snapToGrid w:val="0"/>
        <w:spacing w:line="336" w:lineRule="auto"/>
        <w:ind w:firstLine="480" w:firstLineChars="200"/>
        <w:rPr>
          <w:rFonts w:hint="eastAsia" w:ascii="仿宋" w:hAnsi="仿宋" w:eastAsia="仿宋" w:cs="仿宋"/>
          <w:sz w:val="24"/>
          <w:lang w:eastAsia="zh-CN"/>
        </w:rPr>
      </w:pPr>
      <w:r>
        <w:rPr>
          <w:rFonts w:hint="eastAsia" w:ascii="仿宋" w:hAnsi="仿宋" w:eastAsia="仿宋" w:cs="仿宋"/>
          <w:sz w:val="24"/>
        </w:rPr>
        <w:t>（8）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w:t>
      </w:r>
      <w:r>
        <w:rPr>
          <w:rFonts w:hint="eastAsia" w:ascii="仿宋" w:hAnsi="仿宋" w:eastAsia="仿宋" w:cs="仿宋"/>
          <w:color w:val="0000FF"/>
          <w:sz w:val="24"/>
          <w:lang w:eastAsia="zh-CN"/>
        </w:rPr>
        <w:t>（</w:t>
      </w:r>
      <w:r>
        <w:rPr>
          <w:rFonts w:hint="eastAsia" w:ascii="仿宋" w:hAnsi="仿宋" w:eastAsia="仿宋" w:cs="仿宋"/>
          <w:color w:val="0000FF"/>
          <w:sz w:val="24"/>
          <w:lang w:val="en-US" w:eastAsia="zh-CN"/>
        </w:rPr>
        <w:t>措施费已包含高空作业等费用</w:t>
      </w:r>
      <w:r>
        <w:rPr>
          <w:rFonts w:hint="eastAsia" w:ascii="仿宋" w:hAnsi="仿宋" w:eastAsia="仿宋" w:cs="仿宋"/>
          <w:color w:val="0000FF"/>
          <w:sz w:val="24"/>
          <w:lang w:eastAsia="zh-CN"/>
        </w:rPr>
        <w:t>）</w:t>
      </w:r>
      <w:r>
        <w:rPr>
          <w:rFonts w:hint="eastAsia" w:ascii="仿宋" w:hAnsi="仿宋" w:eastAsia="仿宋" w:cs="仿宋"/>
          <w:sz w:val="24"/>
          <w:lang w:eastAsia="zh-CN"/>
        </w:rPr>
        <w:t>。</w:t>
      </w:r>
      <w:r>
        <w:rPr>
          <w:rFonts w:hint="eastAsia" w:ascii="仿宋" w:hAnsi="仿宋" w:eastAsia="仿宋" w:cs="仿宋"/>
          <w:sz w:val="24"/>
        </w:rPr>
        <w:t>无论发生任何变化，措施费均不做调整</w:t>
      </w:r>
      <w:r>
        <w:rPr>
          <w:rFonts w:hint="eastAsia" w:ascii="仿宋" w:hAnsi="仿宋" w:eastAsia="仿宋" w:cs="仿宋"/>
          <w:sz w:val="24"/>
          <w:lang w:eastAsia="zh-CN"/>
        </w:rPr>
        <w:t>。</w:t>
      </w:r>
    </w:p>
    <w:p>
      <w:pPr>
        <w:numPr>
          <w:ilvl w:val="0"/>
          <w:numId w:val="9"/>
        </w:num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本项目总承包服务费及甲供材料（设备）采保费：</w:t>
      </w:r>
      <w:r>
        <w:rPr>
          <w:rFonts w:hint="eastAsia" w:ascii="仿宋" w:hAnsi="仿宋" w:eastAsia="仿宋" w:cs="仿宋"/>
          <w:sz w:val="24"/>
        </w:rPr>
        <w:sym w:font="Wingdings 2" w:char="0052"/>
      </w:r>
      <w:r>
        <w:rPr>
          <w:rFonts w:hint="eastAsia" w:ascii="仿宋" w:hAnsi="仿宋" w:eastAsia="仿宋" w:cs="仿宋"/>
          <w:sz w:val="24"/>
        </w:rPr>
        <w:t>无。</w:t>
      </w:r>
    </w:p>
    <w:p>
      <w:pPr>
        <w:numPr>
          <w:ilvl w:val="0"/>
          <w:numId w:val="9"/>
        </w:num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税金：本工程增值税税率为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numPr>
          <w:ilvl w:val="0"/>
          <w:numId w:val="9"/>
        </w:num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计日工单价</w:t>
      </w:r>
      <w:r>
        <w:rPr>
          <w:rFonts w:hint="eastAsia" w:ascii="仿宋" w:hAnsi="仿宋" w:eastAsia="仿宋" w:cs="仿宋"/>
          <w:sz w:val="24"/>
          <w:u w:val="single"/>
          <w:lang w:val="en-US" w:eastAsia="zh-CN"/>
        </w:rPr>
        <w:t xml:space="preserve">     </w:t>
      </w:r>
      <w:r>
        <w:rPr>
          <w:rFonts w:hint="eastAsia" w:ascii="仿宋" w:hAnsi="仿宋" w:eastAsia="仿宋" w:cs="仿宋"/>
          <w:sz w:val="24"/>
        </w:rPr>
        <w:t>元/工日。</w:t>
      </w:r>
    </w:p>
    <w:p>
      <w:pPr>
        <w:adjustRightInd w:val="0"/>
        <w:snapToGrid w:val="0"/>
        <w:spacing w:line="336" w:lineRule="auto"/>
        <w:jc w:val="left"/>
        <w:rPr>
          <w:rFonts w:ascii="仿宋" w:hAnsi="仿宋" w:eastAsia="仿宋" w:cs="仿宋"/>
          <w:sz w:val="24"/>
        </w:rPr>
      </w:pPr>
      <w:r>
        <w:rPr>
          <w:rFonts w:hint="eastAsia" w:ascii="仿宋" w:hAnsi="仿宋" w:eastAsia="仿宋" w:cs="仿宋"/>
          <w:b/>
          <w:bCs/>
          <w:sz w:val="24"/>
        </w:rPr>
        <w:t>五、材料设备的供应和采购</w:t>
      </w:r>
    </w:p>
    <w:p>
      <w:pPr>
        <w:adjustRightInd w:val="0"/>
        <w:snapToGrid w:val="0"/>
        <w:spacing w:line="336" w:lineRule="auto"/>
        <w:ind w:firstLine="420" w:firstLineChars="175"/>
        <w:rPr>
          <w:rFonts w:ascii="仿宋" w:hAnsi="仿宋" w:eastAsia="仿宋" w:cs="仿宋"/>
          <w:kern w:val="0"/>
          <w:sz w:val="24"/>
        </w:rPr>
      </w:pPr>
      <w:r>
        <w:rPr>
          <w:rFonts w:hint="eastAsia" w:ascii="仿宋" w:hAnsi="仿宋" w:eastAsia="仿宋" w:cs="仿宋"/>
          <w:kern w:val="0"/>
          <w:sz w:val="24"/>
        </w:rPr>
        <w:t>5.1本工程的材料、设备由承包人采购。</w:t>
      </w:r>
    </w:p>
    <w:p>
      <w:pPr>
        <w:adjustRightInd w:val="0"/>
        <w:snapToGrid w:val="0"/>
        <w:spacing w:line="336" w:lineRule="auto"/>
        <w:ind w:right="-74" w:firstLine="420" w:firstLineChars="175"/>
        <w:rPr>
          <w:rFonts w:ascii="仿宋" w:hAnsi="仿宋" w:eastAsia="仿宋" w:cs="仿宋"/>
          <w:sz w:val="24"/>
        </w:rPr>
      </w:pPr>
      <w:r>
        <w:rPr>
          <w:rFonts w:hint="eastAsia" w:ascii="仿宋" w:hAnsi="仿宋" w:eastAsia="仿宋" w:cs="仿宋"/>
          <w:kern w:val="0"/>
          <w:sz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pPr>
        <w:adjustRightInd w:val="0"/>
        <w:snapToGrid w:val="0"/>
        <w:spacing w:line="336" w:lineRule="auto"/>
        <w:ind w:right="-74" w:firstLine="420" w:firstLineChars="175"/>
        <w:rPr>
          <w:rFonts w:ascii="仿宋" w:hAnsi="仿宋" w:eastAsia="仿宋" w:cs="仿宋"/>
          <w:kern w:val="0"/>
          <w:sz w:val="24"/>
        </w:rPr>
      </w:pPr>
      <w:r>
        <w:rPr>
          <w:rFonts w:hint="eastAsia" w:ascii="仿宋" w:hAnsi="仿宋" w:eastAsia="仿宋" w:cs="仿宋"/>
          <w:kern w:val="0"/>
          <w:sz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pPr>
        <w:adjustRightInd w:val="0"/>
        <w:snapToGrid w:val="0"/>
        <w:spacing w:line="336" w:lineRule="auto"/>
        <w:ind w:right="-74" w:firstLine="420" w:firstLineChars="175"/>
        <w:rPr>
          <w:rFonts w:ascii="仿宋" w:hAnsi="仿宋" w:eastAsia="仿宋" w:cs="仿宋"/>
          <w:kern w:val="0"/>
          <w:sz w:val="24"/>
        </w:rPr>
      </w:pPr>
      <w:r>
        <w:rPr>
          <w:rFonts w:hint="eastAsia" w:ascii="仿宋" w:hAnsi="仿宋" w:eastAsia="仿宋" w:cs="仿宋"/>
          <w:kern w:val="0"/>
          <w:sz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pPr>
        <w:adjustRightInd w:val="0"/>
        <w:snapToGrid w:val="0"/>
        <w:spacing w:line="336" w:lineRule="auto"/>
        <w:ind w:right="-74" w:firstLine="420" w:firstLineChars="175"/>
        <w:rPr>
          <w:rFonts w:ascii="仿宋" w:hAnsi="仿宋" w:eastAsia="仿宋" w:cs="仿宋"/>
          <w:kern w:val="0"/>
          <w:sz w:val="24"/>
        </w:rPr>
      </w:pPr>
      <w:r>
        <w:rPr>
          <w:rFonts w:hint="eastAsia" w:ascii="仿宋" w:hAnsi="仿宋" w:eastAsia="仿宋" w:cs="仿宋"/>
          <w:kern w:val="0"/>
          <w:sz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pPr>
        <w:numPr>
          <w:ilvl w:val="0"/>
          <w:numId w:val="10"/>
        </w:numPr>
        <w:adjustRightInd w:val="0"/>
        <w:snapToGrid w:val="0"/>
        <w:spacing w:line="336" w:lineRule="auto"/>
        <w:ind w:firstLine="422" w:firstLineChars="175"/>
        <w:rPr>
          <w:rFonts w:ascii="仿宋" w:hAnsi="仿宋" w:eastAsia="仿宋" w:cs="仿宋"/>
          <w:b/>
          <w:bCs/>
          <w:sz w:val="24"/>
        </w:rPr>
      </w:pPr>
      <w:r>
        <w:rPr>
          <w:rFonts w:hint="eastAsia" w:ascii="仿宋" w:hAnsi="仿宋" w:eastAsia="仿宋" w:cs="仿宋"/>
          <w:b/>
          <w:bCs/>
          <w:sz w:val="24"/>
        </w:rPr>
        <w:t>竣工验收及结算</w:t>
      </w:r>
    </w:p>
    <w:p>
      <w:pPr>
        <w:spacing w:line="336" w:lineRule="auto"/>
        <w:ind w:firstLine="480" w:firstLineChars="200"/>
        <w:rPr>
          <w:rFonts w:ascii="仿宋" w:hAnsi="仿宋" w:eastAsia="仿宋" w:cs="仿宋"/>
          <w:sz w:val="24"/>
        </w:rPr>
      </w:pPr>
      <w:r>
        <w:rPr>
          <w:rFonts w:hint="eastAsia" w:ascii="仿宋" w:hAnsi="仿宋" w:eastAsia="仿宋" w:cs="仿宋"/>
          <w:sz w:val="24"/>
        </w:rPr>
        <w:t>6.1工程完成后，在组织竣工验收前，承包人应向发包人移交</w:t>
      </w:r>
      <w:r>
        <w:rPr>
          <w:rFonts w:hint="eastAsia" w:ascii="仿宋" w:hAnsi="仿宋" w:eastAsia="仿宋" w:cs="仿宋"/>
          <w:sz w:val="24"/>
          <w:u w:val="single"/>
        </w:rPr>
        <w:t>三</w:t>
      </w:r>
      <w:r>
        <w:rPr>
          <w:rFonts w:hint="eastAsia" w:ascii="仿宋" w:hAnsi="仿宋" w:eastAsia="仿宋" w:cs="仿宋"/>
          <w:sz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36" w:lineRule="auto"/>
        <w:ind w:firstLine="480" w:firstLineChars="200"/>
        <w:rPr>
          <w:rFonts w:ascii="仿宋" w:hAnsi="仿宋" w:eastAsia="仿宋" w:cs="仿宋"/>
          <w:sz w:val="24"/>
        </w:rPr>
      </w:pPr>
      <w:r>
        <w:rPr>
          <w:rFonts w:hint="eastAsia" w:ascii="仿宋" w:hAnsi="仿宋" w:eastAsia="仿宋" w:cs="仿宋"/>
          <w:sz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sz w:val="24"/>
        </w:rPr>
      </w:pPr>
      <w:r>
        <w:rPr>
          <w:rFonts w:ascii="仿宋" w:hAnsi="仿宋" w:eastAsia="仿宋" w:cs="仿宋"/>
          <w:sz w:val="24"/>
        </w:rPr>
        <w:t>6.2</w:t>
      </w:r>
      <w:r>
        <w:rPr>
          <w:rFonts w:hint="eastAsia" w:ascii="仿宋" w:hAnsi="仿宋" w:eastAsia="仿宋" w:cs="仿宋"/>
          <w:sz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w:t>
      </w:r>
      <w:r>
        <w:rPr>
          <w:rFonts w:hint="eastAsia" w:ascii="仿宋" w:hAnsi="仿宋" w:eastAsia="仿宋" w:cs="仿宋"/>
          <w:sz w:val="24"/>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.4</w:t>
      </w:r>
      <w:r>
        <w:rPr>
          <w:rFonts w:hint="eastAsia" w:ascii="仿宋" w:hAnsi="仿宋" w:eastAsia="仿宋" w:cs="仿宋"/>
          <w:sz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rPr>
      </w:pPr>
      <w:r>
        <w:rPr>
          <w:rFonts w:hint="eastAsia" w:ascii="仿宋" w:hAnsi="仿宋" w:eastAsia="仿宋" w:cs="仿宋"/>
          <w:sz w:val="24"/>
        </w:rPr>
        <w:t>6.5工程项目结</w:t>
      </w:r>
      <w:r>
        <w:rPr>
          <w:rFonts w:hint="eastAsia" w:ascii="仿宋" w:hAnsi="仿宋" w:eastAsia="仿宋" w:cs="仿宋"/>
          <w:color w:val="auto"/>
          <w:sz w:val="24"/>
        </w:rPr>
        <w:t>算报审金额100万元及以下，综合审减率超出10%的；结算报审金额100万元以上且1000万元及以下，综合审减率超出8%的；结算报审金额1000万元以上，综合审减率超出5%的工程项目，均按超出部分的1%对施工单位进行考核。</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6.6分部及分项清单单项审定金额与报审金额相比，分项审减率30%及以下不予处罚；分项审减率30%以上且50%及以下的，按超出30%部分的0.5%对施工单位进行考核；分项审减率50%以上的，按超出30%部分的1%对施工单位进行考核。</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6.7除审计部或委托审计机构要求补充的资料外，施工单位初次报审后再次以漏报为由报增的，按报增部分审定金额的10%进行考核。</w:t>
      </w:r>
    </w:p>
    <w:p>
      <w:pPr>
        <w:adjustRightInd w:val="0"/>
        <w:snapToGrid w:val="0"/>
        <w:spacing w:line="336" w:lineRule="auto"/>
        <w:ind w:firstLine="480" w:firstLineChars="200"/>
        <w:rPr>
          <w:rFonts w:hint="eastAsia" w:ascii="仿宋" w:hAnsi="仿宋" w:eastAsia="仿宋" w:cs="仿宋"/>
          <w:color w:val="0000FF"/>
          <w:sz w:val="24"/>
          <w:lang w:val="en-US" w:eastAsia="zh-CN"/>
        </w:rPr>
      </w:pPr>
      <w:r>
        <w:rPr>
          <w:rFonts w:hint="eastAsia" w:ascii="仿宋" w:hAnsi="仿宋" w:eastAsia="仿宋" w:cs="仿宋"/>
          <w:color w:val="0000FF"/>
          <w:sz w:val="24"/>
          <w:lang w:val="en-US" w:eastAsia="zh-CN"/>
        </w:rPr>
        <w:t>根据结算审计管理办法计算出的考核金额不超过1000元时，按1000元进行考核；当考核金额大于1000元时，按实际金额进行考核，由施工单位承担。</w:t>
      </w:r>
    </w:p>
    <w:p>
      <w:pPr>
        <w:keepNext w:val="0"/>
        <w:keepLines w:val="0"/>
        <w:pageBreakBefore w:val="0"/>
        <w:widowControl w:val="0"/>
        <w:kinsoku/>
        <w:wordWrap/>
        <w:overflowPunct/>
        <w:topLinePunct w:val="0"/>
        <w:autoSpaceDE/>
        <w:autoSpaceDN/>
        <w:bidi w:val="0"/>
        <w:adjustRightInd w:val="0"/>
        <w:snapToGrid w:val="0"/>
        <w:spacing w:line="336" w:lineRule="auto"/>
        <w:ind w:right="-74" w:firstLine="420" w:firstLineChars="175"/>
        <w:textAlignment w:val="auto"/>
        <w:rPr>
          <w:rFonts w:ascii="仿宋" w:hAnsi="仿宋" w:eastAsia="仿宋" w:cs="仿宋"/>
          <w:color w:val="auto"/>
          <w:sz w:val="24"/>
        </w:rPr>
      </w:pPr>
      <w:r>
        <w:rPr>
          <w:rFonts w:hint="eastAsia" w:ascii="仿宋" w:hAnsi="仿宋" w:eastAsia="仿宋" w:cs="仿宋"/>
          <w:color w:val="auto"/>
          <w:sz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36" w:lineRule="auto"/>
        <w:ind w:right="-74" w:firstLine="420" w:firstLineChars="175"/>
        <w:textAlignment w:val="auto"/>
        <w:rPr>
          <w:rFonts w:ascii="仿宋" w:hAnsi="仿宋" w:eastAsia="仿宋" w:cs="仿宋"/>
          <w:color w:val="auto"/>
          <w:sz w:val="24"/>
        </w:rPr>
      </w:pPr>
      <w:r>
        <w:rPr>
          <w:rFonts w:hint="eastAsia" w:ascii="仿宋" w:hAnsi="仿宋" w:eastAsia="仿宋" w:cs="仿宋"/>
          <w:color w:val="auto"/>
          <w:sz w:val="24"/>
        </w:rPr>
        <w:t xml:space="preserve">6.9承包人应在竣工验收合格后 </w:t>
      </w:r>
      <w:r>
        <w:rPr>
          <w:rFonts w:hint="eastAsia" w:ascii="仿宋" w:hAnsi="仿宋" w:eastAsia="仿宋" w:cs="仿宋"/>
          <w:color w:val="auto"/>
          <w:sz w:val="24"/>
          <w:u w:val="single"/>
        </w:rPr>
        <w:t xml:space="preserve">7 </w:t>
      </w:r>
      <w:r>
        <w:rPr>
          <w:rFonts w:hint="eastAsia" w:ascii="仿宋" w:hAnsi="仿宋" w:eastAsia="仿宋" w:cs="仿宋"/>
          <w:color w:val="auto"/>
          <w:sz w:val="24"/>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36" w:lineRule="auto"/>
        <w:ind w:right="-74" w:firstLine="420" w:firstLineChars="175"/>
        <w:textAlignment w:val="auto"/>
        <w:rPr>
          <w:rFonts w:ascii="仿宋" w:hAnsi="仿宋" w:eastAsia="仿宋" w:cs="仿宋"/>
          <w:color w:val="auto"/>
          <w:sz w:val="24"/>
        </w:rPr>
      </w:pPr>
      <w:r>
        <w:rPr>
          <w:rFonts w:hint="eastAsia" w:ascii="仿宋" w:hAnsi="仿宋" w:eastAsia="仿宋" w:cs="仿宋"/>
          <w:color w:val="auto"/>
          <w:sz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color w:val="auto"/>
          <w:sz w:val="24"/>
        </w:rPr>
        <w:t>0.5</w:t>
      </w:r>
      <w:r>
        <w:rPr>
          <w:rFonts w:hint="eastAsia" w:ascii="仿宋" w:hAnsi="仿宋" w:eastAsia="仿宋" w:cs="仿宋"/>
          <w:color w:val="auto"/>
          <w:sz w:val="24"/>
        </w:rPr>
        <w:t>‰的金额向发包人支付违约金。</w:t>
      </w:r>
    </w:p>
    <w:p>
      <w:pPr>
        <w:adjustRightInd w:val="0"/>
        <w:snapToGrid w:val="0"/>
        <w:spacing w:line="336" w:lineRule="auto"/>
        <w:ind w:right="-74" w:firstLine="420" w:firstLineChars="175"/>
        <w:rPr>
          <w:rFonts w:ascii="仿宋" w:hAnsi="仿宋" w:eastAsia="仿宋" w:cs="仿宋"/>
          <w:color w:val="auto"/>
          <w:sz w:val="24"/>
        </w:rPr>
      </w:pPr>
      <w:r>
        <w:rPr>
          <w:rFonts w:hint="eastAsia" w:ascii="仿宋" w:hAnsi="仿宋" w:eastAsia="仿宋" w:cs="仿宋"/>
          <w:color w:val="auto"/>
          <w:sz w:val="24"/>
        </w:rPr>
        <w:t>6.10工程在未移交发包人之前，承包人应负责已完工程的成品保护工作，保护期间发生损坏、失窃，承包人自费予以修复。如发包人提前使用，因使用损坏发生的修理费用由发包人承担。</w:t>
      </w:r>
    </w:p>
    <w:p>
      <w:pPr>
        <w:adjustRightInd w:val="0"/>
        <w:snapToGrid w:val="0"/>
        <w:spacing w:line="336" w:lineRule="auto"/>
        <w:ind w:firstLine="482" w:firstLineChars="200"/>
        <w:rPr>
          <w:rFonts w:ascii="仿宋" w:hAnsi="仿宋" w:eastAsia="仿宋" w:cs="仿宋"/>
          <w:b/>
          <w:bCs/>
          <w:color w:val="auto"/>
          <w:sz w:val="24"/>
        </w:rPr>
      </w:pPr>
      <w:bookmarkStart w:id="128" w:name="_第十一条_工程结算"/>
      <w:bookmarkEnd w:id="128"/>
      <w:r>
        <w:rPr>
          <w:rStyle w:val="31"/>
          <w:rFonts w:hint="eastAsia" w:ascii="仿宋" w:hAnsi="仿宋" w:eastAsia="仿宋" w:cs="仿宋"/>
          <w:b/>
          <w:bCs/>
          <w:color w:val="auto"/>
          <w:sz w:val="24"/>
          <w:szCs w:val="24"/>
        </w:rPr>
        <w:t>七</w:t>
      </w:r>
      <w:r>
        <w:rPr>
          <w:rFonts w:hint="eastAsia" w:ascii="仿宋" w:hAnsi="仿宋" w:eastAsia="仿宋" w:cs="仿宋"/>
          <w:b/>
          <w:bCs/>
          <w:color w:val="auto"/>
          <w:sz w:val="24"/>
        </w:rPr>
        <w:t>、质量保修</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7.1本合同工程质量保修期：建设工程的保修期</w:t>
      </w:r>
      <w:r>
        <w:rPr>
          <w:rFonts w:hint="eastAsia" w:ascii="仿宋" w:hAnsi="仿宋" w:eastAsia="仿宋" w:cs="仿宋"/>
          <w:color w:val="auto"/>
          <w:sz w:val="24"/>
          <w:u w:val="single"/>
        </w:rPr>
        <w:t>自工程竣工验收合格之日起计算</w:t>
      </w:r>
      <w:r>
        <w:rPr>
          <w:rFonts w:hint="eastAsia" w:ascii="仿宋" w:hAnsi="仿宋" w:eastAsia="仿宋" w:cs="仿宋"/>
          <w:color w:val="auto"/>
          <w:sz w:val="24"/>
        </w:rPr>
        <w:t>，详见本合同附件1《工程质量保修书》。</w:t>
      </w:r>
    </w:p>
    <w:p>
      <w:pPr>
        <w:adjustRightInd w:val="0"/>
        <w:snapToGrid w:val="0"/>
        <w:spacing w:line="336" w:lineRule="auto"/>
        <w:ind w:firstLine="420" w:firstLineChars="175"/>
        <w:rPr>
          <w:rFonts w:ascii="仿宋" w:hAnsi="仿宋" w:eastAsia="仿宋" w:cs="仿宋"/>
          <w:color w:val="auto"/>
          <w:sz w:val="24"/>
        </w:rPr>
      </w:pPr>
      <w:r>
        <w:rPr>
          <w:rFonts w:hint="eastAsia" w:ascii="仿宋" w:hAnsi="仿宋" w:eastAsia="仿宋" w:cs="仿宋"/>
          <w:color w:val="auto"/>
          <w:sz w:val="24"/>
        </w:rPr>
        <w:t>7.2在保修期内出现</w:t>
      </w:r>
      <w:r>
        <w:rPr>
          <w:rFonts w:hint="eastAsia" w:ascii="仿宋" w:hAnsi="仿宋" w:eastAsia="仿宋" w:cs="仿宋"/>
          <w:i/>
          <w:iCs/>
          <w:color w:val="auto"/>
          <w:sz w:val="24"/>
          <w:u w:val="single"/>
        </w:rPr>
        <w:t xml:space="preserve">  </w:t>
      </w:r>
      <w:r>
        <w:rPr>
          <w:rFonts w:hint="eastAsia" w:ascii="仿宋" w:hAnsi="仿宋" w:eastAsia="仿宋" w:cs="仿宋"/>
          <w:i/>
          <w:iCs/>
          <w:color w:val="auto"/>
          <w:sz w:val="24"/>
          <w:u w:val="single"/>
          <w:lang w:val="en-US" w:eastAsia="zh-CN"/>
        </w:rPr>
        <w:t>\</w:t>
      </w:r>
      <w:r>
        <w:rPr>
          <w:rFonts w:hint="eastAsia" w:ascii="仿宋" w:hAnsi="仿宋" w:eastAsia="仿宋" w:cs="仿宋"/>
          <w:color w:val="auto"/>
          <w:sz w:val="24"/>
        </w:rPr>
        <w:t>质量问题经修复完成后，相应保修期重新计算。</w:t>
      </w:r>
    </w:p>
    <w:p>
      <w:pPr>
        <w:pStyle w:val="66"/>
        <w:autoSpaceDE/>
        <w:autoSpaceDN/>
        <w:snapToGrid w:val="0"/>
        <w:spacing w:before="0" w:after="0" w:line="336" w:lineRule="auto"/>
        <w:ind w:left="420" w:leftChars="200" w:right="0"/>
        <w:rPr>
          <w:rFonts w:ascii="仿宋" w:hAnsi="仿宋" w:eastAsia="仿宋" w:cs="仿宋"/>
          <w:b/>
          <w:bCs/>
          <w:color w:val="auto"/>
          <w:szCs w:val="24"/>
        </w:rPr>
      </w:pPr>
      <w:r>
        <w:rPr>
          <w:rFonts w:hint="eastAsia" w:ascii="仿宋" w:hAnsi="仿宋" w:eastAsia="仿宋" w:cs="仿宋"/>
          <w:b/>
          <w:bCs/>
          <w:color w:val="auto"/>
          <w:szCs w:val="24"/>
        </w:rPr>
        <w:t>八、违约责任</w:t>
      </w:r>
    </w:p>
    <w:p>
      <w:pPr>
        <w:adjustRightInd w:val="0"/>
        <w:snapToGrid w:val="0"/>
        <w:spacing w:line="336" w:lineRule="auto"/>
        <w:ind w:firstLine="420" w:firstLineChars="175"/>
        <w:jc w:val="left"/>
        <w:rPr>
          <w:rFonts w:hint="eastAsia" w:ascii="仿宋" w:hAnsi="仿宋" w:eastAsia="仿宋" w:cs="仿宋"/>
          <w:color w:val="auto"/>
          <w:sz w:val="24"/>
        </w:rPr>
      </w:pPr>
      <w:r>
        <w:rPr>
          <w:rFonts w:hint="eastAsia" w:ascii="仿宋" w:hAnsi="仿宋" w:eastAsia="仿宋" w:cs="仿宋"/>
          <w:color w:val="auto"/>
          <w:sz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color w:val="auto"/>
          <w:sz w:val="24"/>
        </w:rPr>
        <w:t>000</w:t>
      </w:r>
      <w:r>
        <w:rPr>
          <w:rFonts w:hint="eastAsia" w:ascii="仿宋" w:hAnsi="仿宋" w:eastAsia="仿宋" w:cs="仿宋"/>
          <w:color w:val="auto"/>
          <w:sz w:val="24"/>
        </w:rPr>
        <w:t>-</w:t>
      </w:r>
      <w:r>
        <w:rPr>
          <w:rFonts w:hint="eastAsia" w:ascii="仿宋" w:hAnsi="仿宋" w:eastAsia="仿宋" w:cs="仿宋"/>
          <w:color w:val="auto"/>
          <w:sz w:val="24"/>
          <w:lang w:val="en-US" w:eastAsia="zh-CN"/>
        </w:rPr>
        <w:t>1</w:t>
      </w:r>
      <w:r>
        <w:rPr>
          <w:rFonts w:ascii="仿宋" w:hAnsi="仿宋" w:eastAsia="仿宋" w:cs="仿宋"/>
          <w:color w:val="auto"/>
          <w:sz w:val="24"/>
        </w:rPr>
        <w:t>0000元</w:t>
      </w:r>
      <w:r>
        <w:rPr>
          <w:rFonts w:hint="eastAsia" w:ascii="仿宋" w:hAnsi="仿宋" w:eastAsia="仿宋" w:cs="仿宋"/>
          <w:color w:val="auto"/>
          <w:sz w:val="24"/>
        </w:rPr>
        <w:t>/次作为赔偿金；如</w:t>
      </w:r>
      <w:r>
        <w:rPr>
          <w:rFonts w:ascii="仿宋" w:hAnsi="仿宋" w:eastAsia="仿宋" w:cs="仿宋"/>
          <w:color w:val="auto"/>
          <w:sz w:val="24"/>
        </w:rPr>
        <w:t>发生承包人及</w:t>
      </w:r>
      <w:r>
        <w:rPr>
          <w:rFonts w:hint="eastAsia" w:ascii="仿宋" w:hAnsi="仿宋" w:eastAsia="仿宋" w:cs="仿宋"/>
          <w:color w:val="auto"/>
          <w:sz w:val="24"/>
        </w:rPr>
        <w:t>/或</w:t>
      </w:r>
      <w:r>
        <w:rPr>
          <w:rFonts w:ascii="仿宋" w:hAnsi="仿宋" w:eastAsia="仿宋" w:cs="仿宋"/>
          <w:color w:val="auto"/>
          <w:sz w:val="24"/>
        </w:rPr>
        <w:t>实际施工人存在无相关许可资质</w:t>
      </w:r>
      <w:r>
        <w:rPr>
          <w:rFonts w:hint="eastAsia" w:ascii="仿宋" w:hAnsi="仿宋" w:eastAsia="仿宋" w:cs="仿宋"/>
          <w:color w:val="auto"/>
          <w:sz w:val="24"/>
        </w:rPr>
        <w:t>、借用或冒用他人的资质、印章等严重情节（具体以发包人认定为准）的，发包人有权终止合同，同时承包人按合同最终结算价</w:t>
      </w:r>
      <w:r>
        <w:rPr>
          <w:rFonts w:hint="eastAsia" w:ascii="仿宋" w:hAnsi="仿宋" w:eastAsia="仿宋" w:cs="仿宋"/>
          <w:color w:val="auto"/>
          <w:sz w:val="24"/>
          <w:u w:val="single"/>
        </w:rPr>
        <w:t>的</w:t>
      </w:r>
      <w:r>
        <w:rPr>
          <w:rFonts w:hint="eastAsia" w:ascii="仿宋" w:hAnsi="仿宋" w:eastAsia="仿宋" w:cs="仿宋"/>
          <w:i/>
          <w:iCs/>
          <w:color w:val="auto"/>
          <w:sz w:val="24"/>
          <w:u w:val="single"/>
        </w:rPr>
        <w:t>10</w:t>
      </w:r>
      <w:r>
        <w:rPr>
          <w:rFonts w:hint="eastAsia" w:ascii="仿宋" w:hAnsi="仿宋" w:eastAsia="仿宋" w:cs="仿宋"/>
          <w:color w:val="auto"/>
          <w:sz w:val="24"/>
          <w:u w:val="single"/>
        </w:rPr>
        <w:t>％</w:t>
      </w:r>
      <w:r>
        <w:rPr>
          <w:rFonts w:hint="eastAsia" w:ascii="仿宋" w:hAnsi="仿宋" w:eastAsia="仿宋" w:cs="仿宋"/>
          <w:color w:val="auto"/>
          <w:sz w:val="24"/>
        </w:rPr>
        <w:t>支付违约金，没有合同最终结算价的，按</w:t>
      </w:r>
      <w:r>
        <w:rPr>
          <w:rFonts w:hint="eastAsia" w:ascii="仿宋" w:hAnsi="仿宋" w:eastAsia="仿宋" w:cs="仿宋"/>
          <w:color w:val="auto"/>
          <w:sz w:val="24"/>
          <w:u w:val="single"/>
        </w:rPr>
        <w:t>合同暂定价的</w:t>
      </w:r>
      <w:r>
        <w:rPr>
          <w:rFonts w:hint="eastAsia" w:ascii="仿宋" w:hAnsi="仿宋" w:eastAsia="仿宋" w:cs="仿宋"/>
          <w:i/>
          <w:iCs/>
          <w:color w:val="auto"/>
          <w:sz w:val="24"/>
          <w:u w:val="single"/>
        </w:rPr>
        <w:t>10</w:t>
      </w:r>
      <w:r>
        <w:rPr>
          <w:rFonts w:hint="eastAsia" w:ascii="仿宋" w:hAnsi="仿宋" w:eastAsia="仿宋" w:cs="仿宋"/>
          <w:color w:val="auto"/>
          <w:sz w:val="24"/>
          <w:u w:val="single"/>
        </w:rPr>
        <w:t>％计算，</w:t>
      </w:r>
      <w:r>
        <w:rPr>
          <w:rFonts w:hint="eastAsia" w:ascii="仿宋" w:hAnsi="仿宋" w:eastAsia="仿宋" w:cs="仿宋"/>
          <w:color w:val="auto"/>
          <w:sz w:val="24"/>
        </w:rPr>
        <w:t>发包人有权保留进一步索赔的权利。</w:t>
      </w:r>
    </w:p>
    <w:p>
      <w:pPr>
        <w:adjustRightInd w:val="0"/>
        <w:snapToGrid w:val="0"/>
        <w:spacing w:line="336" w:lineRule="auto"/>
        <w:ind w:firstLine="480" w:firstLineChars="200"/>
        <w:rPr>
          <w:rFonts w:hint="eastAsia" w:ascii="仿宋" w:hAnsi="仿宋" w:eastAsia="仿宋" w:cs="仿宋"/>
          <w:color w:val="0000FF"/>
          <w:sz w:val="24"/>
          <w:lang w:val="en-US" w:eastAsia="zh-CN"/>
        </w:rPr>
      </w:pPr>
      <w:r>
        <w:rPr>
          <w:rFonts w:hint="eastAsia" w:ascii="仿宋" w:hAnsi="仿宋" w:eastAsia="仿宋" w:cs="仿宋"/>
          <w:color w:val="0000FF"/>
          <w:sz w:val="24"/>
          <w:lang w:val="en-US" w:eastAsia="zh-CN"/>
        </w:rPr>
        <w:t>工程量签证现场草签结束后3日内，施工单位汇总统计草签单中的工程量或发生的人工、机械设备台班数量，填写《现场签证单》。签证签批办理最长不超过28日。若超出28日，每超期一天施工单位承担签证单工程量5‰/天/项的折损，直至全部折损完毕。在竣工结算审计时，按正式签证日期与草签单日期的间隔日历天数予以扣除。</w:t>
      </w:r>
    </w:p>
    <w:p>
      <w:pPr>
        <w:pStyle w:val="66"/>
        <w:autoSpaceDE/>
        <w:autoSpaceDN/>
        <w:snapToGrid w:val="0"/>
        <w:spacing w:before="0" w:after="0" w:line="336" w:lineRule="auto"/>
        <w:ind w:left="0" w:right="0" w:firstLine="482" w:firstLineChars="200"/>
        <w:rPr>
          <w:rFonts w:ascii="仿宋" w:hAnsi="仿宋" w:eastAsia="仿宋" w:cs="仿宋"/>
          <w:color w:val="auto"/>
          <w:szCs w:val="24"/>
        </w:rPr>
      </w:pPr>
      <w:r>
        <w:rPr>
          <w:rFonts w:hint="eastAsia" w:ascii="仿宋" w:hAnsi="仿宋" w:eastAsia="仿宋" w:cs="仿宋"/>
          <w:b/>
          <w:color w:val="auto"/>
          <w:szCs w:val="24"/>
        </w:rPr>
        <w:t>九、争议解决</w:t>
      </w:r>
    </w:p>
    <w:p>
      <w:pPr>
        <w:adjustRightInd w:val="0"/>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9.1本合同有效期内发生纠纷，由双方协商解决。如协商不成，</w:t>
      </w:r>
      <w:r>
        <w:rPr>
          <w:rFonts w:hint="eastAsia" w:ascii="仿宋" w:hAnsi="仿宋" w:eastAsia="仿宋" w:cs="仿宋"/>
          <w:color w:val="auto"/>
          <w:sz w:val="24"/>
        </w:rPr>
        <w:t>双方同意依法向</w:t>
      </w:r>
      <w:r>
        <w:rPr>
          <w:rFonts w:hint="eastAsia" w:ascii="仿宋" w:hAnsi="仿宋" w:eastAsia="仿宋" w:cs="仿宋"/>
          <w:i/>
          <w:iCs/>
          <w:color w:val="auto"/>
          <w:sz w:val="24"/>
          <w:u w:val="single"/>
        </w:rPr>
        <w:t>建设工程所在地有管辖权的人民法院起</w:t>
      </w:r>
      <w:r>
        <w:rPr>
          <w:rFonts w:hint="eastAsia" w:ascii="仿宋" w:hAnsi="仿宋" w:eastAsia="仿宋" w:cs="仿宋"/>
          <w:color w:val="auto"/>
          <w:sz w:val="24"/>
          <w:u w:val="single"/>
        </w:rPr>
        <w:t>诉</w:t>
      </w:r>
      <w:r>
        <w:rPr>
          <w:rFonts w:hint="eastAsia" w:ascii="仿宋" w:hAnsi="仿宋" w:eastAsia="仿宋" w:cs="仿宋"/>
          <w:color w:val="auto"/>
          <w:sz w:val="24"/>
        </w:rPr>
        <w:t>解决。</w:t>
      </w:r>
    </w:p>
    <w:p>
      <w:pPr>
        <w:adjustRightInd w:val="0"/>
        <w:snapToGrid w:val="0"/>
        <w:spacing w:line="336" w:lineRule="auto"/>
        <w:ind w:firstLine="482" w:firstLineChars="200"/>
        <w:rPr>
          <w:rFonts w:ascii="仿宋" w:hAnsi="仿宋" w:eastAsia="仿宋" w:cs="仿宋"/>
          <w:color w:val="auto"/>
          <w:sz w:val="24"/>
        </w:rPr>
      </w:pPr>
      <w:r>
        <w:rPr>
          <w:rFonts w:hint="eastAsia" w:ascii="仿宋" w:hAnsi="仿宋" w:eastAsia="仿宋" w:cs="仿宋"/>
          <w:b/>
          <w:bCs/>
          <w:color w:val="auto"/>
          <w:sz w:val="24"/>
        </w:rPr>
        <w:t>十、附则</w:t>
      </w:r>
    </w:p>
    <w:p>
      <w:pPr>
        <w:adjustRightInd w:val="0"/>
        <w:snapToGrid w:val="0"/>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rPr>
        <w:t>10.1发包人代表为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p>
    <w:p>
      <w:pPr>
        <w:keepNext w:val="0"/>
        <w:keepLines w:val="0"/>
        <w:widowControl/>
        <w:suppressLineNumbers w:val="0"/>
        <w:spacing w:line="360" w:lineRule="auto"/>
        <w:ind w:firstLine="960" w:firstLineChars="400"/>
        <w:jc w:val="left"/>
        <w:rPr>
          <w:rFonts w:hint="default" w:ascii="仿宋" w:hAnsi="仿宋" w:eastAsia="仿宋" w:cs="仿宋"/>
          <w:color w:val="auto"/>
          <w:sz w:val="24"/>
          <w:u w:val="single"/>
          <w:lang w:val="en-US"/>
        </w:rPr>
      </w:pPr>
      <w:r>
        <w:rPr>
          <w:rFonts w:hint="eastAsia" w:ascii="仿宋" w:hAnsi="仿宋" w:eastAsia="仿宋" w:cs="仿宋"/>
          <w:color w:val="auto"/>
          <w:sz w:val="24"/>
        </w:rPr>
        <w:t>承包人代表为</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执业证书号</w:t>
      </w:r>
      <w:r>
        <w:rPr>
          <w:rFonts w:hint="eastAsia" w:ascii="仿宋" w:hAnsi="仿宋" w:eastAsia="仿宋" w:cs="仿宋"/>
          <w:color w:val="auto"/>
          <w:sz w:val="24"/>
          <w:u w:val="single"/>
          <w:lang w:val="en-US" w:eastAsia="zh-CN"/>
        </w:rPr>
        <w:t xml:space="preserve">        </w:t>
      </w:r>
    </w:p>
    <w:p>
      <w:pPr>
        <w:pStyle w:val="9"/>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10.2其他补充说明</w:t>
      </w:r>
    </w:p>
    <w:p>
      <w:pPr>
        <w:pStyle w:val="9"/>
        <w:numPr>
          <w:ilvl w:val="0"/>
          <w:numId w:val="11"/>
        </w:num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现场不提供工人生活区和办公区，自行解决。发包人在施工范围周边指定水电接驳点，由承包人自行敷设至施工区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并</w:t>
      </w:r>
      <w:r>
        <w:rPr>
          <w:rFonts w:hint="eastAsia" w:ascii="仿宋" w:hAnsi="仿宋" w:eastAsia="仿宋" w:cs="仿宋"/>
          <w:color w:val="auto"/>
          <w:sz w:val="24"/>
          <w:szCs w:val="24"/>
        </w:rPr>
        <w:t>自行考虑临时停水、停电的应急预案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费用已在投标报价中综合考虑，不再另计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；施工水电费在结算时按照直接费的0.5%扣除水电费用，施工现场不再挂表计量</w:t>
      </w:r>
      <w:r>
        <w:rPr>
          <w:rFonts w:hint="eastAsia" w:ascii="仿宋" w:hAnsi="仿宋" w:eastAsia="仿宋" w:cs="仿宋"/>
          <w:color w:val="auto"/>
          <w:sz w:val="24"/>
          <w:szCs w:val="24"/>
          <w:lang w:eastAsia="zh-CN"/>
        </w:rPr>
        <w:t>。</w:t>
      </w:r>
    </w:p>
    <w:p>
      <w:pPr>
        <w:pStyle w:val="9"/>
        <w:numPr>
          <w:ilvl w:val="0"/>
          <w:numId w:val="11"/>
        </w:numPr>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承包人应做好疫情防控工作，服从项目属地政府有关部门的管理要求，积极配合做好开工复工手续，</w:t>
      </w:r>
      <w:r>
        <w:rPr>
          <w:rFonts w:hint="eastAsia" w:ascii="仿宋" w:hAnsi="仿宋" w:eastAsia="仿宋" w:cs="仿宋"/>
          <w:color w:val="auto"/>
          <w:sz w:val="24"/>
          <w:szCs w:val="24"/>
        </w:rPr>
        <w:t>施工现场疫情防控工作由施工总承包人统筹管理。防疫各项费用包含自合同签约价中，不另行计取。</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工程结算审计，由发包人委托造价咨询单位审计或自行审计。在</w:t>
      </w:r>
      <w:r>
        <w:rPr>
          <w:rFonts w:hint="eastAsia" w:ascii="仿宋" w:hAnsi="仿宋" w:eastAsia="仿宋" w:cs="仿宋"/>
          <w:color w:val="auto"/>
          <w:sz w:val="24"/>
          <w:szCs w:val="24"/>
          <w:lang w:val="en-US" w:eastAsia="zh-CN"/>
        </w:rPr>
        <w:t>报审</w:t>
      </w:r>
      <w:r>
        <w:rPr>
          <w:rFonts w:ascii="仿宋" w:hAnsi="仿宋" w:eastAsia="仿宋" w:cs="仿宋"/>
          <w:color w:val="auto"/>
          <w:sz w:val="24"/>
          <w:szCs w:val="24"/>
        </w:rPr>
        <w:t>额的基础上，审减部分按照结算</w:t>
      </w:r>
      <w:r>
        <w:rPr>
          <w:rFonts w:hint="eastAsia" w:ascii="仿宋" w:hAnsi="仿宋" w:eastAsia="仿宋" w:cs="仿宋"/>
          <w:color w:val="auto"/>
          <w:sz w:val="24"/>
          <w:szCs w:val="24"/>
          <w:lang w:val="en-US" w:eastAsia="zh-CN"/>
        </w:rPr>
        <w:t>报审</w:t>
      </w:r>
      <w:r>
        <w:rPr>
          <w:rFonts w:ascii="仿宋" w:hAnsi="仿宋" w:eastAsia="仿宋" w:cs="仿宋"/>
          <w:color w:val="auto"/>
          <w:sz w:val="24"/>
          <w:szCs w:val="24"/>
        </w:rPr>
        <w:t>额与结算最终审定额之间差额的5%计取审计费，由承包人支付；审增部分按实际审增额的5%计取审计费，由承包人支付。承包人应支付的审计费未直接支付的，由发包人在工程款中代扣代缴。</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施工期间</w:t>
      </w:r>
      <w:r>
        <w:rPr>
          <w:rFonts w:hint="eastAsia" w:ascii="仿宋" w:hAnsi="仿宋" w:eastAsia="仿宋" w:cs="仿宋"/>
          <w:color w:val="auto"/>
          <w:sz w:val="24"/>
          <w:szCs w:val="24"/>
        </w:rPr>
        <w:t>承包人</w:t>
      </w:r>
      <w:r>
        <w:rPr>
          <w:rFonts w:ascii="仿宋" w:hAnsi="仿宋" w:eastAsia="仿宋" w:cs="仿宋"/>
          <w:color w:val="auto"/>
          <w:sz w:val="24"/>
          <w:szCs w:val="24"/>
        </w:rPr>
        <w:t>应服从厂区安全文明管理规定，车辆人员进出管理规定（物流运输、施工车辆，必须选用重汽品牌）以及一切厂区管理制度，如人员登记、防疫管理、禁止吸烟、特种作业、动火审批用电审批、登高审批及相关安全环保检查等。</w:t>
      </w:r>
    </w:p>
    <w:p>
      <w:pPr>
        <w:pStyle w:val="9"/>
        <w:numPr>
          <w:ilvl w:val="0"/>
          <w:numId w:val="11"/>
        </w:numPr>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承包人</w:t>
      </w:r>
      <w:r>
        <w:rPr>
          <w:rFonts w:ascii="仿宋" w:hAnsi="仿宋" w:eastAsia="仿宋" w:cs="仿宋"/>
          <w:color w:val="auto"/>
          <w:sz w:val="24"/>
          <w:szCs w:val="24"/>
        </w:rPr>
        <w:t>自行负责进场设备材料物资的看护责任，若现场发生的丢失损坏，不得以此向</w:t>
      </w:r>
      <w:r>
        <w:rPr>
          <w:rFonts w:hint="eastAsia" w:ascii="仿宋" w:hAnsi="仿宋" w:eastAsia="仿宋" w:cs="仿宋"/>
          <w:color w:val="auto"/>
          <w:sz w:val="24"/>
          <w:szCs w:val="24"/>
        </w:rPr>
        <w:t>发包人</w:t>
      </w:r>
      <w:r>
        <w:rPr>
          <w:rFonts w:ascii="仿宋" w:hAnsi="仿宋" w:eastAsia="仿宋" w:cs="仿宋"/>
          <w:color w:val="auto"/>
          <w:sz w:val="24"/>
          <w:szCs w:val="24"/>
        </w:rPr>
        <w:t>索赔工期和费用。</w:t>
      </w:r>
    </w:p>
    <w:p>
      <w:pPr>
        <w:pStyle w:val="9"/>
        <w:numPr>
          <w:ilvl w:val="0"/>
          <w:numId w:val="11"/>
        </w:numPr>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承包人</w:t>
      </w:r>
      <w:r>
        <w:rPr>
          <w:rFonts w:ascii="仿宋" w:hAnsi="仿宋" w:eastAsia="仿宋" w:cs="仿宋"/>
          <w:color w:val="auto"/>
          <w:sz w:val="24"/>
          <w:szCs w:val="24"/>
        </w:rPr>
        <w:t>自进场施工开始至交接验收前负责施工范围内的成品保护工作，包括自身自己的成品及其它施工单位的成品、半成品等，如发生损坏、更改变化，由</w:t>
      </w:r>
      <w:r>
        <w:rPr>
          <w:rFonts w:hint="eastAsia" w:ascii="仿宋" w:hAnsi="仿宋" w:eastAsia="仿宋" w:cs="仿宋"/>
          <w:color w:val="auto"/>
          <w:sz w:val="24"/>
          <w:szCs w:val="24"/>
        </w:rPr>
        <w:t>承包人</w:t>
      </w:r>
      <w:r>
        <w:rPr>
          <w:rFonts w:ascii="仿宋" w:hAnsi="仿宋" w:eastAsia="仿宋" w:cs="仿宋"/>
          <w:color w:val="auto"/>
          <w:sz w:val="24"/>
          <w:szCs w:val="24"/>
        </w:rPr>
        <w:t>负责免费进行恢复原状。</w:t>
      </w:r>
      <w:r>
        <w:rPr>
          <w:rFonts w:hint="eastAsia" w:ascii="仿宋" w:hAnsi="仿宋" w:eastAsia="仿宋" w:cs="仿宋"/>
          <w:color w:val="auto"/>
          <w:sz w:val="24"/>
          <w:szCs w:val="24"/>
        </w:rPr>
        <w:t>尤其是施工区域管网工程，须采取成品保护措施，施工前提前告知报备，同时施工前要采取相关技术手段，结合原有管网图纸对施工场地区域的管网进行提前探测，管线探测清楚后，再进行后续施工，施工过程安排人员旁站监督，施工结束及时与相关方交接见证，严禁野蛮施工。因施工造成地下原有管网破坏需要无条件的进行免费维修，同时承担影响生产带来的相关损失</w:t>
      </w:r>
      <w:r>
        <w:rPr>
          <w:rFonts w:ascii="仿宋" w:hAnsi="仿宋" w:eastAsia="仿宋" w:cs="仿宋"/>
          <w:color w:val="auto"/>
          <w:sz w:val="24"/>
          <w:szCs w:val="24"/>
        </w:rPr>
        <w:t>。</w:t>
      </w:r>
    </w:p>
    <w:p>
      <w:pPr>
        <w:pStyle w:val="9"/>
        <w:numPr>
          <w:ilvl w:val="0"/>
          <w:numId w:val="11"/>
        </w:numPr>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承包人已到工地踏勘并</w:t>
      </w:r>
      <w:r>
        <w:rPr>
          <w:rFonts w:hint="eastAsia" w:ascii="仿宋" w:hAnsi="仿宋" w:eastAsia="仿宋" w:cs="仿宋"/>
          <w:color w:val="auto"/>
          <w:sz w:val="24"/>
          <w:szCs w:val="24"/>
        </w:rPr>
        <w:t>充分理解工地位置、情况、道路、储存空间、装卸限制及任何其他足以影响投标报价的情况，任何因忽视或误解工地情况而导致的索赔或工期延长申请将不被批准</w:t>
      </w:r>
      <w:r>
        <w:rPr>
          <w:rFonts w:hint="eastAsia" w:ascii="仿宋" w:hAnsi="仿宋" w:eastAsia="仿宋" w:cs="仿宋"/>
          <w:color w:val="auto"/>
          <w:sz w:val="24"/>
          <w:szCs w:val="24"/>
          <w:lang w:eastAsia="zh-CN"/>
        </w:rPr>
        <w:t>。</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施工期间必须采取抑尘降尘措施，施工区域采用封闭围挡进行封闭施工，与生产交叉时应采取保生产措施，服从厂区生产</w:t>
      </w:r>
      <w:r>
        <w:rPr>
          <w:rFonts w:hint="eastAsia" w:ascii="仿宋" w:hAnsi="仿宋" w:eastAsia="仿宋" w:cs="仿宋"/>
          <w:color w:val="auto"/>
          <w:sz w:val="24"/>
          <w:szCs w:val="24"/>
          <w:lang w:eastAsia="zh-CN"/>
        </w:rPr>
        <w:t>及正常办公</w:t>
      </w:r>
      <w:r>
        <w:rPr>
          <w:rFonts w:ascii="仿宋" w:hAnsi="仿宋" w:eastAsia="仿宋" w:cs="仿宋"/>
          <w:color w:val="auto"/>
          <w:sz w:val="24"/>
          <w:szCs w:val="24"/>
        </w:rPr>
        <w:t>需要，充分考虑施工机械多次进场，</w:t>
      </w:r>
      <w:r>
        <w:rPr>
          <w:rFonts w:hint="eastAsia" w:ascii="仿宋" w:hAnsi="仿宋" w:eastAsia="仿宋" w:cs="仿宋"/>
          <w:color w:val="auto"/>
          <w:sz w:val="24"/>
          <w:szCs w:val="24"/>
          <w:lang w:eastAsia="zh-CN"/>
        </w:rPr>
        <w:t>白天停止噪音施工等因素，</w:t>
      </w:r>
      <w:r>
        <w:rPr>
          <w:rFonts w:ascii="仿宋" w:hAnsi="仿宋" w:eastAsia="仿宋" w:cs="仿宋"/>
          <w:color w:val="auto"/>
          <w:sz w:val="24"/>
          <w:szCs w:val="24"/>
        </w:rPr>
        <w:t>积极采取夜间施工、加班加人等赶工措施。不得以此申请延长工期和增加费用。</w:t>
      </w:r>
    </w:p>
    <w:p>
      <w:pPr>
        <w:pStyle w:val="9"/>
        <w:numPr>
          <w:ilvl w:val="0"/>
          <w:numId w:val="11"/>
        </w:numPr>
        <w:spacing w:line="336"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承包人</w:t>
      </w:r>
      <w:r>
        <w:rPr>
          <w:rFonts w:ascii="仿宋" w:hAnsi="仿宋" w:eastAsia="仿宋" w:cs="仿宋"/>
          <w:color w:val="auto"/>
          <w:sz w:val="24"/>
          <w:szCs w:val="24"/>
        </w:rPr>
        <w:t>须认可</w:t>
      </w:r>
      <w:r>
        <w:rPr>
          <w:rFonts w:hint="eastAsia" w:ascii="仿宋" w:hAnsi="仿宋" w:eastAsia="仿宋" w:cs="仿宋"/>
          <w:color w:val="auto"/>
          <w:sz w:val="24"/>
          <w:szCs w:val="24"/>
        </w:rPr>
        <w:t>发包人</w:t>
      </w:r>
      <w:r>
        <w:rPr>
          <w:rFonts w:ascii="仿宋" w:hAnsi="仿宋" w:eastAsia="仿宋" w:cs="仿宋"/>
          <w:color w:val="auto"/>
          <w:sz w:val="24"/>
          <w:szCs w:val="24"/>
        </w:rPr>
        <w:t>的工作指令，包括节、假日能正常开展工作的要求。</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现场分区域分段施工、交叉施工、错时是必然的，必须服从厂区生产安排，施工降效等费用综合考虑到措施费用中。</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施工要充分满足厂区安全文明施工要求，考虑施工区域内材料多次倒运。</w:t>
      </w:r>
    </w:p>
    <w:p>
      <w:pPr>
        <w:pStyle w:val="9"/>
        <w:numPr>
          <w:ilvl w:val="0"/>
          <w:numId w:val="11"/>
        </w:numPr>
        <w:spacing w:line="336"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现场施工人员登高、电工、焊工等作业必须持证上岗。</w:t>
      </w:r>
    </w:p>
    <w:p>
      <w:pPr>
        <w:pStyle w:val="9"/>
        <w:numPr>
          <w:ilvl w:val="0"/>
          <w:numId w:val="11"/>
        </w:numPr>
        <w:spacing w:line="336"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所有施工人员，进出场物料、车辆、机具等统一在</w:t>
      </w:r>
      <w:r>
        <w:rPr>
          <w:rFonts w:hint="eastAsia" w:ascii="仿宋" w:hAnsi="仿宋" w:eastAsia="仿宋" w:cs="仿宋"/>
          <w:color w:val="auto"/>
          <w:sz w:val="24"/>
          <w:szCs w:val="24"/>
          <w:lang w:val="en-US" w:eastAsia="zh-CN"/>
        </w:rPr>
        <w:t>发包人指定的出入口</w:t>
      </w:r>
      <w:r>
        <w:rPr>
          <w:rFonts w:hint="eastAsia" w:ascii="仿宋" w:hAnsi="仿宋" w:eastAsia="仿宋" w:cs="仿宋"/>
          <w:color w:val="auto"/>
          <w:sz w:val="24"/>
          <w:szCs w:val="24"/>
        </w:rPr>
        <w:t>进出，进出所有施工车辆须为重汽品牌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进入园区施工及管理人员要求穿着统一马甲，佩戴施工胸牌，做好管理、施工人员信息录入后进场施工。</w:t>
      </w:r>
    </w:p>
    <w:p>
      <w:pPr>
        <w:pStyle w:val="9"/>
        <w:numPr>
          <w:ilvl w:val="0"/>
          <w:numId w:val="11"/>
        </w:numPr>
        <w:spacing w:line="336"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各施工</w:t>
      </w:r>
      <w:r>
        <w:rPr>
          <w:rFonts w:hint="eastAsia" w:ascii="仿宋" w:hAnsi="仿宋" w:eastAsia="仿宋" w:cs="仿宋"/>
          <w:color w:val="auto"/>
          <w:sz w:val="24"/>
          <w:szCs w:val="24"/>
          <w:lang w:val="en-US" w:eastAsia="zh-CN"/>
        </w:rPr>
        <w:t>区域内</w:t>
      </w:r>
      <w:r>
        <w:rPr>
          <w:rFonts w:hint="eastAsia" w:ascii="仿宋" w:hAnsi="仿宋" w:eastAsia="仿宋" w:cs="仿宋"/>
          <w:color w:val="auto"/>
          <w:sz w:val="24"/>
          <w:szCs w:val="24"/>
        </w:rPr>
        <w:t>不得就地住宿，严禁抽烟，发现一人抽烟按5000元/次/人进行经济考核</w:t>
      </w:r>
      <w:r>
        <w:rPr>
          <w:rFonts w:hint="eastAsia" w:ascii="仿宋" w:hAnsi="仿宋" w:eastAsia="仿宋" w:cs="仿宋"/>
          <w:color w:val="auto"/>
          <w:sz w:val="24"/>
          <w:szCs w:val="24"/>
          <w:lang w:eastAsia="zh-CN"/>
        </w:rPr>
        <w:t>。</w:t>
      </w:r>
    </w:p>
    <w:p>
      <w:pPr>
        <w:pStyle w:val="9"/>
        <w:numPr>
          <w:ilvl w:val="0"/>
          <w:numId w:val="11"/>
        </w:numPr>
        <w:spacing w:line="336"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承包人应严格落实项目所在地的最新农民工工资保证金管理规定，负责按规定及时全额缴纳，同时杜绝层层分包，转包行为，确保工资及时发放到劳务工人本人手中，并负责及时办理工伤保险。否则视为严重违约，除承担违约责任外，对造成的一切后果和责任自行承担。若本项目承包人发生农民工欠薪，产生政府投诉、堵门、阻挠施工等事件的，每发生一起，除妥善及时处理、消除影响外还应承担违约责任，视情节严重情况给予1万-5万元/次考核。</w:t>
      </w:r>
    </w:p>
    <w:p>
      <w:pPr>
        <w:pStyle w:val="9"/>
        <w:numPr>
          <w:ilvl w:val="0"/>
          <w:numId w:val="11"/>
        </w:numPr>
        <w:spacing w:line="336"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若承包人施工进度严重滞后且无有效抢工措施，施工进度无明显改善的，经发包人函告后仍未在通知的时间内积极采取有效措施达到现场进度要求的，发包人有权自行委托其他施工单位（第三方）替代施工，而不构成违约，承包人须无条件服从。第三方施工单位施工所发生的费用，由发包人书面认可即视为有效且承包人亦认可，最终由承包人承担，承担方式：承包人直接向第三方支付或由发包人代为支付，在承包人的竣工结算中对成本增加部分（双方价差）予以扣减。</w:t>
      </w:r>
    </w:p>
    <w:p>
      <w:pPr>
        <w:pStyle w:val="9"/>
        <w:numPr>
          <w:ilvl w:val="0"/>
          <w:numId w:val="11"/>
        </w:numPr>
        <w:spacing w:line="336" w:lineRule="auto"/>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本工程所涉及的材料均已包含抽样检验损失和新制作材料的费用。</w:t>
      </w:r>
    </w:p>
    <w:p>
      <w:pPr>
        <w:pStyle w:val="66"/>
        <w:autoSpaceDE/>
        <w:autoSpaceDN/>
        <w:snapToGrid w:val="0"/>
        <w:spacing w:before="0" w:after="0" w:line="336" w:lineRule="auto"/>
        <w:ind w:left="0" w:right="0" w:firstLine="482" w:firstLineChars="200"/>
        <w:rPr>
          <w:rFonts w:ascii="仿宋" w:hAnsi="仿宋" w:eastAsia="仿宋" w:cs="仿宋"/>
          <w:color w:val="auto"/>
          <w:szCs w:val="24"/>
        </w:rPr>
      </w:pPr>
      <w:r>
        <w:rPr>
          <w:rFonts w:hint="eastAsia" w:ascii="仿宋" w:hAnsi="仿宋" w:eastAsia="仿宋" w:cs="仿宋"/>
          <w:b/>
          <w:bCs/>
          <w:color w:val="auto"/>
          <w:szCs w:val="24"/>
        </w:rPr>
        <w:t>十一、合同生效</w:t>
      </w:r>
    </w:p>
    <w:p>
      <w:pPr>
        <w:adjustRightInd w:val="0"/>
        <w:snapToGrid w:val="0"/>
        <w:spacing w:line="336"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11.1本合同签订地点：_</w:t>
      </w:r>
      <w:r>
        <w:rPr>
          <w:rFonts w:ascii="仿宋" w:hAnsi="仿宋" w:eastAsia="仿宋" w:cs="仿宋"/>
          <w:bCs/>
          <w:color w:val="auto"/>
          <w:sz w:val="24"/>
          <w:u w:val="single"/>
        </w:rPr>
        <w:t>_</w:t>
      </w:r>
      <w:r>
        <w:rPr>
          <w:rFonts w:hint="eastAsia" w:ascii="仿宋" w:hAnsi="仿宋" w:eastAsia="仿宋" w:cs="仿宋"/>
          <w:bCs/>
          <w:color w:val="auto"/>
          <w:sz w:val="24"/>
          <w:u w:val="single"/>
        </w:rPr>
        <w:t>山东省济南市</w:t>
      </w:r>
      <w:r>
        <w:rPr>
          <w:rFonts w:ascii="仿宋" w:hAnsi="仿宋" w:eastAsia="仿宋" w:cs="仿宋"/>
          <w:bCs/>
          <w:color w:val="auto"/>
          <w:sz w:val="24"/>
          <w:u w:val="single"/>
        </w:rPr>
        <w:t>_</w:t>
      </w:r>
      <w:r>
        <w:rPr>
          <w:rFonts w:ascii="仿宋" w:hAnsi="仿宋" w:eastAsia="仿宋" w:cs="仿宋"/>
          <w:bCs/>
          <w:color w:val="auto"/>
          <w:sz w:val="24"/>
        </w:rPr>
        <w:t>_</w:t>
      </w:r>
      <w:r>
        <w:rPr>
          <w:rFonts w:hint="eastAsia" w:ascii="仿宋" w:hAnsi="仿宋" w:eastAsia="仿宋" w:cs="仿宋"/>
          <w:bCs/>
          <w:color w:val="auto"/>
          <w:sz w:val="24"/>
        </w:rPr>
        <w:t>。</w:t>
      </w:r>
    </w:p>
    <w:p>
      <w:pPr>
        <w:adjustRightInd w:val="0"/>
        <w:snapToGrid w:val="0"/>
        <w:spacing w:line="336" w:lineRule="auto"/>
        <w:ind w:left="719" w:leftChars="228" w:hanging="240" w:hangingChars="100"/>
        <w:rPr>
          <w:rFonts w:ascii="仿宋" w:hAnsi="仿宋" w:eastAsia="仿宋" w:cs="仿宋"/>
          <w:bCs/>
          <w:color w:val="auto"/>
          <w:sz w:val="24"/>
          <w:u w:val="single"/>
        </w:rPr>
      </w:pPr>
      <w:r>
        <w:rPr>
          <w:rFonts w:hint="eastAsia" w:ascii="仿宋" w:hAnsi="仿宋" w:eastAsia="仿宋" w:cs="仿宋"/>
          <w:bCs/>
          <w:color w:val="auto"/>
          <w:sz w:val="24"/>
        </w:rPr>
        <w:t>11.2本合同一式</w:t>
      </w:r>
      <w:r>
        <w:rPr>
          <w:rFonts w:hint="eastAsia" w:ascii="仿宋" w:hAnsi="仿宋" w:eastAsia="仿宋" w:cs="仿宋"/>
          <w:bCs/>
          <w:i/>
          <w:iCs/>
          <w:color w:val="auto"/>
          <w:sz w:val="24"/>
          <w:u w:val="single"/>
        </w:rPr>
        <w:t>陆</w:t>
      </w:r>
      <w:r>
        <w:rPr>
          <w:rFonts w:hint="eastAsia" w:ascii="仿宋" w:hAnsi="仿宋" w:eastAsia="仿宋" w:cs="仿宋"/>
          <w:bCs/>
          <w:color w:val="auto"/>
          <w:sz w:val="24"/>
        </w:rPr>
        <w:t>份，均具有同等法律效力，发包人</w:t>
      </w:r>
      <w:r>
        <w:rPr>
          <w:rFonts w:hint="eastAsia" w:ascii="仿宋" w:hAnsi="仿宋" w:eastAsia="仿宋" w:cs="仿宋"/>
          <w:bCs/>
          <w:i/>
          <w:iCs/>
          <w:color w:val="auto"/>
          <w:sz w:val="24"/>
          <w:u w:val="single"/>
        </w:rPr>
        <w:t xml:space="preserve"> 肆 </w:t>
      </w:r>
      <w:r>
        <w:rPr>
          <w:rFonts w:hint="eastAsia" w:ascii="仿宋" w:hAnsi="仿宋" w:eastAsia="仿宋" w:cs="仿宋"/>
          <w:bCs/>
          <w:color w:val="auto"/>
          <w:sz w:val="24"/>
        </w:rPr>
        <w:t>份，承包人</w:t>
      </w:r>
      <w:r>
        <w:rPr>
          <w:rFonts w:hint="eastAsia" w:ascii="仿宋" w:hAnsi="仿宋" w:eastAsia="仿宋" w:cs="仿宋"/>
          <w:bCs/>
          <w:i/>
          <w:iCs/>
          <w:color w:val="auto"/>
          <w:sz w:val="24"/>
          <w:u w:val="single"/>
        </w:rPr>
        <w:t xml:space="preserve">贰 </w:t>
      </w:r>
      <w:r>
        <w:rPr>
          <w:rFonts w:hint="eastAsia" w:ascii="仿宋" w:hAnsi="仿宋" w:eastAsia="仿宋" w:cs="仿宋"/>
          <w:bCs/>
          <w:color w:val="auto"/>
          <w:sz w:val="24"/>
        </w:rPr>
        <w:t>份。</w:t>
      </w:r>
    </w:p>
    <w:p>
      <w:pPr>
        <w:pStyle w:val="66"/>
        <w:autoSpaceDE/>
        <w:autoSpaceDN/>
        <w:snapToGrid w:val="0"/>
        <w:spacing w:before="0" w:after="0" w:line="336" w:lineRule="auto"/>
        <w:ind w:left="0" w:right="0" w:firstLine="480" w:firstLineChars="200"/>
        <w:rPr>
          <w:rFonts w:ascii="仿宋" w:hAnsi="仿宋" w:eastAsia="仿宋" w:cs="仿宋"/>
          <w:color w:val="auto"/>
          <w:szCs w:val="24"/>
        </w:rPr>
      </w:pPr>
      <w:r>
        <w:rPr>
          <w:rFonts w:hint="eastAsia" w:ascii="仿宋" w:hAnsi="仿宋" w:eastAsia="仿宋" w:cs="仿宋"/>
          <w:bCs/>
          <w:color w:val="auto"/>
          <w:szCs w:val="24"/>
        </w:rPr>
        <w:t>11.3本合同自</w:t>
      </w:r>
      <w:r>
        <w:rPr>
          <w:rFonts w:ascii="仿宋" w:hAnsi="仿宋" w:eastAsia="仿宋" w:cs="仿宋"/>
          <w:color w:val="auto"/>
          <w:szCs w:val="24"/>
        </w:rPr>
        <w:t>双方授权代表签署并加盖公章</w:t>
      </w:r>
      <w:r>
        <w:rPr>
          <w:rFonts w:hint="eastAsia" w:ascii="仿宋" w:hAnsi="仿宋" w:eastAsia="仿宋" w:cs="仿宋"/>
          <w:color w:val="auto"/>
          <w:szCs w:val="24"/>
        </w:rPr>
        <w:t>或者合同专用章</w:t>
      </w:r>
      <w:r>
        <w:rPr>
          <w:rFonts w:hint="eastAsia" w:ascii="仿宋" w:hAnsi="仿宋" w:eastAsia="仿宋" w:cs="仿宋"/>
          <w:bCs/>
          <w:color w:val="auto"/>
          <w:szCs w:val="24"/>
        </w:rPr>
        <w:t>之日起生效。</w:t>
      </w:r>
      <w:r>
        <w:rPr>
          <w:rFonts w:hint="eastAsia" w:ascii="仿宋" w:hAnsi="仿宋" w:eastAsia="仿宋" w:cs="仿宋"/>
          <w:color w:val="auto"/>
          <w:szCs w:val="24"/>
        </w:rPr>
        <w:t>合同附件作为合同不可分割的一部分，具有同等法律效力。</w:t>
      </w:r>
    </w:p>
    <w:p>
      <w:pPr>
        <w:ind w:firstLine="400" w:firstLineChars="200"/>
        <w:rPr>
          <w:color w:val="auto"/>
          <w:sz w:val="20"/>
          <w:szCs w:val="20"/>
        </w:rPr>
      </w:pPr>
    </w:p>
    <w:p>
      <w:pPr>
        <w:ind w:firstLine="400" w:firstLineChars="200"/>
        <w:jc w:val="left"/>
        <w:rPr>
          <w:rFonts w:ascii="仿宋" w:hAnsi="仿宋" w:eastAsia="仿宋" w:cs="仿宋"/>
          <w:bCs/>
          <w:color w:val="auto"/>
          <w:sz w:val="24"/>
        </w:rPr>
      </w:pPr>
      <w:r>
        <w:rPr>
          <w:rFonts w:hint="eastAsia"/>
          <w:color w:val="auto"/>
          <w:sz w:val="20"/>
          <w:szCs w:val="20"/>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color w:val="auto"/>
          <w:sz w:val="20"/>
          <w:szCs w:val="20"/>
        </w:rPr>
        <w:br w:type="textWrapping"/>
      </w:r>
      <w:r>
        <w:rPr>
          <w:rFonts w:hint="eastAsia"/>
          <w:color w:val="auto"/>
          <w:sz w:val="20"/>
          <w:szCs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tbl>
      <w:tblPr>
        <w:tblStyle w:val="23"/>
        <w:tblpPr w:leftFromText="180" w:rightFromText="180" w:vertAnchor="text" w:horzAnchor="page" w:tblpX="1180" w:tblpY="876"/>
        <w:tblOverlap w:val="never"/>
        <w:tblW w:w="9288" w:type="dxa"/>
        <w:tblInd w:w="0" w:type="dxa"/>
        <w:tblLayout w:type="fixed"/>
        <w:tblCellMar>
          <w:top w:w="0" w:type="dxa"/>
          <w:left w:w="108" w:type="dxa"/>
          <w:bottom w:w="0" w:type="dxa"/>
          <w:right w:w="108" w:type="dxa"/>
        </w:tblCellMar>
      </w:tblPr>
      <w:tblGrid>
        <w:gridCol w:w="4644"/>
        <w:gridCol w:w="4644"/>
      </w:tblGrid>
      <w:tr>
        <w:tblPrEx>
          <w:tblCellMar>
            <w:top w:w="0" w:type="dxa"/>
            <w:left w:w="108" w:type="dxa"/>
            <w:bottom w:w="0" w:type="dxa"/>
            <w:right w:w="108" w:type="dxa"/>
          </w:tblCellMar>
        </w:tblPrEx>
        <w:trPr>
          <w:trHeight w:val="907" w:hRule="atLeast"/>
        </w:trPr>
        <w:tc>
          <w:tcPr>
            <w:tcW w:w="4644" w:type="dxa"/>
            <w:noWrap w:val="0"/>
            <w:vAlign w:val="top"/>
          </w:tcPr>
          <w:p>
            <w:pPr>
              <w:spacing w:line="360" w:lineRule="auto"/>
              <w:rPr>
                <w:rFonts w:ascii="仿宋" w:hAnsi="仿宋" w:eastAsia="仿宋" w:cs="仿宋"/>
                <w:color w:val="auto"/>
                <w:sz w:val="22"/>
              </w:rPr>
            </w:pPr>
            <w:bookmarkStart w:id="129" w:name="_Hlk145491503"/>
            <w:r>
              <w:rPr>
                <w:rFonts w:hint="eastAsia" w:ascii="仿宋" w:hAnsi="仿宋" w:eastAsia="仿宋" w:cs="仿宋"/>
                <w:color w:val="auto"/>
                <w:sz w:val="22"/>
              </w:rPr>
              <w:t>发包人：  (盖章)</w:t>
            </w:r>
          </w:p>
          <w:p>
            <w:pPr>
              <w:spacing w:line="360" w:lineRule="auto"/>
              <w:rPr>
                <w:rFonts w:hint="eastAsia" w:ascii="仿宋" w:hAnsi="仿宋" w:eastAsia="仿宋" w:cs="仿宋"/>
                <w:color w:val="auto"/>
                <w:sz w:val="22"/>
                <w:lang w:eastAsia="zh-CN"/>
              </w:rPr>
            </w:pPr>
            <w:r>
              <w:rPr>
                <w:rFonts w:hint="eastAsia" w:ascii="仿宋" w:hAnsi="仿宋" w:eastAsia="仿宋" w:cs="仿宋"/>
                <w:color w:val="auto"/>
                <w:sz w:val="22"/>
              </w:rPr>
              <w:t xml:space="preserve"> </w:t>
            </w:r>
          </w:p>
        </w:tc>
        <w:tc>
          <w:tcPr>
            <w:tcW w:w="4644" w:type="dxa"/>
            <w:noWrap w:val="0"/>
            <w:vAlign w:val="top"/>
          </w:tcPr>
          <w:p>
            <w:pPr>
              <w:spacing w:line="360" w:lineRule="auto"/>
              <w:rPr>
                <w:rFonts w:hint="eastAsia" w:ascii="仿宋" w:hAnsi="仿宋" w:eastAsia="仿宋" w:cs="仿宋"/>
                <w:color w:val="auto"/>
                <w:sz w:val="22"/>
                <w:szCs w:val="22"/>
              </w:rPr>
            </w:pPr>
            <w:r>
              <w:rPr>
                <w:rFonts w:hint="eastAsia" w:ascii="仿宋" w:hAnsi="仿宋" w:eastAsia="仿宋" w:cs="仿宋"/>
                <w:color w:val="auto"/>
                <w:sz w:val="22"/>
                <w:szCs w:val="22"/>
              </w:rPr>
              <w:t>承包人：  (盖章)</w:t>
            </w:r>
          </w:p>
          <w:p>
            <w:pPr>
              <w:spacing w:line="360" w:lineRule="auto"/>
              <w:rPr>
                <w:rFonts w:ascii="仿宋" w:hAnsi="仿宋" w:eastAsia="仿宋" w:cs="仿宋"/>
                <w:color w:val="auto"/>
                <w:sz w:val="22"/>
              </w:rPr>
            </w:pPr>
          </w:p>
        </w:tc>
      </w:tr>
      <w:tr>
        <w:tblPrEx>
          <w:tblCellMar>
            <w:top w:w="0" w:type="dxa"/>
            <w:left w:w="108" w:type="dxa"/>
            <w:bottom w:w="0" w:type="dxa"/>
            <w:right w:w="108" w:type="dxa"/>
          </w:tblCellMar>
        </w:tblPrEx>
        <w:trPr>
          <w:trHeight w:val="1095" w:hRule="atLeast"/>
        </w:trPr>
        <w:tc>
          <w:tcPr>
            <w:tcW w:w="4644" w:type="dxa"/>
            <w:noWrap w:val="0"/>
            <w:vAlign w:val="top"/>
          </w:tcPr>
          <w:p>
            <w:pPr>
              <w:spacing w:line="360" w:lineRule="auto"/>
              <w:rPr>
                <w:rFonts w:ascii="仿宋" w:hAnsi="仿宋" w:eastAsia="仿宋" w:cs="仿宋"/>
                <w:color w:val="auto"/>
                <w:sz w:val="22"/>
              </w:rPr>
            </w:pPr>
            <w:r>
              <w:rPr>
                <w:rFonts w:hint="eastAsia" w:ascii="仿宋" w:hAnsi="仿宋" w:eastAsia="仿宋" w:cs="仿宋"/>
                <w:color w:val="auto"/>
                <w:sz w:val="22"/>
              </w:rPr>
              <w:t>法定代表人或其委托代理人：</w:t>
            </w:r>
          </w:p>
          <w:p>
            <w:pPr>
              <w:spacing w:line="360" w:lineRule="auto"/>
              <w:rPr>
                <w:rFonts w:ascii="仿宋" w:hAnsi="仿宋" w:eastAsia="仿宋" w:cs="仿宋"/>
                <w:color w:val="auto"/>
                <w:sz w:val="22"/>
              </w:rPr>
            </w:pPr>
            <w:r>
              <w:rPr>
                <w:rFonts w:hint="eastAsia" w:ascii="仿宋" w:hAnsi="仿宋" w:eastAsia="仿宋" w:cs="仿宋"/>
                <w:color w:val="auto"/>
                <w:sz w:val="22"/>
              </w:rPr>
              <w:t xml:space="preserve">（签字）   </w:t>
            </w:r>
          </w:p>
        </w:tc>
        <w:tc>
          <w:tcPr>
            <w:tcW w:w="4644" w:type="dxa"/>
            <w:noWrap w:val="0"/>
            <w:vAlign w:val="top"/>
          </w:tcPr>
          <w:p>
            <w:pPr>
              <w:spacing w:line="360" w:lineRule="auto"/>
              <w:rPr>
                <w:rFonts w:hint="eastAsia" w:ascii="仿宋" w:hAnsi="仿宋" w:eastAsia="仿宋" w:cs="仿宋"/>
                <w:color w:val="auto"/>
                <w:sz w:val="22"/>
                <w:szCs w:val="22"/>
              </w:rPr>
            </w:pPr>
            <w:r>
              <w:rPr>
                <w:rFonts w:hint="eastAsia" w:ascii="仿宋" w:hAnsi="仿宋" w:eastAsia="仿宋" w:cs="仿宋"/>
                <w:color w:val="auto"/>
                <w:sz w:val="22"/>
                <w:szCs w:val="22"/>
              </w:rPr>
              <w:t>法定代表人或其委托代理人：</w:t>
            </w:r>
          </w:p>
          <w:p>
            <w:pPr>
              <w:spacing w:line="360" w:lineRule="auto"/>
              <w:rPr>
                <w:rFonts w:ascii="仿宋" w:hAnsi="仿宋" w:eastAsia="仿宋" w:cs="仿宋"/>
                <w:color w:val="auto"/>
                <w:sz w:val="22"/>
              </w:rPr>
            </w:pPr>
            <w:r>
              <w:rPr>
                <w:rFonts w:hint="eastAsia" w:ascii="仿宋" w:hAnsi="仿宋" w:eastAsia="仿宋" w:cs="仿宋"/>
                <w:color w:val="auto"/>
                <w:sz w:val="22"/>
                <w:szCs w:val="22"/>
              </w:rPr>
              <w:t xml:space="preserve">（签字）   </w:t>
            </w:r>
          </w:p>
        </w:tc>
      </w:tr>
      <w:tr>
        <w:tblPrEx>
          <w:tblCellMar>
            <w:top w:w="0" w:type="dxa"/>
            <w:left w:w="108" w:type="dxa"/>
            <w:bottom w:w="0" w:type="dxa"/>
            <w:right w:w="108" w:type="dxa"/>
          </w:tblCellMar>
        </w:tblPrEx>
        <w:trPr>
          <w:trHeight w:val="652" w:hRule="atLeast"/>
        </w:trPr>
        <w:tc>
          <w:tcPr>
            <w:tcW w:w="4644" w:type="dxa"/>
            <w:noWrap w:val="0"/>
            <w:vAlign w:val="center"/>
          </w:tcPr>
          <w:p>
            <w:pPr>
              <w:spacing w:line="360" w:lineRule="auto"/>
              <w:jc w:val="left"/>
              <w:rPr>
                <w:rFonts w:hint="eastAsia" w:ascii="仿宋" w:hAnsi="仿宋" w:eastAsia="仿宋" w:cs="仿宋"/>
                <w:color w:val="auto"/>
                <w:sz w:val="22"/>
              </w:rPr>
            </w:pPr>
            <w:r>
              <w:rPr>
                <w:rFonts w:hint="eastAsia" w:ascii="仿宋" w:hAnsi="仿宋" w:eastAsia="仿宋" w:cs="仿宋"/>
                <w:color w:val="auto"/>
                <w:sz w:val="22"/>
                <w:lang w:val="en-US" w:eastAsia="zh-CN"/>
              </w:rPr>
              <w:t>日期：</w:t>
            </w:r>
          </w:p>
        </w:tc>
        <w:tc>
          <w:tcPr>
            <w:tcW w:w="4644" w:type="dxa"/>
            <w:noWrap w:val="0"/>
            <w:vAlign w:val="center"/>
          </w:tcPr>
          <w:p>
            <w:pPr>
              <w:spacing w:line="360" w:lineRule="auto"/>
              <w:jc w:val="left"/>
              <w:rPr>
                <w:rFonts w:hint="eastAsia" w:ascii="仿宋" w:hAnsi="仿宋" w:eastAsia="仿宋" w:cs="仿宋"/>
                <w:color w:val="auto"/>
                <w:sz w:val="22"/>
                <w:szCs w:val="22"/>
              </w:rPr>
            </w:pPr>
            <w:r>
              <w:rPr>
                <w:rFonts w:hint="eastAsia" w:ascii="仿宋" w:hAnsi="仿宋" w:eastAsia="仿宋" w:cs="仿宋"/>
                <w:color w:val="auto"/>
                <w:sz w:val="22"/>
                <w:lang w:val="en-US" w:eastAsia="zh-CN"/>
              </w:rPr>
              <w:t>日期：</w:t>
            </w:r>
          </w:p>
        </w:tc>
      </w:tr>
      <w:bookmarkEnd w:id="129"/>
    </w:tbl>
    <w:p>
      <w:pPr>
        <w:rPr>
          <w:rFonts w:hint="default" w:ascii="仿宋" w:hAnsi="仿宋" w:eastAsia="仿宋" w:cs="仿宋"/>
          <w:sz w:val="24"/>
          <w:lang w:val="en-US" w:eastAsia="zh-CN"/>
        </w:rPr>
      </w:pPr>
      <w:r>
        <w:rPr>
          <w:rFonts w:hint="eastAsia" w:ascii="仿宋" w:hAnsi="仿宋" w:eastAsia="仿宋" w:cs="仿宋"/>
          <w:color w:val="auto"/>
          <w:sz w:val="22"/>
          <w:lang w:val="en-US" w:eastAsia="zh-CN"/>
        </w:rPr>
        <w:t xml:space="preserve"> </w:t>
      </w:r>
      <w:r>
        <w:rPr>
          <w:rFonts w:hint="eastAsia" w:ascii="仿宋" w:hAnsi="仿宋" w:eastAsia="仿宋" w:cs="仿宋"/>
          <w:sz w:val="24"/>
        </w:rPr>
        <w:br w:type="page"/>
      </w:r>
      <w:r>
        <w:rPr>
          <w:rFonts w:hint="eastAsia" w:ascii="仿宋" w:hAnsi="仿宋" w:eastAsia="仿宋" w:cs="仿宋"/>
          <w:sz w:val="24"/>
          <w:lang w:val="en-US" w:eastAsia="zh-CN"/>
        </w:rPr>
        <w:t xml:space="preserve">  </w:t>
      </w:r>
    </w:p>
    <w:p>
      <w:pPr>
        <w:spacing w:line="360" w:lineRule="auto"/>
        <w:outlineLvl w:val="0"/>
        <w:rPr>
          <w:rFonts w:ascii="仿宋" w:hAnsi="仿宋" w:eastAsia="仿宋" w:cs="仿宋"/>
          <w:sz w:val="24"/>
        </w:rPr>
      </w:pPr>
      <w:bookmarkStart w:id="130" w:name="_Toc24760"/>
      <w:r>
        <w:rPr>
          <w:rFonts w:hint="eastAsia" w:ascii="仿宋" w:hAnsi="仿宋" w:eastAsia="仿宋" w:cs="仿宋"/>
          <w:sz w:val="24"/>
        </w:rPr>
        <w:t>附</w:t>
      </w:r>
      <w:bookmarkStart w:id="131" w:name="_Toc296944565"/>
      <w:bookmarkStart w:id="132" w:name="_Toc296503226"/>
      <w:bookmarkStart w:id="133" w:name="_Toc296346727"/>
      <w:bookmarkStart w:id="134" w:name="_Toc296891266"/>
      <w:bookmarkStart w:id="135" w:name="_Toc267261693"/>
      <w:bookmarkStart w:id="136" w:name="_Toc296347225"/>
      <w:bookmarkStart w:id="137" w:name="_Toc296891054"/>
      <w:r>
        <w:rPr>
          <w:rFonts w:hint="eastAsia" w:ascii="仿宋" w:hAnsi="仿宋" w:eastAsia="仿宋" w:cs="仿宋"/>
          <w:sz w:val="24"/>
        </w:rPr>
        <w:t>件1：</w:t>
      </w:r>
      <w:bookmarkEnd w:id="130"/>
      <w:bookmarkEnd w:id="131"/>
      <w:bookmarkEnd w:id="132"/>
      <w:bookmarkEnd w:id="133"/>
      <w:bookmarkEnd w:id="134"/>
      <w:bookmarkEnd w:id="135"/>
      <w:bookmarkEnd w:id="136"/>
      <w:bookmarkEnd w:id="137"/>
    </w:p>
    <w:p>
      <w:pPr>
        <w:spacing w:before="120" w:beforeLines="50" w:after="120" w:afterLines="50" w:line="360" w:lineRule="auto"/>
        <w:jc w:val="center"/>
        <w:rPr>
          <w:rFonts w:ascii="仿宋" w:hAnsi="仿宋" w:eastAsia="仿宋" w:cs="仿宋"/>
          <w:b/>
          <w:bCs/>
          <w:sz w:val="28"/>
          <w:szCs w:val="28"/>
        </w:rPr>
      </w:pPr>
      <w:r>
        <w:rPr>
          <w:rFonts w:hint="eastAsia" w:ascii="仿宋" w:hAnsi="仿宋" w:eastAsia="仿宋" w:cs="仿宋"/>
          <w:b/>
          <w:bCs/>
          <w:sz w:val="28"/>
          <w:szCs w:val="28"/>
        </w:rPr>
        <w:t>工程质量保修书</w:t>
      </w:r>
    </w:p>
    <w:p>
      <w:pPr>
        <w:spacing w:line="360" w:lineRule="auto"/>
        <w:ind w:firstLine="480" w:firstLineChars="200"/>
        <w:rPr>
          <w:rFonts w:hint="eastAsia" w:ascii="仿宋" w:hAnsi="仿宋" w:eastAsia="仿宋" w:cs="仿宋"/>
          <w:sz w:val="24"/>
          <w:u w:val="single"/>
          <w:lang w:val="en-US" w:eastAsia="zh-CN"/>
        </w:rPr>
      </w:pPr>
      <w:r>
        <w:rPr>
          <w:rFonts w:hint="eastAsia" w:ascii="仿宋" w:hAnsi="仿宋" w:eastAsia="仿宋" w:cs="仿宋"/>
          <w:sz w:val="24"/>
        </w:rPr>
        <w:t>发包人（全称）：</w:t>
      </w:r>
      <w:r>
        <w:rPr>
          <w:rFonts w:hint="eastAsia" w:ascii="仿宋" w:hAnsi="仿宋" w:eastAsia="仿宋" w:cs="仿宋"/>
          <w:sz w:val="24"/>
          <w:u w:val="single"/>
          <w:lang w:val="en-US" w:eastAsia="zh-CN"/>
        </w:rPr>
        <w:t>中国重汽集团济南汽车部件有限公司</w:t>
      </w:r>
    </w:p>
    <w:p>
      <w:pPr>
        <w:spacing w:line="360" w:lineRule="auto"/>
        <w:rPr>
          <w:rFonts w:hint="default" w:ascii="仿宋" w:hAnsi="仿宋" w:eastAsia="仿宋" w:cs="仿宋"/>
          <w:sz w:val="24"/>
          <w:lang w:val="en-US" w:eastAsia="zh-CN"/>
        </w:rPr>
      </w:pPr>
      <w:r>
        <w:rPr>
          <w:rFonts w:hint="eastAsia" w:ascii="仿宋" w:hAnsi="仿宋" w:eastAsia="仿宋" w:cs="仿宋"/>
          <w:sz w:val="24"/>
        </w:rPr>
        <w:t>　　承包人（全称）：</w:t>
      </w:r>
      <w:r>
        <w:rPr>
          <w:rFonts w:hint="eastAsia" w:ascii="仿宋" w:hAnsi="仿宋" w:eastAsia="仿宋" w:cs="仿宋"/>
          <w:sz w:val="24"/>
          <w:u w:val="single"/>
          <w:lang w:val="en-US" w:eastAsia="zh-CN"/>
        </w:rPr>
        <w:t>本次中标单位</w:t>
      </w:r>
    </w:p>
    <w:p>
      <w:pPr>
        <w:spacing w:line="360" w:lineRule="auto"/>
        <w:rPr>
          <w:rFonts w:ascii="仿宋" w:hAnsi="仿宋" w:eastAsia="仿宋" w:cs="仿宋"/>
          <w:sz w:val="24"/>
        </w:rPr>
      </w:pPr>
      <w:r>
        <w:rPr>
          <w:rFonts w:hint="eastAsia" w:ascii="仿宋" w:hAnsi="仿宋" w:eastAsia="仿宋" w:cs="仿宋"/>
          <w:sz w:val="24"/>
        </w:rPr>
        <w:t>　　发包人和承包人根据《中华人民共和国建筑法》和《建设工程质量管理条例》，经协商一致就</w:t>
      </w:r>
      <w:r>
        <w:rPr>
          <w:rFonts w:hint="eastAsia" w:ascii="仿宋" w:hAnsi="仿宋" w:eastAsia="仿宋" w:cs="仿宋"/>
          <w:sz w:val="24"/>
          <w:u w:val="single"/>
        </w:rPr>
        <w:t xml:space="preserve">   </w:t>
      </w:r>
      <w:r>
        <w:rPr>
          <w:rFonts w:hint="eastAsia" w:ascii="仿宋" w:hAnsi="仿宋" w:eastAsia="仿宋" w:cs="仿宋"/>
          <w:sz w:val="24"/>
        </w:rPr>
        <w:t>签订工程质量保修书。</w:t>
      </w:r>
    </w:p>
    <w:p>
      <w:pPr>
        <w:spacing w:line="360" w:lineRule="auto"/>
        <w:rPr>
          <w:rFonts w:ascii="仿宋" w:hAnsi="仿宋" w:eastAsia="仿宋" w:cs="仿宋"/>
          <w:sz w:val="24"/>
        </w:rPr>
      </w:pPr>
      <w:r>
        <w:rPr>
          <w:rFonts w:hint="eastAsia" w:ascii="仿宋" w:hAnsi="仿宋" w:eastAsia="仿宋" w:cs="仿宋"/>
          <w:sz w:val="24"/>
        </w:rPr>
        <w:t>　　一、工程质量保修范围和内容</w:t>
      </w:r>
    </w:p>
    <w:p>
      <w:pPr>
        <w:spacing w:line="360" w:lineRule="auto"/>
        <w:rPr>
          <w:rFonts w:ascii="仿宋" w:hAnsi="仿宋" w:eastAsia="仿宋" w:cs="仿宋"/>
          <w:sz w:val="24"/>
        </w:rPr>
      </w:pPr>
      <w:r>
        <w:rPr>
          <w:rFonts w:hint="eastAsia" w:ascii="仿宋" w:hAnsi="仿宋" w:eastAsia="仿宋" w:cs="仿宋"/>
          <w:sz w:val="24"/>
        </w:rPr>
        <w:t>　　承包人在质量保修期内，按照有关法律规定和合同约定，承担工程质量保修责任。</w:t>
      </w:r>
    </w:p>
    <w:p>
      <w:pPr>
        <w:spacing w:line="360" w:lineRule="auto"/>
        <w:rPr>
          <w:rFonts w:ascii="仿宋" w:hAnsi="仿宋" w:eastAsia="仿宋" w:cs="仿宋"/>
          <w:sz w:val="24"/>
        </w:rPr>
      </w:pPr>
      <w:r>
        <w:rPr>
          <w:rFonts w:hint="eastAsia" w:ascii="仿宋" w:hAnsi="仿宋" w:eastAsia="仿宋" w:cs="仿宋"/>
          <w:sz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u w:val="single"/>
        </w:rPr>
        <w:t xml:space="preserve">承包人承包范围以内的全部工程内容。若施工合同中有其它保修约定的按约定执行 </w:t>
      </w: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b/>
          <w:sz w:val="24"/>
        </w:rPr>
        <w:t>　　</w:t>
      </w:r>
      <w:r>
        <w:rPr>
          <w:rFonts w:hint="eastAsia" w:ascii="仿宋" w:hAnsi="仿宋" w:eastAsia="仿宋" w:cs="仿宋"/>
          <w:sz w:val="24"/>
        </w:rPr>
        <w:t>二、质量保修期</w:t>
      </w:r>
    </w:p>
    <w:p>
      <w:pPr>
        <w:spacing w:line="360" w:lineRule="auto"/>
        <w:ind w:firstLine="480" w:firstLineChars="200"/>
        <w:rPr>
          <w:rFonts w:ascii="仿宋" w:hAnsi="仿宋" w:eastAsia="仿宋" w:cs="仿宋"/>
          <w:sz w:val="24"/>
        </w:rPr>
      </w:pPr>
      <w:r>
        <w:rPr>
          <w:rFonts w:hint="eastAsia" w:ascii="仿宋" w:hAnsi="仿宋" w:eastAsia="仿宋" w:cs="仿宋"/>
          <w:sz w:val="24"/>
        </w:rPr>
        <w:t>根据《建设工程质量管理条例》及有关规定，工程的质量保修期如下：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1．地基基础工程和主体结构工程为设计文件规定的工程合理使用年限；</w:t>
      </w:r>
    </w:p>
    <w:p>
      <w:pPr>
        <w:spacing w:line="360" w:lineRule="auto"/>
        <w:ind w:firstLine="480" w:firstLineChars="200"/>
        <w:rPr>
          <w:rFonts w:ascii="仿宋" w:hAnsi="仿宋" w:eastAsia="仿宋" w:cs="仿宋"/>
          <w:sz w:val="24"/>
        </w:rPr>
      </w:pPr>
      <w:r>
        <w:rPr>
          <w:rFonts w:hint="eastAsia" w:ascii="仿宋" w:hAnsi="仿宋" w:eastAsia="仿宋" w:cs="仿宋"/>
          <w:sz w:val="24"/>
        </w:rPr>
        <w:t>2．屋面防水工程、有防水要求的卫生间、房间和外墙面的防渗为</w:t>
      </w:r>
      <w:r>
        <w:rPr>
          <w:rFonts w:hint="eastAsia" w:ascii="仿宋" w:hAnsi="仿宋" w:eastAsia="仿宋" w:cs="仿宋"/>
          <w:sz w:val="24"/>
          <w:u w:val="single"/>
        </w:rPr>
        <w:t xml:space="preserve">5 </w:t>
      </w:r>
      <w:r>
        <w:rPr>
          <w:rFonts w:hint="eastAsia" w:ascii="仿宋" w:hAnsi="仿宋" w:eastAsia="仿宋" w:cs="仿宋"/>
          <w:sz w:val="24"/>
        </w:rPr>
        <w:t>年；</w:t>
      </w:r>
    </w:p>
    <w:p>
      <w:pPr>
        <w:spacing w:line="360" w:lineRule="auto"/>
        <w:ind w:left="420" w:leftChars="200" w:firstLine="120" w:firstLineChars="50"/>
        <w:rPr>
          <w:rFonts w:ascii="仿宋" w:hAnsi="仿宋" w:eastAsia="仿宋" w:cs="仿宋"/>
          <w:sz w:val="24"/>
        </w:rPr>
      </w:pPr>
      <w:r>
        <w:rPr>
          <w:rFonts w:hint="eastAsia" w:ascii="仿宋" w:hAnsi="仿宋" w:eastAsia="仿宋" w:cs="仿宋"/>
          <w:sz w:val="24"/>
        </w:rPr>
        <w:t>3．装修工程为</w:t>
      </w:r>
      <w:r>
        <w:rPr>
          <w:rFonts w:hint="eastAsia" w:ascii="仿宋" w:hAnsi="仿宋" w:eastAsia="仿宋" w:cs="仿宋"/>
          <w:sz w:val="24"/>
          <w:u w:val="single"/>
        </w:rPr>
        <w:t xml:space="preserve">2 </w:t>
      </w:r>
      <w:r>
        <w:rPr>
          <w:rFonts w:hint="eastAsia" w:ascii="仿宋" w:hAnsi="仿宋" w:eastAsia="仿宋" w:cs="仿宋"/>
          <w:sz w:val="24"/>
        </w:rPr>
        <w:t>年；</w:t>
      </w:r>
    </w:p>
    <w:p>
      <w:pPr>
        <w:spacing w:line="360" w:lineRule="auto"/>
        <w:ind w:left="420" w:leftChars="200" w:firstLine="120" w:firstLineChars="50"/>
        <w:rPr>
          <w:rFonts w:ascii="仿宋" w:hAnsi="仿宋" w:eastAsia="仿宋" w:cs="仿宋"/>
          <w:sz w:val="24"/>
        </w:rPr>
      </w:pPr>
      <w:r>
        <w:rPr>
          <w:rFonts w:hint="eastAsia" w:ascii="仿宋" w:hAnsi="仿宋" w:eastAsia="仿宋" w:cs="仿宋"/>
          <w:sz w:val="24"/>
        </w:rPr>
        <w:t>4．电气管线、给排水管道、设备安装工程为</w:t>
      </w:r>
      <w:r>
        <w:rPr>
          <w:rFonts w:hint="eastAsia" w:ascii="仿宋" w:hAnsi="仿宋" w:eastAsia="仿宋" w:cs="仿宋"/>
          <w:sz w:val="24"/>
          <w:u w:val="single"/>
        </w:rPr>
        <w:t>2</w:t>
      </w:r>
      <w:r>
        <w:rPr>
          <w:rFonts w:hint="eastAsia" w:ascii="仿宋" w:hAnsi="仿宋" w:eastAsia="仿宋" w:cs="仿宋"/>
          <w:sz w:val="24"/>
        </w:rPr>
        <w:t>年；</w:t>
      </w:r>
    </w:p>
    <w:p>
      <w:pPr>
        <w:spacing w:line="360" w:lineRule="auto"/>
        <w:ind w:left="420" w:leftChars="200" w:firstLine="120" w:firstLineChars="50"/>
        <w:rPr>
          <w:rFonts w:ascii="仿宋" w:hAnsi="仿宋" w:eastAsia="仿宋" w:cs="仿宋"/>
          <w:sz w:val="24"/>
        </w:rPr>
      </w:pPr>
      <w:r>
        <w:rPr>
          <w:rFonts w:hint="eastAsia" w:ascii="仿宋" w:hAnsi="仿宋" w:eastAsia="仿宋" w:cs="仿宋"/>
          <w:sz w:val="24"/>
        </w:rPr>
        <w:t>5．供热与供冷系统为</w:t>
      </w:r>
      <w:r>
        <w:rPr>
          <w:rFonts w:hint="eastAsia" w:ascii="仿宋" w:hAnsi="仿宋" w:eastAsia="仿宋" w:cs="仿宋"/>
          <w:sz w:val="24"/>
          <w:u w:val="single"/>
        </w:rPr>
        <w:t xml:space="preserve">2  </w:t>
      </w:r>
      <w:r>
        <w:rPr>
          <w:rFonts w:hint="eastAsia" w:ascii="仿宋" w:hAnsi="仿宋" w:eastAsia="仿宋" w:cs="仿宋"/>
          <w:sz w:val="24"/>
        </w:rPr>
        <w:t>个采暖期、供冷期；</w:t>
      </w:r>
    </w:p>
    <w:p>
      <w:pPr>
        <w:spacing w:line="360" w:lineRule="auto"/>
        <w:ind w:left="420" w:leftChars="200" w:firstLine="120" w:firstLineChars="50"/>
        <w:rPr>
          <w:rFonts w:ascii="仿宋" w:hAnsi="仿宋" w:eastAsia="仿宋" w:cs="仿宋"/>
          <w:sz w:val="24"/>
        </w:rPr>
      </w:pPr>
      <w:r>
        <w:rPr>
          <w:rFonts w:hint="eastAsia" w:ascii="仿宋" w:hAnsi="仿宋" w:eastAsia="仿宋" w:cs="仿宋"/>
          <w:sz w:val="24"/>
        </w:rPr>
        <w:t>6．给排水设施、道路等配套工程为</w:t>
      </w:r>
      <w:r>
        <w:rPr>
          <w:rFonts w:hint="eastAsia" w:ascii="仿宋" w:hAnsi="仿宋" w:eastAsia="仿宋" w:cs="仿宋"/>
          <w:sz w:val="24"/>
          <w:u w:val="single"/>
        </w:rPr>
        <w:t>2</w:t>
      </w:r>
      <w:r>
        <w:rPr>
          <w:rFonts w:hint="eastAsia" w:ascii="仿宋" w:hAnsi="仿宋" w:eastAsia="仿宋" w:cs="仿宋"/>
          <w:sz w:val="24"/>
        </w:rPr>
        <w:t>年；</w:t>
      </w:r>
    </w:p>
    <w:p>
      <w:pPr>
        <w:spacing w:line="360" w:lineRule="auto"/>
        <w:ind w:left="420" w:leftChars="200" w:firstLine="120" w:firstLineChars="50"/>
        <w:rPr>
          <w:rFonts w:ascii="仿宋" w:hAnsi="仿宋" w:eastAsia="仿宋" w:cs="仿宋"/>
          <w:sz w:val="24"/>
        </w:rPr>
      </w:pPr>
      <w:r>
        <w:rPr>
          <w:rFonts w:hint="eastAsia" w:ascii="仿宋" w:hAnsi="仿宋" w:eastAsia="仿宋" w:cs="仿宋"/>
          <w:sz w:val="24"/>
        </w:rPr>
        <w:t>7．其他项目保修期限约定如下：</w:t>
      </w:r>
      <w:r>
        <w:rPr>
          <w:rFonts w:hint="eastAsia" w:ascii="仿宋" w:hAnsi="仿宋" w:eastAsia="仿宋" w:cs="仿宋"/>
          <w:i/>
          <w:iCs/>
          <w:sz w:val="24"/>
          <w:u w:val="single"/>
        </w:rPr>
        <w:t xml:space="preserve">  无  </w:t>
      </w:r>
      <w:r>
        <w:rPr>
          <w:rFonts w:hint="eastAsia" w:ascii="仿宋" w:hAnsi="仿宋" w:eastAsia="仿宋" w:cs="仿宋"/>
          <w:sz w:val="24"/>
        </w:rPr>
        <w:t>。</w:t>
      </w:r>
    </w:p>
    <w:p>
      <w:pPr>
        <w:adjustRightInd w:val="0"/>
        <w:snapToGrid w:val="0"/>
        <w:spacing w:line="360" w:lineRule="auto"/>
        <w:ind w:firstLine="420" w:firstLineChars="175"/>
        <w:rPr>
          <w:rFonts w:ascii="仿宋" w:hAnsi="仿宋" w:eastAsia="仿宋" w:cs="仿宋"/>
          <w:sz w:val="24"/>
        </w:rPr>
      </w:pPr>
      <w:r>
        <w:rPr>
          <w:rFonts w:hint="eastAsia" w:ascii="仿宋" w:hAnsi="仿宋" w:eastAsia="仿宋" w:cs="仿宋"/>
          <w:sz w:val="24"/>
        </w:rPr>
        <w:t>　　质量保修期自工程竣工验收合格之日起计算。在保修期内出现</w:t>
      </w:r>
      <w:r>
        <w:rPr>
          <w:rFonts w:hint="eastAsia" w:ascii="仿宋" w:hAnsi="仿宋" w:eastAsia="仿宋" w:cs="仿宋"/>
          <w:i/>
          <w:iCs/>
          <w:sz w:val="24"/>
          <w:u w:val="single"/>
        </w:rPr>
        <w:t xml:space="preserve"> </w:t>
      </w:r>
      <w:r>
        <w:rPr>
          <w:rFonts w:hint="eastAsia" w:ascii="仿宋" w:hAnsi="仿宋" w:eastAsia="仿宋" w:cs="仿宋"/>
          <w:i/>
          <w:iCs/>
          <w:sz w:val="24"/>
          <w:u w:val="single"/>
          <w:lang w:val="en-US" w:eastAsia="zh-CN"/>
        </w:rPr>
        <w:t xml:space="preserve"> / </w:t>
      </w:r>
      <w:r>
        <w:rPr>
          <w:rFonts w:hint="eastAsia" w:ascii="仿宋" w:hAnsi="仿宋" w:eastAsia="仿宋" w:cs="仿宋"/>
          <w:i/>
          <w:iCs/>
          <w:sz w:val="24"/>
          <w:u w:val="single"/>
        </w:rPr>
        <w:t xml:space="preserve"> </w:t>
      </w:r>
      <w:r>
        <w:rPr>
          <w:rFonts w:hint="eastAsia" w:ascii="仿宋" w:hAnsi="仿宋" w:eastAsia="仿宋" w:cs="仿宋"/>
          <w:sz w:val="24"/>
        </w:rPr>
        <w:t>质量问题经修复完成后，相应保修期重新计算。</w:t>
      </w:r>
    </w:p>
    <w:p>
      <w:pPr>
        <w:spacing w:line="360" w:lineRule="auto"/>
        <w:rPr>
          <w:rFonts w:ascii="仿宋" w:hAnsi="仿宋" w:eastAsia="仿宋" w:cs="仿宋"/>
          <w:sz w:val="24"/>
        </w:rPr>
      </w:pPr>
      <w:r>
        <w:rPr>
          <w:rFonts w:hint="eastAsia" w:ascii="仿宋" w:hAnsi="仿宋" w:eastAsia="仿宋" w:cs="仿宋"/>
          <w:sz w:val="24"/>
        </w:rPr>
        <w:t xml:space="preserve">    三、质量保修责任</w:t>
      </w:r>
    </w:p>
    <w:p>
      <w:pPr>
        <w:spacing w:line="360" w:lineRule="auto"/>
        <w:ind w:firstLine="480" w:firstLineChars="200"/>
        <w:rPr>
          <w:rFonts w:ascii="仿宋" w:hAnsi="仿宋" w:eastAsia="仿宋" w:cs="仿宋"/>
          <w:sz w:val="24"/>
        </w:rPr>
      </w:pPr>
      <w:r>
        <w:rPr>
          <w:rFonts w:hint="eastAsia" w:ascii="仿宋" w:hAnsi="仿宋" w:eastAsia="仿宋" w:cs="仿宋"/>
          <w:sz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rPr>
      </w:pPr>
      <w:r>
        <w:rPr>
          <w:rFonts w:hint="eastAsia" w:ascii="仿宋" w:hAnsi="仿宋" w:eastAsia="仿宋" w:cs="仿宋"/>
          <w:sz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rPr>
      </w:pPr>
      <w:r>
        <w:rPr>
          <w:rFonts w:hint="eastAsia" w:ascii="仿宋" w:hAnsi="仿宋" w:eastAsia="仿宋" w:cs="仿宋"/>
          <w:sz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rPr>
      </w:pPr>
      <w:r>
        <w:rPr>
          <w:rFonts w:hint="eastAsia" w:ascii="仿宋" w:hAnsi="仿宋" w:eastAsia="仿宋" w:cs="仿宋"/>
          <w:sz w:val="24"/>
        </w:rPr>
        <w:t>4．质量保修完成后，由发包人组织验收。</w:t>
      </w:r>
    </w:p>
    <w:p>
      <w:pPr>
        <w:spacing w:line="360" w:lineRule="auto"/>
        <w:ind w:firstLine="480" w:firstLineChars="200"/>
        <w:rPr>
          <w:rFonts w:ascii="仿宋" w:hAnsi="仿宋" w:eastAsia="仿宋" w:cs="仿宋"/>
          <w:sz w:val="24"/>
        </w:rPr>
      </w:pPr>
      <w:r>
        <w:rPr>
          <w:rFonts w:hint="eastAsia" w:ascii="仿宋" w:hAnsi="仿宋" w:eastAsia="仿宋" w:cs="仿宋"/>
          <w:sz w:val="24"/>
        </w:rPr>
        <w:t>四、质量保修金的支付</w:t>
      </w:r>
    </w:p>
    <w:p>
      <w:pPr>
        <w:spacing w:line="360" w:lineRule="auto"/>
        <w:ind w:left="105" w:leftChars="50" w:firstLine="491" w:firstLineChars="205"/>
        <w:rPr>
          <w:rFonts w:ascii="仿宋" w:hAnsi="仿宋" w:eastAsia="仿宋" w:cs="仿宋"/>
          <w:sz w:val="24"/>
        </w:rPr>
      </w:pPr>
      <w:r>
        <w:rPr>
          <w:rFonts w:hint="eastAsia" w:ascii="仿宋" w:hAnsi="仿宋" w:eastAsia="仿宋" w:cs="仿宋"/>
          <w:sz w:val="24"/>
        </w:rPr>
        <w:t>本工程双方约定承包人向发包人支付工程质量保修金金额为工程结算款的</w:t>
      </w:r>
      <w:r>
        <w:rPr>
          <w:rFonts w:hint="eastAsia" w:ascii="仿宋" w:hAnsi="仿宋" w:eastAsia="仿宋" w:cs="仿宋"/>
          <w:sz w:val="24"/>
          <w:u w:val="single"/>
        </w:rPr>
        <w:t>百分之</w:t>
      </w:r>
      <w:r>
        <w:rPr>
          <w:rFonts w:hint="eastAsia" w:ascii="仿宋" w:hAnsi="仿宋" w:eastAsia="仿宋" w:cs="仿宋"/>
          <w:sz w:val="24"/>
          <w:u w:val="single"/>
          <w:lang w:val="en-US" w:eastAsia="zh-CN"/>
        </w:rPr>
        <w:t>伍</w:t>
      </w:r>
      <w:r>
        <w:rPr>
          <w:rFonts w:hint="eastAsia" w:ascii="仿宋" w:hAnsi="仿宋" w:eastAsia="仿宋" w:cs="仿宋"/>
          <w:sz w:val="24"/>
          <w:u w:val="single"/>
        </w:rPr>
        <w:t>（大写）</w:t>
      </w:r>
      <w:r>
        <w:rPr>
          <w:rFonts w:hint="eastAsia" w:ascii="仿宋" w:hAnsi="仿宋" w:eastAsia="仿宋" w:cs="仿宋"/>
          <w:sz w:val="24"/>
        </w:rPr>
        <w:t xml:space="preserve">。质量保修金银行利率为 </w:t>
      </w:r>
      <w:r>
        <w:rPr>
          <w:rFonts w:hint="eastAsia" w:ascii="仿宋" w:hAnsi="仿宋" w:eastAsia="仿宋" w:cs="仿宋"/>
          <w:sz w:val="24"/>
          <w:u w:val="single"/>
        </w:rPr>
        <w:t>无</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五、质量保修金的返还</w:t>
      </w:r>
    </w:p>
    <w:p>
      <w:pPr>
        <w:spacing w:line="360" w:lineRule="auto"/>
        <w:ind w:left="105" w:leftChars="50" w:firstLine="480" w:firstLineChars="200"/>
        <w:rPr>
          <w:rFonts w:ascii="仿宋" w:hAnsi="仿宋" w:eastAsia="仿宋" w:cs="仿宋"/>
          <w:sz w:val="24"/>
        </w:rPr>
      </w:pPr>
      <w:r>
        <w:rPr>
          <w:rFonts w:ascii="仿宋" w:hAnsi="仿宋" w:eastAsia="仿宋" w:cs="仿宋"/>
          <w:sz w:val="24"/>
        </w:rPr>
        <w:sym w:font="Wingdings 2" w:char="0052"/>
      </w:r>
      <w:r>
        <w:rPr>
          <w:rFonts w:hint="eastAsia" w:ascii="仿宋" w:hAnsi="仿宋" w:eastAsia="仿宋" w:cs="仿宋"/>
          <w:sz w:val="24"/>
        </w:rPr>
        <w:t>工程竣工验收合格之日起两年且无质量问题，且经工程使用单位或发包人签署质量保修金支付证明后，无息返还质量保修金的</w:t>
      </w:r>
      <w:r>
        <w:rPr>
          <w:rFonts w:ascii="仿宋" w:hAnsi="仿宋" w:eastAsia="仿宋" w:cs="仿宋"/>
          <w:sz w:val="24"/>
        </w:rPr>
        <w:t>100%</w:t>
      </w:r>
      <w:r>
        <w:rPr>
          <w:rFonts w:hint="eastAsia" w:ascii="仿宋" w:hAnsi="仿宋" w:eastAsia="仿宋" w:cs="仿宋"/>
          <w:sz w:val="24"/>
        </w:rPr>
        <w:t>。</w:t>
      </w:r>
    </w:p>
    <w:p>
      <w:pPr>
        <w:spacing w:line="360" w:lineRule="auto"/>
        <w:ind w:left="105" w:leftChars="50" w:firstLine="491" w:firstLineChars="205"/>
        <w:rPr>
          <w:rFonts w:ascii="仿宋" w:hAnsi="仿宋" w:eastAsia="仿宋" w:cs="仿宋"/>
          <w:sz w:val="24"/>
        </w:rPr>
      </w:pPr>
      <w:r>
        <w:rPr>
          <w:rFonts w:hint="eastAsia" w:ascii="仿宋" w:hAnsi="仿宋" w:eastAsia="仿宋" w:cs="仿宋"/>
          <w:sz w:val="24"/>
        </w:rPr>
        <w:t>质量保修期延长的，返还质量保修金的期限同时顺延。</w:t>
      </w:r>
    </w:p>
    <w:p>
      <w:pPr>
        <w:spacing w:line="360" w:lineRule="auto"/>
        <w:ind w:firstLine="480" w:firstLineChars="200"/>
        <w:rPr>
          <w:rFonts w:ascii="仿宋" w:hAnsi="仿宋" w:eastAsia="仿宋" w:cs="仿宋"/>
          <w:sz w:val="24"/>
        </w:rPr>
      </w:pPr>
      <w:r>
        <w:rPr>
          <w:rFonts w:hint="eastAsia" w:ascii="仿宋" w:hAnsi="仿宋" w:eastAsia="仿宋" w:cs="仿宋"/>
          <w:sz w:val="24"/>
        </w:rPr>
        <w:t>六、其它</w:t>
      </w:r>
    </w:p>
    <w:p>
      <w:pPr>
        <w:spacing w:line="360" w:lineRule="auto"/>
        <w:ind w:left="105" w:leftChars="50" w:firstLine="491" w:firstLineChars="205"/>
        <w:rPr>
          <w:rFonts w:ascii="仿宋" w:hAnsi="仿宋" w:eastAsia="仿宋" w:cs="仿宋"/>
          <w:sz w:val="24"/>
        </w:rPr>
      </w:pPr>
      <w:r>
        <w:rPr>
          <w:rFonts w:hint="eastAsia" w:ascii="仿宋" w:hAnsi="仿宋" w:eastAsia="仿宋" w:cs="仿宋"/>
          <w:sz w:val="24"/>
        </w:rPr>
        <w:t>1、本保修书作为施工工程合同的附件，与施工工程合同具有同等法律效力。</w:t>
      </w:r>
    </w:p>
    <w:p>
      <w:pPr>
        <w:spacing w:line="360" w:lineRule="auto"/>
        <w:ind w:left="105" w:leftChars="50" w:firstLine="491" w:firstLineChars="205"/>
        <w:rPr>
          <w:rFonts w:ascii="仿宋" w:hAnsi="仿宋" w:eastAsia="仿宋" w:cs="仿宋"/>
          <w:sz w:val="24"/>
        </w:rPr>
      </w:pPr>
      <w:r>
        <w:rPr>
          <w:rFonts w:hint="eastAsia" w:ascii="仿宋" w:hAnsi="仿宋" w:eastAsia="仿宋" w:cs="仿宋"/>
          <w:sz w:val="24"/>
        </w:rPr>
        <w:t>2、双方约定的其它工程质量保修事项：无。</w:t>
      </w:r>
    </w:p>
    <w:p>
      <w:pPr>
        <w:spacing w:line="360" w:lineRule="auto"/>
        <w:ind w:firstLine="456" w:firstLineChars="190"/>
        <w:rPr>
          <w:rFonts w:ascii="仿宋" w:hAnsi="仿宋" w:eastAsia="仿宋" w:cs="仿宋"/>
          <w:sz w:val="24"/>
        </w:rPr>
      </w:pPr>
      <w:r>
        <w:rPr>
          <w:rFonts w:hint="eastAsia" w:ascii="仿宋" w:hAnsi="仿宋" w:eastAsia="仿宋" w:cs="仿宋"/>
          <w:sz w:val="24"/>
        </w:rPr>
        <w:t>工程质量保修书由发包人、承包人在工程竣工验收前共同签署，作为施工合同附件，其有效期限至保修期满。</w:t>
      </w:r>
    </w:p>
    <w:p>
      <w:pPr>
        <w:spacing w:line="360" w:lineRule="auto"/>
        <w:ind w:firstLine="420"/>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发包人(盖章)：</w:t>
      </w:r>
      <w:r>
        <w:rPr>
          <w:rFonts w:hint="eastAsia" w:ascii="仿宋" w:hAnsi="仿宋" w:eastAsia="仿宋" w:cs="仿宋"/>
          <w:sz w:val="24"/>
          <w:u w:val="single"/>
        </w:rPr>
        <w:t xml:space="preserve">        </w:t>
      </w:r>
      <w:r>
        <w:rPr>
          <w:rFonts w:hint="eastAsia" w:ascii="仿宋" w:hAnsi="仿宋" w:eastAsia="仿宋" w:cs="仿宋"/>
          <w:sz w:val="24"/>
        </w:rPr>
        <w:t xml:space="preserve">         承包人(盖章)：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 </w:t>
      </w:r>
    </w:p>
    <w:p>
      <w:pPr>
        <w:spacing w:line="360" w:lineRule="auto"/>
        <w:rPr>
          <w:rFonts w:ascii="仿宋" w:hAnsi="仿宋" w:eastAsia="仿宋" w:cs="仿宋"/>
          <w:sz w:val="24"/>
        </w:rPr>
      </w:pPr>
      <w:r>
        <w:rPr>
          <w:rFonts w:hint="eastAsia" w:ascii="仿宋" w:hAnsi="仿宋" w:eastAsia="仿宋" w:cs="仿宋"/>
          <w:sz w:val="24"/>
        </w:rPr>
        <w:t>委托代理人(签字)：</w:t>
      </w:r>
      <w:r>
        <w:rPr>
          <w:rFonts w:hint="eastAsia" w:ascii="仿宋" w:hAnsi="仿宋" w:eastAsia="仿宋" w:cs="仿宋"/>
          <w:sz w:val="24"/>
          <w:u w:val="single"/>
        </w:rPr>
        <w:t xml:space="preserve">      </w:t>
      </w:r>
      <w:r>
        <w:rPr>
          <w:rFonts w:hint="eastAsia" w:ascii="仿宋" w:hAnsi="仿宋" w:eastAsia="仿宋" w:cs="仿宋"/>
          <w:sz w:val="24"/>
        </w:rPr>
        <w:t xml:space="preserve">         委托代理人(签字)：</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rPr>
          <w:rFonts w:hint="eastAsia" w:ascii="仿宋" w:hAnsi="仿宋" w:eastAsia="仿宋" w:cs="仿宋"/>
          <w:sz w:val="24"/>
        </w:rPr>
      </w:pPr>
      <w:r>
        <w:rPr>
          <w:rFonts w:hint="eastAsia" w:ascii="仿宋" w:hAnsi="仿宋" w:eastAsia="仿宋" w:cs="仿宋"/>
          <w:sz w:val="24"/>
        </w:rPr>
        <w:br w:type="page"/>
      </w:r>
    </w:p>
    <w:p>
      <w:pPr>
        <w:spacing w:line="360" w:lineRule="auto"/>
        <w:outlineLvl w:val="0"/>
        <w:rPr>
          <w:rFonts w:ascii="仿宋" w:hAnsi="仿宋" w:eastAsia="仿宋" w:cs="仿宋"/>
          <w:sz w:val="24"/>
        </w:rPr>
      </w:pPr>
      <w:bookmarkStart w:id="138" w:name="_Toc18478"/>
      <w:r>
        <w:rPr>
          <w:rFonts w:hint="eastAsia" w:ascii="仿宋" w:hAnsi="仿宋" w:eastAsia="仿宋" w:cs="仿宋"/>
          <w:sz w:val="24"/>
        </w:rPr>
        <w:t>附件2：</w:t>
      </w:r>
      <w:bookmarkEnd w:id="138"/>
      <w:r>
        <w:rPr>
          <w:rFonts w:hint="eastAsia" w:ascii="仿宋" w:hAnsi="仿宋" w:eastAsia="仿宋" w:cs="仿宋"/>
          <w:sz w:val="24"/>
        </w:rPr>
        <w:t xml:space="preserve">                           </w:t>
      </w:r>
    </w:p>
    <w:p>
      <w:pPr>
        <w:pStyle w:val="52"/>
        <w:spacing w:line="360" w:lineRule="auto"/>
        <w:ind w:firstLine="0" w:firstLineChars="0"/>
        <w:jc w:val="center"/>
        <w:rPr>
          <w:rFonts w:ascii="仿宋" w:hAnsi="仿宋" w:eastAsia="仿宋" w:cs="仿宋"/>
          <w:sz w:val="28"/>
          <w:szCs w:val="28"/>
        </w:rPr>
      </w:pPr>
      <w:r>
        <w:rPr>
          <w:rFonts w:hint="eastAsia" w:ascii="仿宋" w:hAnsi="仿宋" w:eastAsia="仿宋" w:cs="仿宋"/>
          <w:b/>
          <w:bCs/>
          <w:sz w:val="28"/>
          <w:szCs w:val="28"/>
        </w:rPr>
        <w:t>相关方安全协议</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仿宋" w:hAnsi="仿宋" w:eastAsia="仿宋" w:cs="仿宋"/>
          <w:sz w:val="24"/>
          <w:szCs w:val="24"/>
          <w:u w:val="single"/>
          <w:lang w:eastAsia="zh-CN"/>
        </w:rPr>
      </w:pPr>
      <w:r>
        <w:rPr>
          <w:rFonts w:hint="eastAsia" w:ascii="仿宋" w:hAnsi="仿宋" w:eastAsia="仿宋" w:cs="仿宋"/>
          <w:sz w:val="24"/>
        </w:rPr>
        <w:t>甲方：</w:t>
      </w:r>
      <w:r>
        <w:rPr>
          <w:rFonts w:hint="eastAsia" w:ascii="仿宋" w:hAnsi="仿宋" w:eastAsia="仿宋" w:cs="仿宋"/>
          <w:sz w:val="24"/>
          <w:szCs w:val="24"/>
          <w:u w:val="single"/>
          <w:lang w:eastAsia="zh-CN"/>
        </w:rPr>
        <w:t>中国重汽集团</w:t>
      </w:r>
      <w:r>
        <w:rPr>
          <w:rFonts w:hint="eastAsia" w:ascii="仿宋" w:hAnsi="仿宋" w:eastAsia="仿宋" w:cs="仿宋"/>
          <w:sz w:val="24"/>
          <w:szCs w:val="24"/>
          <w:u w:val="single"/>
          <w:lang w:val="en-US" w:eastAsia="zh-CN"/>
        </w:rPr>
        <w:t>济南汽车部件</w:t>
      </w:r>
      <w:r>
        <w:rPr>
          <w:rFonts w:hint="eastAsia" w:ascii="仿宋" w:hAnsi="仿宋" w:eastAsia="仿宋" w:cs="仿宋"/>
          <w:sz w:val="24"/>
          <w:szCs w:val="24"/>
          <w:u w:val="single"/>
          <w:lang w:eastAsia="zh-CN"/>
        </w:rPr>
        <w:t>有限公司</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仿宋" w:hAnsi="仿宋" w:eastAsia="仿宋" w:cs="仿宋"/>
          <w:sz w:val="24"/>
          <w:szCs w:val="24"/>
          <w:lang w:val="en-US" w:eastAsia="zh-CN"/>
        </w:rPr>
      </w:pPr>
      <w:r>
        <w:rPr>
          <w:rFonts w:hint="eastAsia" w:ascii="仿宋" w:hAnsi="仿宋" w:eastAsia="仿宋" w:cs="仿宋"/>
          <w:sz w:val="24"/>
          <w:szCs w:val="24"/>
        </w:rPr>
        <w:t>乙方：</w:t>
      </w:r>
      <w:r>
        <w:rPr>
          <w:rFonts w:hint="eastAsia" w:ascii="仿宋" w:hAnsi="仿宋" w:eastAsia="仿宋" w:cs="仿宋"/>
          <w:sz w:val="24"/>
          <w:szCs w:val="24"/>
          <w:u w:val="single"/>
          <w:lang w:eastAsia="zh-CN"/>
        </w:rPr>
        <w:t>本次中标单位</w:t>
      </w:r>
      <w:r>
        <w:rPr>
          <w:rFonts w:hint="eastAsia" w:ascii="仿宋" w:hAnsi="仿宋" w:eastAsia="仿宋" w:cs="仿宋"/>
          <w:sz w:val="24"/>
          <w:szCs w:val="24"/>
          <w:u w:val="single"/>
          <w:lang w:val="en-US" w:eastAsia="zh-CN"/>
        </w:rPr>
        <w:t xml:space="preserve">     </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乙方在甲方厂区开展</w:t>
      </w:r>
      <w:r>
        <w:rPr>
          <w:rFonts w:hint="eastAsia" w:ascii="仿宋" w:hAnsi="仿宋" w:eastAsia="仿宋" w:cs="仿宋"/>
          <w:sz w:val="24"/>
          <w:szCs w:val="24"/>
          <w:u w:val="single"/>
        </w:rPr>
        <w:t xml:space="preserve"> </w:t>
      </w:r>
      <w:r>
        <w:rPr>
          <w:rFonts w:hint="eastAsia" w:ascii="仿宋" w:hAnsi="仿宋" w:eastAsia="仿宋" w:cs="仿宋"/>
          <w:b w:val="0"/>
          <w:bCs w:val="0"/>
          <w:sz w:val="24"/>
          <w:szCs w:val="24"/>
          <w:u w:val="single"/>
        </w:rPr>
        <w:t>济南</w:t>
      </w:r>
      <w:r>
        <w:rPr>
          <w:rFonts w:hint="eastAsia" w:ascii="仿宋" w:hAnsi="仿宋" w:eastAsia="仿宋" w:cs="仿宋"/>
          <w:b w:val="0"/>
          <w:bCs w:val="0"/>
          <w:sz w:val="24"/>
          <w:szCs w:val="24"/>
          <w:u w:val="single"/>
          <w:lang w:val="en-US" w:eastAsia="zh-CN"/>
        </w:rPr>
        <w:t>汽车部件</w:t>
      </w:r>
      <w:r>
        <w:rPr>
          <w:rFonts w:hint="eastAsia" w:ascii="仿宋" w:hAnsi="仿宋" w:eastAsia="仿宋" w:cs="仿宋"/>
          <w:b w:val="0"/>
          <w:bCs w:val="0"/>
          <w:sz w:val="24"/>
          <w:szCs w:val="24"/>
          <w:u w:val="single"/>
        </w:rPr>
        <w:t>公司</w:t>
      </w:r>
      <w:r>
        <w:rPr>
          <w:rFonts w:hint="eastAsia" w:ascii="仿宋" w:hAnsi="仿宋" w:eastAsia="仿宋" w:cs="仿宋"/>
          <w:b w:val="0"/>
          <w:bCs w:val="0"/>
          <w:sz w:val="24"/>
          <w:szCs w:val="24"/>
          <w:u w:val="single"/>
          <w:lang w:val="en-US" w:eastAsia="zh-CN"/>
        </w:rPr>
        <w:t>零件线甲、乙醇混合罐迁移改造施工</w:t>
      </w:r>
      <w:r>
        <w:rPr>
          <w:rFonts w:hint="eastAsia" w:ascii="仿宋" w:hAnsi="仿宋" w:eastAsia="仿宋" w:cs="仿宋"/>
          <w:sz w:val="24"/>
          <w:szCs w:val="24"/>
        </w:rPr>
        <w:t>项目</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 xml:space="preserve">地点： </w:t>
      </w:r>
      <w:r>
        <w:rPr>
          <w:rFonts w:hint="eastAsia" w:ascii="仿宋" w:hAnsi="仿宋" w:eastAsia="仿宋" w:cs="仿宋"/>
          <w:sz w:val="24"/>
          <w:szCs w:val="24"/>
          <w:u w:val="single"/>
          <w:lang w:eastAsia="zh-CN"/>
        </w:rPr>
        <w:t>中国重汽集团</w:t>
      </w:r>
      <w:r>
        <w:rPr>
          <w:rFonts w:hint="eastAsia" w:ascii="仿宋" w:hAnsi="仿宋" w:eastAsia="仿宋" w:cs="仿宋"/>
          <w:sz w:val="24"/>
          <w:szCs w:val="24"/>
          <w:u w:val="single"/>
          <w:lang w:val="en-US" w:eastAsia="zh-CN"/>
        </w:rPr>
        <w:t>济南汽车部件</w:t>
      </w:r>
      <w:r>
        <w:rPr>
          <w:rFonts w:hint="eastAsia" w:ascii="仿宋" w:hAnsi="仿宋" w:eastAsia="仿宋" w:cs="仿宋"/>
          <w:sz w:val="24"/>
          <w:szCs w:val="24"/>
          <w:u w:val="single"/>
          <w:lang w:eastAsia="zh-CN"/>
        </w:rPr>
        <w:t>有限公司</w:t>
      </w:r>
      <w:r>
        <w:rPr>
          <w:rFonts w:hint="eastAsia" w:ascii="仿宋" w:hAnsi="仿宋" w:eastAsia="仿宋" w:cs="仿宋"/>
          <w:sz w:val="24"/>
          <w:szCs w:val="24"/>
          <w:u w:val="single"/>
          <w:lang w:val="en-US" w:eastAsia="zh-CN"/>
        </w:rPr>
        <w:t>底盘零件线</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b w:val="0"/>
          <w:bCs w:val="0"/>
          <w:sz w:val="24"/>
          <w:szCs w:val="24"/>
        </w:rPr>
        <w:t>根据国</w:t>
      </w:r>
      <w:r>
        <w:rPr>
          <w:rFonts w:hint="eastAsia" w:ascii="仿宋" w:hAnsi="仿宋" w:eastAsia="仿宋" w:cs="仿宋"/>
          <w:b w:val="0"/>
          <w:bCs w:val="0"/>
          <w:sz w:val="24"/>
          <w:szCs w:val="24"/>
          <w:lang w:val="en-US" w:eastAsia="zh-CN"/>
        </w:rPr>
        <w:t>家、地方</w:t>
      </w:r>
      <w:r>
        <w:rPr>
          <w:rFonts w:hint="eastAsia" w:ascii="仿宋" w:hAnsi="仿宋" w:eastAsia="仿宋" w:cs="仿宋"/>
          <w:b w:val="0"/>
          <w:bCs w:val="0"/>
          <w:sz w:val="24"/>
          <w:szCs w:val="24"/>
        </w:rPr>
        <w:t>有关安全生产的法律、法规、条例</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规章、政策等规范性文件的要求</w:t>
      </w:r>
      <w:r>
        <w:rPr>
          <w:rFonts w:hint="eastAsia" w:ascii="仿宋" w:hAnsi="仿宋" w:eastAsia="仿宋" w:cs="仿宋"/>
          <w:b w:val="0"/>
          <w:bCs w:val="0"/>
          <w:sz w:val="24"/>
          <w:szCs w:val="24"/>
        </w:rPr>
        <w:t>，为明确甲乙双方安全管理职责与权利，预防各类事故的发生，经甲乙双方协商一致，同意签订本协议，并</w:t>
      </w:r>
      <w:r>
        <w:rPr>
          <w:rFonts w:hint="eastAsia" w:ascii="仿宋" w:hAnsi="仿宋" w:eastAsia="仿宋" w:cs="仿宋"/>
          <w:b w:val="0"/>
          <w:bCs w:val="0"/>
          <w:sz w:val="24"/>
          <w:szCs w:val="24"/>
          <w:lang w:val="en-US" w:eastAsia="zh-CN"/>
        </w:rPr>
        <w:t>共同</w:t>
      </w:r>
      <w:r>
        <w:rPr>
          <w:rFonts w:hint="eastAsia" w:ascii="仿宋" w:hAnsi="仿宋" w:eastAsia="仿宋" w:cs="仿宋"/>
          <w:b w:val="0"/>
          <w:bCs w:val="0"/>
          <w:sz w:val="24"/>
          <w:szCs w:val="24"/>
        </w:rPr>
        <w:t>遵守。</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一、甲乙双方安全管理职责与权利：</w:t>
      </w:r>
    </w:p>
    <w:p>
      <w:pPr>
        <w:pStyle w:val="52"/>
        <w:keepNext w:val="0"/>
        <w:keepLines w:val="0"/>
        <w:pageBreakBefore w:val="0"/>
        <w:widowControl w:val="0"/>
        <w:numPr>
          <w:ilvl w:val="-1"/>
          <w:numId w:val="0"/>
        </w:numPr>
        <w:kinsoku/>
        <w:wordWrap/>
        <w:overflowPunct/>
        <w:topLinePunct w:val="0"/>
        <w:autoSpaceDE/>
        <w:autoSpaceDN/>
        <w:bidi w:val="0"/>
        <w:adjustRightInd/>
        <w:snapToGrid w:val="0"/>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一</w:t>
      </w:r>
      <w:r>
        <w:rPr>
          <w:rFonts w:hint="eastAsia" w:ascii="仿宋" w:hAnsi="仿宋" w:eastAsia="仿宋" w:cs="仿宋"/>
          <w:b/>
          <w:bCs/>
          <w:sz w:val="24"/>
          <w:szCs w:val="24"/>
          <w:lang w:eastAsia="zh-CN"/>
        </w:rPr>
        <w:t>）</w:t>
      </w:r>
      <w:r>
        <w:rPr>
          <w:rFonts w:hint="eastAsia" w:ascii="仿宋" w:hAnsi="仿宋" w:eastAsia="仿宋" w:cs="仿宋"/>
          <w:b/>
          <w:bCs/>
          <w:sz w:val="24"/>
          <w:szCs w:val="24"/>
        </w:rPr>
        <w:t>甲方职责与权利</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1.甲方根据协作需求，负责为乙方提供作业场地及必要的风、水、电、气等能源。</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4.甲方对乙方不得违章指挥、强令冒险作业，因甲方人员人为原因造成乙方人员发生事故的，由乙方负责处理，甲方予以协助并赔偿乙方的合理损失。</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5.甲方对乙方在甲方发生安全事故时，将尽量协助救护、保护事故现场，并有权开展或参加对事故的调查处理。因乙方原因导致的生产安全事故，由乙方承担全部责任。</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7.对于提供生活物质、食品的乙方，甲方有权要求乙方提供乙方工作人员的健康证明。在甲方服务时，乙方要严格遵守甲方的相关安全管理制度和卫生、健康管理制度。</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8、甲方有权要求乙方提供作业人员的工伤保险及意外保险缴纳证明。</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9、甲方指定专人（          ）负责乙方业务和安全管理，乙方出现各类问题都应及时与甲方联系人、安全员联系。</w:t>
      </w:r>
    </w:p>
    <w:p>
      <w:pPr>
        <w:pStyle w:val="52"/>
        <w:keepNext w:val="0"/>
        <w:keepLines w:val="0"/>
        <w:pageBreakBefore w:val="0"/>
        <w:widowControl w:val="0"/>
        <w:numPr>
          <w:ilvl w:val="-1"/>
          <w:numId w:val="0"/>
        </w:numPr>
        <w:kinsoku/>
        <w:wordWrap/>
        <w:overflowPunct/>
        <w:topLinePunct w:val="0"/>
        <w:autoSpaceDE/>
        <w:autoSpaceDN/>
        <w:bidi w:val="0"/>
        <w:adjustRightInd/>
        <w:snapToGrid w:val="0"/>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二</w:t>
      </w:r>
      <w:r>
        <w:rPr>
          <w:rFonts w:hint="eastAsia" w:ascii="仿宋" w:hAnsi="仿宋" w:eastAsia="仿宋" w:cs="仿宋"/>
          <w:b/>
          <w:bCs/>
          <w:sz w:val="24"/>
          <w:szCs w:val="24"/>
          <w:lang w:eastAsia="zh-CN"/>
        </w:rPr>
        <w:t>）</w:t>
      </w:r>
      <w:r>
        <w:rPr>
          <w:rFonts w:hint="eastAsia" w:ascii="仿宋" w:hAnsi="仿宋" w:eastAsia="仿宋" w:cs="仿宋"/>
          <w:b/>
          <w:bCs/>
          <w:sz w:val="24"/>
          <w:szCs w:val="24"/>
        </w:rPr>
        <w:t>乙方职责与权利</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1.乙方进入甲方生产现场的车辆、人员必须执行甲方的各项安全管理规定，接受甲方安全管理人员的监督和管理。乙方应在进入现场前充分了解并知悉甲方的各项安全管理规定。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2.乙方在甲方现场作业应指定安全负责人，佩戴安全管理标识负责本方的安全管理工作</w:t>
      </w:r>
      <w:r>
        <w:rPr>
          <w:rFonts w:hint="eastAsia" w:ascii="仿宋" w:hAnsi="仿宋" w:eastAsia="仿宋" w:cs="仿宋"/>
          <w:b w:val="0"/>
          <w:bCs w:val="0"/>
          <w:sz w:val="24"/>
          <w:szCs w:val="24"/>
          <w:lang w:eastAsia="zh-CN"/>
        </w:rPr>
        <w:t>，</w:t>
      </w:r>
      <w:r>
        <w:rPr>
          <w:rFonts w:hint="eastAsia" w:ascii="仿宋" w:hAnsi="仿宋" w:eastAsia="仿宋" w:cs="仿宋"/>
          <w:sz w:val="24"/>
        </w:rPr>
        <w:t>乙方安全管理人员要定期开展隐患排查，并将检查及处理情况如实记录存档”</w:t>
      </w:r>
      <w:r>
        <w:rPr>
          <w:rFonts w:hint="eastAsia" w:ascii="仿宋" w:hAnsi="仿宋" w:eastAsia="仿宋" w:cs="仿宋"/>
          <w:b w:val="0"/>
          <w:bCs w:val="0"/>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lang w:eastAsia="zh-CN"/>
        </w:rPr>
        <w:t>，特种车辆设有环保码</w:t>
      </w:r>
      <w:r>
        <w:rPr>
          <w:rFonts w:hint="eastAsia" w:ascii="仿宋" w:hAnsi="仿宋" w:eastAsia="仿宋" w:cs="仿宋"/>
          <w:b w:val="0"/>
          <w:bCs w:val="0"/>
          <w:sz w:val="24"/>
          <w:szCs w:val="24"/>
        </w:rPr>
        <w:t>。牌照须按规定位置安装，并保持牢固、清晰、不得损坏，货物必须按规定装载和捆绑固定牢固，严禁超载、超速行驶。</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5.乙方进入甲方厂区行驶的各类机动车辆，必须遵守靠右行驶的原则，并遵守相关禁行规定，禁止逆向行驶</w:t>
      </w:r>
      <w:r>
        <w:rPr>
          <w:rFonts w:hint="eastAsia" w:ascii="仿宋" w:hAnsi="仿宋" w:eastAsia="仿宋" w:cs="仿宋"/>
          <w:b w:val="0"/>
          <w:bCs w:val="0"/>
          <w:sz w:val="24"/>
          <w:szCs w:val="24"/>
          <w:lang w:eastAsia="zh-CN"/>
        </w:rPr>
        <w:t>，禁止行车过程中使用手机</w:t>
      </w:r>
      <w:r>
        <w:rPr>
          <w:rFonts w:hint="eastAsia" w:ascii="仿宋" w:hAnsi="仿宋" w:eastAsia="仿宋" w:cs="仿宋"/>
          <w:b w:val="0"/>
          <w:bCs w:val="0"/>
          <w:sz w:val="24"/>
          <w:szCs w:val="24"/>
        </w:rPr>
        <w:t>。车辆停放时驾驶员不得长时间离开车辆，确需离开应将车辆熄火拉紧手制动器并在停车线内停放</w:t>
      </w:r>
      <w:r>
        <w:rPr>
          <w:rFonts w:hint="eastAsia" w:ascii="仿宋" w:hAnsi="仿宋" w:eastAsia="仿宋" w:cs="仿宋"/>
          <w:b w:val="0"/>
          <w:bCs w:val="0"/>
          <w:sz w:val="24"/>
          <w:szCs w:val="24"/>
          <w:lang w:eastAsia="zh-CN"/>
        </w:rPr>
        <w:t>，启动钥匙随身携带</w:t>
      </w:r>
      <w:r>
        <w:rPr>
          <w:rFonts w:hint="eastAsia" w:ascii="仿宋" w:hAnsi="仿宋" w:eastAsia="仿宋" w:cs="仿宋"/>
          <w:b w:val="0"/>
          <w:bCs w:val="0"/>
          <w:sz w:val="24"/>
          <w:szCs w:val="24"/>
        </w:rPr>
        <w:t>。</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6.各类机动车辆在甲方厂区主干道行驶速度不超过</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0公里/小时，其他道路不得超过20公里/小时</w:t>
      </w:r>
      <w:r>
        <w:rPr>
          <w:rFonts w:hint="eastAsia" w:ascii="仿宋" w:hAnsi="仿宋" w:eastAsia="仿宋" w:cs="仿宋"/>
          <w:b w:val="0"/>
          <w:bCs w:val="0"/>
          <w:sz w:val="24"/>
          <w:szCs w:val="24"/>
          <w:lang w:eastAsia="zh-CN"/>
        </w:rPr>
        <w:t>；结冰、积雪、积水的道路和恶劣天气能见度在30m以内时</w:t>
      </w:r>
      <w:r>
        <w:rPr>
          <w:rFonts w:hint="eastAsia" w:ascii="仿宋" w:hAnsi="仿宋" w:eastAsia="仿宋" w:cs="仿宋"/>
          <w:b w:val="0"/>
          <w:bCs w:val="0"/>
          <w:sz w:val="24"/>
          <w:szCs w:val="24"/>
        </w:rPr>
        <w:t>不超过</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0公里/小时</w:t>
      </w:r>
      <w:r>
        <w:rPr>
          <w:rFonts w:hint="eastAsia" w:ascii="仿宋" w:hAnsi="仿宋" w:eastAsia="仿宋" w:cs="仿宋"/>
          <w:b w:val="0"/>
          <w:bCs w:val="0"/>
          <w:sz w:val="24"/>
          <w:szCs w:val="24"/>
          <w:lang w:eastAsia="zh-CN"/>
        </w:rPr>
        <w:t>，</w:t>
      </w:r>
      <w:r>
        <w:rPr>
          <w:rFonts w:hint="eastAsia" w:ascii="仿宋" w:hAnsi="仿宋" w:eastAsia="仿宋" w:cs="仿宋"/>
          <w:sz w:val="24"/>
        </w:rPr>
        <w:t>恶劣天气能见度在5m以内或能见度在10m以内、道路最大纵坡在6%以上时,应停止行驶</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车间内行驶速度不超过5公里/小时；进出车间大门行驶速度不超过</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公里/小时。</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8.因乙方人员不遵守相关安全法律法规及甲方的规章制度造成安全生产事故的，乙方应负责处理相关事宜，并承担所有责任和损失，甲方予以协助。</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9.乙方负责处理其工作人员在甲方现场工作期间发生的工伤事故，并承担全部费用及责任，甲方予以积极配合。</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10.乙方人员在甲方现场造成甲方工作人员或第三方人员人身伤害、财产损失或甲方产品、设备等财产损失的，由乙方承担全部费用及责任。</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13.乙方所使用的机械设施、各类机器等设备，必须是经过检测且合格可靠的，各类设备设施的合格证、检测证和安全防护装置等必须齐全、完好。严禁使用不安全的设备设施进行作业。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14.乙方负责按照相关要求为作业现场配备所需的安全防护设施、消防设施，负责为乙方作业人员配备合格、可靠的安全防护用品（特殊劳动防护用品需提供采购单位相应资质）。</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15.乙方作业完成后，负责清理现场并恢复作业前的正常环境。对于作业过程中产生的废水、废料、废渣、建筑垃圾等（不包含危险废物），由乙方负责按照环保法律法规要求合法处理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lang w:eastAsia="zh-CN"/>
        </w:rPr>
        <w:t>，因乙方违规处置产生的一切后果由乙方承担</w:t>
      </w:r>
      <w:r>
        <w:rPr>
          <w:rFonts w:hint="eastAsia" w:ascii="仿宋" w:hAnsi="仿宋" w:eastAsia="仿宋" w:cs="仿宋"/>
          <w:b w:val="0"/>
          <w:bCs w:val="0"/>
          <w:sz w:val="24"/>
          <w:szCs w:val="24"/>
        </w:rPr>
        <w:t>。</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16、乙方承诺，不将承租的项目部分或全部转包给其他单位，因违规转包而导致的一切后果由乙方自行承担。</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17、积极支持配合和参加甲方组织的消防安全防范活动，自觉培养消防意识宣传消防重要性。进行经常性的防火安全检查，对发现的火险隐患必须采取应急措施。</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19、乙方应遵守装修工程消防安全管理规定和工程施工安全技术规范，在作业范围内消防灭火器材的配备及日常的维护由乙方负责，应确保消防器材及设施完好有效。</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20、乙方作业区域发生火灾事故时能冷静准确向119报警，并能灭火、指引和协助他人逃生。必须立即采取有效措施防止事故扩大，组织人员抢救并保护现场，并立即向甲方报告。</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sz w:val="24"/>
        </w:rPr>
      </w:pPr>
      <w:r>
        <w:rPr>
          <w:rFonts w:hint="eastAsia" w:ascii="仿宋" w:hAnsi="仿宋" w:eastAsia="仿宋" w:cs="仿宋"/>
          <w:sz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sz w:val="24"/>
        </w:rPr>
      </w:pPr>
      <w:r>
        <w:rPr>
          <w:rFonts w:hint="eastAsia" w:ascii="仿宋" w:hAnsi="仿宋" w:eastAsia="仿宋" w:cs="仿宋"/>
          <w:sz w:val="24"/>
        </w:rPr>
        <w:t>止事故扩大。</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sz w:val="24"/>
        </w:rPr>
        <w:t>22、乙方承诺指定专人（</w:t>
      </w:r>
      <w:r>
        <w:rPr>
          <w:rFonts w:hint="eastAsia" w:ascii="仿宋" w:hAnsi="仿宋" w:eastAsia="仿宋" w:cs="仿宋"/>
          <w:b w:val="0"/>
          <w:bCs w:val="0"/>
          <w:sz w:val="24"/>
          <w:szCs w:val="24"/>
          <w:lang w:val="en-US" w:eastAsia="zh-CN"/>
        </w:rPr>
        <w:t xml:space="preserve">            </w:t>
      </w:r>
      <w:r>
        <w:rPr>
          <w:rFonts w:hint="eastAsia" w:ascii="仿宋" w:hAnsi="仿宋" w:eastAsia="仿宋" w:cs="仿宋"/>
          <w:sz w:val="24"/>
        </w:rPr>
        <w:t>）负责作业过程中的安全管理，负责与甲方进行安全管理工作的对接，配合甲方统一协调管理。</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二、其他相关手续办理</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乙方进入甲方厂区进行施工，办理其他相关手续，应遵守以下约定：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1.进厂手续：甲方与乙方的施工合同签订后，乙方单位持相关的资质材料，按照甲方管理制度办理施工手续后 ,方可进行作业。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3.入厂安全教育：乙方进入甲方厂区前应对其施工人员进行安全教育并提供教育培训的相关资料，到甲方办理《施工许可证》。</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三、违约责任</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因乙方人员或车辆违反有关法律、法规、规章、规范性文件、甲方有关管理规定以及本协议约定，造成的一切后果和损失，由乙方承担全部责任并赔偿甲方之损失。</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四、争议解决</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本协议履行过程中产生的争议，双方协商解决，协商不成的提交甲方所在地法院诉讼解决。</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五、附则</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1.本协议自双方签署后生效</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本协议作为执行</w:t>
      </w:r>
      <w:r>
        <w:rPr>
          <w:rFonts w:hint="eastAsia" w:ascii="仿宋" w:hAnsi="仿宋" w:eastAsia="仿宋" w:cs="仿宋"/>
          <w:b w:val="0"/>
          <w:bCs w:val="0"/>
          <w:sz w:val="24"/>
          <w:szCs w:val="24"/>
          <w:lang w:val="en-US" w:eastAsia="zh-CN"/>
        </w:rPr>
        <w:t>甲乙双方</w:t>
      </w:r>
      <w:r>
        <w:rPr>
          <w:rFonts w:hint="eastAsia" w:ascii="仿宋" w:hAnsi="仿宋" w:eastAsia="仿宋" w:cs="仿宋"/>
          <w:b w:val="0"/>
          <w:bCs w:val="0"/>
          <w:sz w:val="24"/>
          <w:szCs w:val="24"/>
        </w:rPr>
        <w:t>采购协议</w:t>
      </w:r>
      <w:r>
        <w:rPr>
          <w:rFonts w:hint="eastAsia" w:ascii="仿宋" w:hAnsi="仿宋" w:eastAsia="仿宋" w:cs="仿宋"/>
          <w:b w:val="0"/>
          <w:bCs w:val="0"/>
          <w:sz w:val="24"/>
          <w:szCs w:val="24"/>
          <w:lang w:val="en-US" w:eastAsia="zh-CN"/>
        </w:rPr>
        <w:t>或其他合作协议</w:t>
      </w:r>
      <w:r>
        <w:rPr>
          <w:rFonts w:hint="eastAsia" w:ascii="仿宋" w:hAnsi="仿宋" w:eastAsia="仿宋" w:cs="仿宋"/>
          <w:b w:val="0"/>
          <w:bCs w:val="0"/>
          <w:sz w:val="24"/>
          <w:szCs w:val="24"/>
        </w:rPr>
        <w:t>的附件，此协议在双方合作期间有效</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本协议生效前甲乙双方未签署《相关方安全协议》但实际已存在供应采购等业务合作关系并进入甲方厂区/园区的，甲乙双方同意有关业务合作适用本协议的所有条款约定。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2.本协议附件与主协议具有相同的法律效力。在本协议有效期内，双方就未尽事宜达成补充协议的，补充协议与本协议具有同等法律效力。</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3.甲方与乙方签订本协议时，已向乙方告知甲方的各项安全管理规定。乙方已充分了解并知悉甲方的各项安全管理规定及内容，并承诺严格遵守。</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4.按照《安全生产法》规定，乙方如有不签订本协议和未执行协议擅自在甲方厂区内施工的情况，乙方均属违章作业。</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rPr>
        <w:t>.本协议应与具体项目合同同时签订。一式四份，甲乙双方各两份。</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0"/>
        <w:textAlignment w:val="auto"/>
        <w:rPr>
          <w:rFonts w:hint="eastAsia" w:ascii="仿宋" w:hAnsi="仿宋" w:eastAsia="仿宋" w:cs="仿宋"/>
          <w:b w:val="0"/>
          <w:bCs w:val="0"/>
          <w:sz w:val="24"/>
          <w:szCs w:val="24"/>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甲方（盖章）：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乙方（盖章）：</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授权</w:t>
      </w:r>
      <w:r>
        <w:rPr>
          <w:rFonts w:hint="eastAsia" w:ascii="仿宋" w:hAnsi="仿宋" w:eastAsia="仿宋" w:cs="仿宋"/>
          <w:b w:val="0"/>
          <w:bCs w:val="0"/>
          <w:sz w:val="24"/>
          <w:szCs w:val="24"/>
        </w:rPr>
        <w:t xml:space="preserve">代表（签字）：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lang w:eastAsia="zh-CN"/>
        </w:rPr>
        <w:t>授权</w:t>
      </w:r>
      <w:r>
        <w:rPr>
          <w:rFonts w:hint="eastAsia" w:ascii="仿宋" w:hAnsi="仿宋" w:eastAsia="仿宋" w:cs="仿宋"/>
          <w:b w:val="0"/>
          <w:bCs w:val="0"/>
          <w:sz w:val="24"/>
          <w:szCs w:val="24"/>
        </w:rPr>
        <w:t>代表（签字）：</w:t>
      </w:r>
    </w:p>
    <w:p>
      <w:pPr>
        <w:rPr>
          <w:rFonts w:hint="eastAsia" w:ascii="仿宋" w:hAnsi="仿宋" w:eastAsia="仿宋" w:cs="仿宋"/>
          <w:sz w:val="24"/>
        </w:rPr>
      </w:pPr>
      <w:r>
        <w:rPr>
          <w:rFonts w:hint="eastAsia" w:ascii="仿宋" w:hAnsi="仿宋" w:eastAsia="仿宋" w:cs="仿宋"/>
          <w:sz w:val="24"/>
        </w:rPr>
        <w:br w:type="page"/>
      </w:r>
    </w:p>
    <w:p>
      <w:pPr>
        <w:outlineLvl w:val="0"/>
        <w:rPr>
          <w:rFonts w:hint="eastAsia" w:ascii="仿宋" w:hAnsi="仿宋" w:eastAsia="仿宋" w:cs="仿宋"/>
          <w:sz w:val="24"/>
        </w:rPr>
      </w:pPr>
      <w:bookmarkStart w:id="139" w:name="_Toc5627"/>
      <w:r>
        <w:rPr>
          <w:rFonts w:hint="eastAsia" w:ascii="仿宋" w:hAnsi="仿宋" w:eastAsia="仿宋" w:cs="仿宋"/>
          <w:sz w:val="24"/>
        </w:rPr>
        <w:t>附件3：</w:t>
      </w:r>
      <w:bookmarkEnd w:id="139"/>
      <w:r>
        <w:rPr>
          <w:rFonts w:hint="eastAsia" w:ascii="仿宋" w:hAnsi="仿宋" w:eastAsia="仿宋" w:cs="仿宋"/>
          <w:sz w:val="24"/>
        </w:rPr>
        <w:t xml:space="preserve">    </w:t>
      </w:r>
    </w:p>
    <w:p>
      <w:pPr>
        <w:rPr>
          <w:rFonts w:ascii="仿宋" w:hAnsi="仿宋" w:eastAsia="仿宋" w:cs="仿宋"/>
          <w:b/>
          <w:bCs/>
          <w:sz w:val="28"/>
          <w:szCs w:val="28"/>
        </w:rPr>
      </w:pPr>
      <w:r>
        <w:rPr>
          <w:rFonts w:hint="eastAsia" w:ascii="仿宋" w:hAnsi="仿宋" w:eastAsia="仿宋" w:cs="仿宋"/>
          <w:sz w:val="24"/>
        </w:rPr>
        <w:t xml:space="preserve">              </w:t>
      </w:r>
      <w:r>
        <w:rPr>
          <w:rFonts w:hint="eastAsia" w:ascii="仿宋" w:hAnsi="仿宋" w:eastAsia="仿宋" w:cs="仿宋"/>
          <w:b/>
          <w:bCs/>
          <w:sz w:val="28"/>
          <w:szCs w:val="28"/>
        </w:rPr>
        <w:t xml:space="preserve"> </w:t>
      </w:r>
    </w:p>
    <w:p>
      <w:pPr>
        <w:jc w:val="center"/>
        <w:rPr>
          <w:rFonts w:hint="eastAsia" w:ascii="仿宋" w:hAnsi="仿宋" w:eastAsia="仿宋" w:cs="仿宋"/>
          <w:b/>
          <w:bCs/>
          <w:sz w:val="28"/>
          <w:szCs w:val="28"/>
        </w:rPr>
      </w:pPr>
    </w:p>
    <w:p>
      <w:pPr>
        <w:pStyle w:val="4"/>
        <w:numPr>
          <w:ilvl w:val="0"/>
          <w:numId w:val="0"/>
        </w:numPr>
        <w:spacing w:before="0" w:after="0" w:line="480" w:lineRule="auto"/>
        <w:jc w:val="center"/>
        <w:rPr>
          <w:sz w:val="30"/>
          <w:szCs w:val="30"/>
          <w:highlight w:val="none"/>
        </w:rPr>
      </w:pPr>
      <w:r>
        <w:rPr>
          <w:rFonts w:hint="eastAsia"/>
          <w:sz w:val="30"/>
          <w:szCs w:val="30"/>
          <w:highlight w:val="none"/>
        </w:rPr>
        <w:t>甲限乙购</w:t>
      </w:r>
      <w:r>
        <w:rPr>
          <w:sz w:val="30"/>
          <w:szCs w:val="30"/>
          <w:highlight w:val="none"/>
        </w:rPr>
        <w:t>材料（设备）品牌</w:t>
      </w:r>
      <w:r>
        <w:rPr>
          <w:rFonts w:hint="eastAsia"/>
          <w:sz w:val="30"/>
          <w:szCs w:val="30"/>
          <w:highlight w:val="none"/>
        </w:rPr>
        <w:t>表</w:t>
      </w:r>
    </w:p>
    <w:tbl>
      <w:tblPr>
        <w:tblStyle w:val="23"/>
        <w:tblW w:w="4757" w:type="pct"/>
        <w:tblInd w:w="82" w:type="dxa"/>
        <w:tblLayout w:type="autofit"/>
        <w:tblCellMar>
          <w:top w:w="0" w:type="dxa"/>
          <w:left w:w="0" w:type="dxa"/>
          <w:bottom w:w="0" w:type="dxa"/>
          <w:right w:w="0" w:type="dxa"/>
        </w:tblCellMar>
      </w:tblPr>
      <w:tblGrid>
        <w:gridCol w:w="1048"/>
        <w:gridCol w:w="2716"/>
        <w:gridCol w:w="3076"/>
        <w:gridCol w:w="2250"/>
      </w:tblGrid>
      <w:tr>
        <w:tblPrEx>
          <w:tblCellMar>
            <w:top w:w="0" w:type="dxa"/>
            <w:left w:w="0" w:type="dxa"/>
            <w:bottom w:w="0" w:type="dxa"/>
            <w:right w:w="0" w:type="dxa"/>
          </w:tblCellMar>
        </w:tblPrEx>
        <w:trPr>
          <w:trHeight w:val="600" w:hRule="atLeast"/>
        </w:trPr>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49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16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2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tblPrEx>
          <w:tblCellMar>
            <w:top w:w="0" w:type="dxa"/>
            <w:left w:w="0" w:type="dxa"/>
            <w:bottom w:w="0" w:type="dxa"/>
            <w:right w:w="0" w:type="dxa"/>
          </w:tblCellMar>
        </w:tblPrEx>
        <w:trPr>
          <w:trHeight w:val="600" w:hRule="atLeast"/>
        </w:trPr>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b/>
                <w:color w:val="000000" w:themeColor="text1"/>
                <w:sz w:val="28"/>
                <w:szCs w:val="28"/>
                <w:lang w:val="en-US" w:eastAsia="zh-CN" w:bidi="ar"/>
                <w14:textFill>
                  <w14:solidFill>
                    <w14:schemeClr w14:val="tx1"/>
                  </w14:solidFill>
                </w14:textFill>
              </w:rPr>
            </w:pPr>
          </w:p>
        </w:tc>
        <w:tc>
          <w:tcPr>
            <w:tcW w:w="149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left="-62" w:leftChars="-30" w:hanging="1"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p>
        </w:tc>
        <w:tc>
          <w:tcPr>
            <w:tcW w:w="1691"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left"/>
              <w:textAlignment w:val="center"/>
              <w:rPr>
                <w:rFonts w:ascii="仿宋" w:hAnsi="仿宋" w:eastAsia="仿宋" w:cs="仿宋"/>
                <w:color w:val="000000" w:themeColor="text1"/>
                <w:sz w:val="24"/>
                <w:szCs w:val="24"/>
                <w14:textFill>
                  <w14:solidFill>
                    <w14:schemeClr w14:val="tx1"/>
                  </w14:solidFill>
                </w14:textFill>
              </w:rPr>
            </w:pPr>
          </w:p>
        </w:tc>
        <w:tc>
          <w:tcPr>
            <w:tcW w:w="123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pPr>
        <w:jc w:val="both"/>
        <w:rPr>
          <w:rFonts w:hint="eastAsia" w:ascii="仿宋" w:hAnsi="仿宋" w:eastAsia="仿宋" w:cs="仿宋"/>
          <w:b/>
          <w:bCs/>
          <w:sz w:val="28"/>
          <w:szCs w:val="28"/>
        </w:rPr>
      </w:pPr>
    </w:p>
    <w:p>
      <w:pPr>
        <w:jc w:val="center"/>
        <w:rPr>
          <w:rFonts w:hint="eastAsia" w:ascii="仿宋" w:hAnsi="仿宋" w:eastAsia="仿宋" w:cs="仿宋"/>
          <w:b/>
          <w:bCs/>
          <w:sz w:val="28"/>
          <w:szCs w:val="28"/>
          <w:highlight w:val="none"/>
        </w:rPr>
      </w:pPr>
    </w:p>
    <w:p>
      <w:pPr>
        <w:jc w:val="center"/>
        <w:rPr>
          <w:rFonts w:hint="eastAsia" w:ascii="仿宋" w:hAnsi="仿宋" w:eastAsia="仿宋" w:cs="仿宋"/>
          <w:b/>
          <w:bCs/>
          <w:sz w:val="28"/>
          <w:szCs w:val="28"/>
          <w:highlight w:val="none"/>
        </w:rPr>
      </w:pPr>
    </w:p>
    <w:p>
      <w:pPr>
        <w:jc w:val="center"/>
        <w:rPr>
          <w:rFonts w:hint="eastAsia" w:ascii="仿宋" w:hAnsi="仿宋" w:eastAsia="仿宋" w:cs="仿宋"/>
          <w:b/>
          <w:bCs/>
          <w:sz w:val="28"/>
          <w:szCs w:val="28"/>
          <w:highlight w:val="none"/>
        </w:rPr>
      </w:pPr>
    </w:p>
    <w:p>
      <w:pPr>
        <w:jc w:val="center"/>
        <w:rPr>
          <w:rFonts w:hint="eastAsia" w:ascii="仿宋" w:hAnsi="仿宋" w:eastAsia="仿宋" w:cs="仿宋"/>
          <w:b/>
          <w:bCs/>
          <w:sz w:val="28"/>
          <w:szCs w:val="28"/>
          <w:highlight w:val="none"/>
        </w:rPr>
      </w:pPr>
    </w:p>
    <w:p>
      <w:pPr>
        <w:jc w:val="center"/>
        <w:rPr>
          <w:rFonts w:hint="eastAsia" w:ascii="仿宋" w:hAnsi="仿宋" w:eastAsia="仿宋" w:cs="仿宋"/>
          <w:b/>
          <w:bCs/>
          <w:sz w:val="28"/>
          <w:szCs w:val="28"/>
          <w:highlight w:val="none"/>
        </w:rPr>
      </w:pPr>
    </w:p>
    <w:p>
      <w:pPr>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非甲限、乙购主要材料（设备）品牌表</w:t>
      </w:r>
    </w:p>
    <w:tbl>
      <w:tblPr>
        <w:tblStyle w:val="103"/>
        <w:tblpPr w:leftFromText="180" w:rightFromText="180" w:vertAnchor="text" w:horzAnchor="page" w:tblpXSpec="center" w:tblpY="335"/>
        <w:tblOverlap w:val="never"/>
        <w:tblW w:w="93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2901"/>
        <w:gridCol w:w="1695"/>
        <w:gridCol w:w="1305"/>
        <w:gridCol w:w="1380"/>
        <w:gridCol w:w="1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jc w:val="center"/>
        </w:trPr>
        <w:tc>
          <w:tcPr>
            <w:tcW w:w="826" w:type="dxa"/>
            <w:vAlign w:val="center"/>
          </w:tcPr>
          <w:p>
            <w:pPr>
              <w:pStyle w:val="104"/>
              <w:spacing w:before="182" w:line="240" w:lineRule="auto"/>
              <w:jc w:val="center"/>
              <w:rPr>
                <w:rFonts w:hint="eastAsia" w:ascii="仿宋" w:hAnsi="仿宋" w:eastAsia="仿宋" w:cs="仿宋"/>
                <w:sz w:val="28"/>
                <w:szCs w:val="28"/>
              </w:rPr>
            </w:pPr>
            <w:r>
              <w:rPr>
                <w:rFonts w:hint="eastAsia" w:ascii="仿宋" w:hAnsi="仿宋" w:eastAsia="仿宋" w:cs="仿宋"/>
                <w:spacing w:val="6"/>
                <w:sz w:val="28"/>
                <w:szCs w:val="28"/>
                <w14:textOutline w14:w="3797" w14:cap="sq" w14:cmpd="sng" w14:algn="ctr">
                  <w14:solidFill>
                    <w14:srgbClr w14:val="000000"/>
                  </w14:solidFill>
                  <w14:prstDash w14:val="solid"/>
                  <w14:bevel/>
                </w14:textOutline>
              </w:rPr>
              <w:t>序号</w:t>
            </w:r>
          </w:p>
        </w:tc>
        <w:tc>
          <w:tcPr>
            <w:tcW w:w="2901" w:type="dxa"/>
            <w:vAlign w:val="center"/>
          </w:tcPr>
          <w:p>
            <w:pPr>
              <w:pStyle w:val="104"/>
              <w:spacing w:before="182" w:line="240" w:lineRule="auto"/>
              <w:jc w:val="center"/>
              <w:rPr>
                <w:rFonts w:hint="eastAsia" w:ascii="仿宋" w:hAnsi="仿宋" w:eastAsia="仿宋" w:cs="仿宋"/>
                <w:sz w:val="28"/>
                <w:szCs w:val="28"/>
              </w:rPr>
            </w:pPr>
            <w:r>
              <w:rPr>
                <w:rFonts w:hint="eastAsia" w:ascii="仿宋" w:hAnsi="仿宋" w:eastAsia="仿宋" w:cs="仿宋"/>
                <w:spacing w:val="9"/>
                <w:sz w:val="28"/>
                <w:szCs w:val="28"/>
                <w14:textOutline w14:w="3797" w14:cap="sq" w14:cmpd="sng" w14:algn="ctr">
                  <w14:solidFill>
                    <w14:srgbClr w14:val="000000"/>
                  </w14:solidFill>
                  <w14:prstDash w14:val="solid"/>
                  <w14:bevel/>
                </w14:textOutline>
              </w:rPr>
              <w:t>材料（设备）名称</w:t>
            </w:r>
          </w:p>
        </w:tc>
        <w:tc>
          <w:tcPr>
            <w:tcW w:w="1695"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3"/>
                <w:sz w:val="28"/>
                <w:szCs w:val="28"/>
                <w14:textOutline w14:w="3797" w14:cap="sq" w14:cmpd="sng" w14:algn="ctr">
                  <w14:solidFill>
                    <w14:srgbClr w14:val="000000"/>
                  </w14:solidFill>
                  <w14:prstDash w14:val="solid"/>
                  <w14:bevel/>
                </w14:textOutline>
              </w:rPr>
              <w:t>品牌</w:t>
            </w:r>
          </w:p>
        </w:tc>
        <w:tc>
          <w:tcPr>
            <w:tcW w:w="1305"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6"/>
                <w:sz w:val="28"/>
                <w:szCs w:val="28"/>
                <w14:textOutline w14:w="3797" w14:cap="sq" w14:cmpd="sng" w14:algn="ctr">
                  <w14:solidFill>
                    <w14:srgbClr w14:val="000000"/>
                  </w14:solidFill>
                  <w14:prstDash w14:val="solid"/>
                  <w14:bevel/>
                </w14:textOutline>
              </w:rPr>
              <w:t>产地</w:t>
            </w:r>
          </w:p>
        </w:tc>
        <w:tc>
          <w:tcPr>
            <w:tcW w:w="1380"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5"/>
                <w:sz w:val="28"/>
                <w:szCs w:val="28"/>
                <w14:textOutline w14:w="3797" w14:cap="sq" w14:cmpd="sng" w14:algn="ctr">
                  <w14:solidFill>
                    <w14:srgbClr w14:val="000000"/>
                  </w14:solidFill>
                  <w14:prstDash w14:val="solid"/>
                  <w14:bevel/>
                </w14:textOutline>
              </w:rPr>
              <w:t>等级</w:t>
            </w:r>
          </w:p>
        </w:tc>
        <w:tc>
          <w:tcPr>
            <w:tcW w:w="1290" w:type="dxa"/>
            <w:vAlign w:val="center"/>
          </w:tcPr>
          <w:p>
            <w:pPr>
              <w:pStyle w:val="104"/>
              <w:spacing w:before="183" w:line="240" w:lineRule="auto"/>
              <w:jc w:val="center"/>
              <w:rPr>
                <w:rFonts w:hint="default" w:ascii="仿宋" w:hAnsi="仿宋" w:eastAsia="仿宋" w:cs="仿宋"/>
                <w:spacing w:val="5"/>
                <w:sz w:val="28"/>
                <w:szCs w:val="28"/>
                <w:lang w:val="en-US" w:eastAsia="zh-CN"/>
                <w14:textOutline w14:w="3797" w14:cap="sq" w14:cmpd="sng" w14:algn="ctr">
                  <w14:solidFill>
                    <w14:srgbClr w14:val="000000"/>
                  </w14:solidFill>
                  <w14:prstDash w14:val="solid"/>
                  <w14:bevel/>
                </w14:textOutline>
              </w:rPr>
            </w:pPr>
            <w:r>
              <w:rPr>
                <w:rFonts w:hint="eastAsia" w:ascii="仿宋" w:hAnsi="仿宋" w:eastAsia="仿宋" w:cs="仿宋"/>
                <w:spacing w:val="5"/>
                <w:sz w:val="28"/>
                <w:szCs w:val="28"/>
                <w:lang w:val="en-US" w:eastAsia="zh-CN"/>
                <w14:textOutline w14:w="3797" w14:cap="sq" w14:cmpd="sng" w14:algn="ctr">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6"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2901"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1695" w:type="dxa"/>
            <w:vAlign w:val="center"/>
          </w:tcPr>
          <w:p>
            <w:pPr>
              <w:pStyle w:val="104"/>
              <w:tabs>
                <w:tab w:val="left" w:pos="1050"/>
              </w:tabs>
              <w:spacing w:before="38" w:line="240" w:lineRule="auto"/>
              <w:ind w:right="104" w:rightChars="0"/>
              <w:jc w:val="center"/>
              <w:rPr>
                <w:rFonts w:hint="eastAsia" w:ascii="仿宋" w:hAnsi="仿宋" w:eastAsia="仿宋" w:cs="仿宋"/>
                <w:kern w:val="2"/>
                <w:sz w:val="24"/>
                <w:szCs w:val="24"/>
                <w:lang w:val="en-US" w:eastAsia="zh-CN" w:bidi="ar-SA"/>
              </w:rPr>
            </w:pPr>
          </w:p>
        </w:tc>
        <w:tc>
          <w:tcPr>
            <w:tcW w:w="1305"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c>
          <w:tcPr>
            <w:tcW w:w="1380" w:type="dxa"/>
            <w:vAlign w:val="center"/>
          </w:tcPr>
          <w:p>
            <w:pPr>
              <w:spacing w:before="194" w:line="240" w:lineRule="auto"/>
              <w:jc w:val="center"/>
              <w:rPr>
                <w:rFonts w:hint="eastAsia" w:ascii="仿宋" w:hAnsi="仿宋" w:eastAsia="仿宋" w:cs="仿宋"/>
                <w:kern w:val="2"/>
                <w:sz w:val="24"/>
                <w:szCs w:val="24"/>
                <w:lang w:val="en-US" w:eastAsia="zh-CN" w:bidi="ar-SA"/>
              </w:rPr>
            </w:pPr>
          </w:p>
        </w:tc>
        <w:tc>
          <w:tcPr>
            <w:tcW w:w="1290"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r>
    </w:tbl>
    <w:p>
      <w:pPr>
        <w:pStyle w:val="9"/>
      </w:pPr>
    </w:p>
    <w:p>
      <w:pPr>
        <w:adjustRightInd w:val="0"/>
        <w:snapToGrid w:val="0"/>
        <w:spacing w:line="300" w:lineRule="auto"/>
        <w:jc w:val="left"/>
        <w:rPr>
          <w:rFonts w:ascii="仿宋" w:hAnsi="仿宋" w:eastAsia="仿宋" w:cs="仿宋"/>
          <w:sz w:val="24"/>
        </w:rPr>
      </w:pPr>
    </w:p>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p>
    <w:p>
      <w:pPr>
        <w:jc w:val="left"/>
        <w:rPr>
          <w:rFonts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adjustRightInd w:val="0"/>
        <w:snapToGrid w:val="0"/>
        <w:spacing w:line="360" w:lineRule="auto"/>
        <w:jc w:val="left"/>
        <w:outlineLvl w:val="0"/>
        <w:rPr>
          <w:rFonts w:ascii="仿宋" w:hAnsi="仿宋" w:eastAsia="仿宋" w:cs="仿宋"/>
          <w:sz w:val="32"/>
          <w:szCs w:val="32"/>
        </w:rPr>
      </w:pPr>
      <w:bookmarkStart w:id="140" w:name="_Toc20537"/>
      <w:r>
        <w:rPr>
          <w:rFonts w:hint="eastAsia" w:ascii="仿宋" w:hAnsi="仿宋" w:eastAsia="仿宋" w:cs="仿宋"/>
          <w:sz w:val="24"/>
        </w:rPr>
        <w:t>附件4：</w:t>
      </w:r>
      <w:bookmarkEnd w:id="140"/>
      <w:r>
        <w:rPr>
          <w:rFonts w:hint="eastAsia" w:ascii="仿宋" w:hAnsi="仿宋" w:eastAsia="仿宋" w:cs="仿宋"/>
          <w:sz w:val="32"/>
          <w:szCs w:val="32"/>
        </w:rPr>
        <w:t xml:space="preserve">   </w:t>
      </w:r>
    </w:p>
    <w:p>
      <w:pPr>
        <w:adjustRightInd w:val="0"/>
        <w:snapToGrid w:val="0"/>
        <w:spacing w:line="360" w:lineRule="auto"/>
        <w:jc w:val="center"/>
        <w:rPr>
          <w:rFonts w:ascii="仿宋" w:hAnsi="仿宋" w:eastAsia="仿宋" w:cs="仿宋"/>
          <w:sz w:val="32"/>
          <w:szCs w:val="32"/>
        </w:rPr>
      </w:pPr>
      <w:r>
        <w:rPr>
          <w:rFonts w:hint="eastAsia" w:ascii="仿宋" w:hAnsi="仿宋" w:eastAsia="仿宋" w:cs="仿宋"/>
          <w:b/>
          <w:bCs/>
          <w:sz w:val="28"/>
          <w:szCs w:val="28"/>
        </w:rPr>
        <w:t>施工现场管理协议</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发包人：</w:t>
      </w:r>
      <w:r>
        <w:rPr>
          <w:rFonts w:hint="eastAsia" w:ascii="仿宋" w:hAnsi="仿宋" w:eastAsia="仿宋" w:cs="仿宋"/>
          <w:sz w:val="24"/>
          <w:u w:val="single"/>
          <w:lang w:eastAsia="zh-CN"/>
        </w:rPr>
        <w:t xml:space="preserve"> 中国重汽集团</w:t>
      </w:r>
      <w:r>
        <w:rPr>
          <w:rFonts w:hint="eastAsia" w:ascii="仿宋" w:hAnsi="仿宋" w:eastAsia="仿宋" w:cs="仿宋"/>
          <w:sz w:val="24"/>
          <w:u w:val="single"/>
          <w:lang w:val="en-US" w:eastAsia="zh-CN"/>
        </w:rPr>
        <w:t>济南汽车部件</w:t>
      </w:r>
      <w:r>
        <w:rPr>
          <w:rFonts w:hint="eastAsia" w:ascii="仿宋" w:hAnsi="仿宋" w:eastAsia="仿宋" w:cs="仿宋"/>
          <w:sz w:val="24"/>
          <w:u w:val="single"/>
          <w:lang w:eastAsia="zh-CN"/>
        </w:rPr>
        <w:t>有限公司</w:t>
      </w:r>
      <w:r>
        <w:rPr>
          <w:rFonts w:hint="eastAsia" w:ascii="仿宋" w:hAnsi="仿宋" w:eastAsia="仿宋" w:cs="仿宋"/>
          <w:sz w:val="24"/>
        </w:rPr>
        <w:t xml:space="preserve">               </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承包人：</w:t>
      </w:r>
      <w:r>
        <w:rPr>
          <w:rFonts w:hint="eastAsia" w:ascii="仿宋" w:hAnsi="仿宋" w:eastAsia="仿宋" w:cs="仿宋"/>
          <w:sz w:val="24"/>
          <w:u w:val="single"/>
        </w:rPr>
        <w:t xml:space="preserve"> </w:t>
      </w:r>
      <w:r>
        <w:rPr>
          <w:rFonts w:hint="eastAsia" w:ascii="仿宋" w:hAnsi="仿宋" w:eastAsia="仿宋" w:cs="仿宋"/>
          <w:sz w:val="24"/>
          <w:u w:val="single"/>
          <w:lang w:eastAsia="zh-CN"/>
        </w:rPr>
        <w:t>本次中标单位</w:t>
      </w:r>
      <w:r>
        <w:rPr>
          <w:rFonts w:hint="eastAsia" w:ascii="仿宋" w:hAnsi="仿宋" w:eastAsia="仿宋" w:cs="仿宋"/>
          <w:sz w:val="24"/>
        </w:rPr>
        <w:t xml:space="preserve">                      </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一、管理要求</w:t>
      </w:r>
    </w:p>
    <w:p>
      <w:pPr>
        <w:widowControl/>
        <w:spacing w:line="360" w:lineRule="auto"/>
        <w:ind w:firstLine="480" w:firstLineChars="20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rPr>
      </w:pPr>
      <w:r>
        <w:rPr>
          <w:rFonts w:ascii="仿宋" w:hAnsi="仿宋" w:eastAsia="仿宋" w:cs="仿宋"/>
          <w:sz w:val="24"/>
        </w:rPr>
        <w:t>7</w:t>
      </w:r>
      <w:r>
        <w:rPr>
          <w:rFonts w:hint="eastAsia" w:ascii="仿宋" w:hAnsi="仿宋" w:eastAsia="仿宋" w:cs="仿宋"/>
          <w:sz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rPr>
      </w:pPr>
      <w:r>
        <w:rPr>
          <w:rFonts w:ascii="仿宋" w:hAnsi="仿宋" w:eastAsia="仿宋" w:cs="仿宋"/>
          <w:sz w:val="24"/>
        </w:rPr>
        <w:t>8</w:t>
      </w:r>
      <w:r>
        <w:rPr>
          <w:rFonts w:hint="eastAsia" w:ascii="仿宋" w:hAnsi="仿宋" w:eastAsia="仿宋" w:cs="仿宋"/>
          <w:sz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rPr>
      </w:pPr>
      <w:r>
        <w:rPr>
          <w:rFonts w:ascii="仿宋" w:hAnsi="仿宋" w:eastAsia="仿宋" w:cs="仿宋"/>
          <w:sz w:val="24"/>
        </w:rPr>
        <w:t>9</w:t>
      </w:r>
      <w:r>
        <w:rPr>
          <w:rFonts w:hint="eastAsia" w:ascii="仿宋" w:hAnsi="仿宋" w:eastAsia="仿宋" w:cs="仿宋"/>
          <w:sz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rPr>
      </w:pPr>
      <w:r>
        <w:rPr>
          <w:rFonts w:ascii="仿宋" w:hAnsi="仿宋" w:eastAsia="仿宋" w:cs="仿宋"/>
          <w:sz w:val="24"/>
        </w:rPr>
        <w:t>12</w:t>
      </w:r>
      <w:r>
        <w:rPr>
          <w:rFonts w:hint="eastAsia" w:ascii="仿宋" w:hAnsi="仿宋" w:eastAsia="仿宋" w:cs="仿宋"/>
          <w:sz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rPr>
      </w:pPr>
      <w:r>
        <w:rPr>
          <w:rFonts w:ascii="仿宋" w:hAnsi="仿宋" w:eastAsia="仿宋" w:cs="仿宋"/>
          <w:sz w:val="24"/>
        </w:rPr>
        <w:t>13</w:t>
      </w:r>
      <w:r>
        <w:rPr>
          <w:rFonts w:hint="eastAsia" w:ascii="仿宋" w:hAnsi="仿宋" w:eastAsia="仿宋" w:cs="仿宋"/>
          <w:sz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二、责任考核</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对于违反上述施工现场管理标准的，发包人将视情节严重情况，依据双方承包合同和《基建项目考核管理办法》，给予承包人</w:t>
      </w:r>
      <w:r>
        <w:rPr>
          <w:rFonts w:ascii="仿宋" w:hAnsi="仿宋" w:eastAsia="仿宋" w:cs="仿宋"/>
          <w:sz w:val="24"/>
        </w:rPr>
        <w:t>1000</w:t>
      </w:r>
      <w:r>
        <w:rPr>
          <w:rFonts w:hint="eastAsia" w:ascii="仿宋" w:hAnsi="仿宋" w:eastAsia="仿宋" w:cs="仿宋"/>
          <w:sz w:val="24"/>
        </w:rPr>
        <w:t>-</w:t>
      </w:r>
      <w:r>
        <w:rPr>
          <w:rFonts w:ascii="仿宋" w:hAnsi="仿宋" w:eastAsia="仿宋" w:cs="仿宋"/>
          <w:sz w:val="24"/>
        </w:rPr>
        <w:t>20000</w:t>
      </w:r>
      <w:r>
        <w:rPr>
          <w:rFonts w:hint="eastAsia" w:ascii="仿宋" w:hAnsi="仿宋" w:eastAsia="仿宋" w:cs="仿宋"/>
          <w:sz w:val="24"/>
        </w:rPr>
        <w:t>元/项考核。</w:t>
      </w:r>
    </w:p>
    <w:p>
      <w:pPr>
        <w:widowControl/>
        <w:spacing w:line="360" w:lineRule="auto"/>
        <w:ind w:firstLine="480" w:firstLineChars="200"/>
        <w:rPr>
          <w:rFonts w:ascii="仿宋" w:hAnsi="仿宋" w:eastAsia="仿宋" w:cs="仿宋"/>
          <w:sz w:val="24"/>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甲方（盖章）：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乙方（盖章）：</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授权</w:t>
      </w:r>
      <w:r>
        <w:rPr>
          <w:rFonts w:hint="eastAsia" w:ascii="仿宋" w:hAnsi="仿宋" w:eastAsia="仿宋" w:cs="仿宋"/>
          <w:b w:val="0"/>
          <w:bCs w:val="0"/>
          <w:sz w:val="24"/>
          <w:szCs w:val="24"/>
        </w:rPr>
        <w:t xml:space="preserve">代表（签字）：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lang w:eastAsia="zh-CN"/>
        </w:rPr>
        <w:t>授权</w:t>
      </w:r>
      <w:r>
        <w:rPr>
          <w:rFonts w:hint="eastAsia" w:ascii="仿宋" w:hAnsi="仿宋" w:eastAsia="仿宋" w:cs="仿宋"/>
          <w:b w:val="0"/>
          <w:bCs w:val="0"/>
          <w:sz w:val="24"/>
          <w:szCs w:val="24"/>
        </w:rPr>
        <w:t>代表（签字）：</w:t>
      </w:r>
    </w:p>
    <w:p>
      <w:pPr>
        <w:widowControl/>
        <w:spacing w:line="360" w:lineRule="auto"/>
        <w:ind w:firstLine="480" w:firstLineChars="200"/>
        <w:rPr>
          <w:rFonts w:ascii="仿宋" w:hAnsi="仿宋" w:eastAsia="仿宋" w:cs="仿宋"/>
          <w:sz w:val="24"/>
        </w:rPr>
      </w:pPr>
    </w:p>
    <w:p>
      <w:pPr>
        <w:widowControl/>
        <w:spacing w:line="360" w:lineRule="auto"/>
        <w:ind w:firstLine="480" w:firstLineChars="200"/>
        <w:rPr>
          <w:rFonts w:ascii="仿宋" w:hAnsi="仿宋" w:eastAsia="仿宋" w:cs="仿宋"/>
          <w:sz w:val="24"/>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adjustRightInd w:val="0"/>
        <w:snapToGrid w:val="0"/>
        <w:spacing w:line="360" w:lineRule="auto"/>
        <w:jc w:val="left"/>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adjustRightInd w:val="0"/>
        <w:snapToGrid w:val="0"/>
        <w:spacing w:line="360" w:lineRule="auto"/>
        <w:jc w:val="left"/>
        <w:outlineLvl w:val="0"/>
        <w:rPr>
          <w:rFonts w:ascii="仿宋" w:hAnsi="仿宋" w:eastAsia="仿宋" w:cs="仿宋"/>
          <w:sz w:val="28"/>
          <w:szCs w:val="28"/>
        </w:rPr>
      </w:pPr>
      <w:bookmarkStart w:id="141" w:name="_Toc26112"/>
      <w:r>
        <w:rPr>
          <w:rFonts w:hint="eastAsia" w:ascii="仿宋" w:hAnsi="仿宋" w:eastAsia="仿宋" w:cs="仿宋"/>
          <w:sz w:val="24"/>
        </w:rPr>
        <w:t>附件5</w:t>
      </w:r>
      <w:bookmarkEnd w:id="141"/>
      <w:r>
        <w:rPr>
          <w:rFonts w:hint="eastAsia" w:ascii="仿宋" w:hAnsi="仿宋" w:eastAsia="仿宋" w:cs="仿宋"/>
          <w:sz w:val="24"/>
        </w:rPr>
        <w:t xml:space="preserve"> </w:t>
      </w:r>
      <w:r>
        <w:rPr>
          <w:rFonts w:ascii="仿宋" w:hAnsi="仿宋" w:eastAsia="仿宋" w:cs="仿宋"/>
          <w:sz w:val="28"/>
          <w:szCs w:val="28"/>
        </w:rPr>
        <w:t xml:space="preserve">  </w:t>
      </w:r>
      <w:r>
        <w:rPr>
          <w:rFonts w:hint="eastAsia" w:ascii="仿宋" w:hAnsi="仿宋" w:eastAsia="仿宋" w:cs="仿宋"/>
          <w:sz w:val="28"/>
          <w:szCs w:val="28"/>
        </w:rPr>
        <w:t xml:space="preserve">             </w:t>
      </w:r>
    </w:p>
    <w:p>
      <w:pPr>
        <w:adjustRightInd w:val="0"/>
        <w:snapToGrid w:val="0"/>
        <w:spacing w:line="360" w:lineRule="auto"/>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pPr>
        <w:adjustRightInd w:val="0"/>
        <w:snapToGrid w:val="0"/>
        <w:spacing w:line="360" w:lineRule="auto"/>
        <w:rPr>
          <w:rFonts w:ascii="仿宋" w:hAnsi="仿宋" w:eastAsia="仿宋" w:cs="仿宋"/>
          <w:sz w:val="24"/>
        </w:rPr>
      </w:pPr>
      <w:r>
        <w:rPr>
          <w:rFonts w:hint="eastAsia" w:ascii="仿宋" w:hAnsi="仿宋" w:eastAsia="仿宋" w:cs="仿宋"/>
          <w:sz w:val="24"/>
        </w:rPr>
        <w:t>发包人</w:t>
      </w:r>
      <w:r>
        <w:rPr>
          <w:rFonts w:hint="eastAsia" w:ascii="仿宋" w:hAnsi="仿宋" w:eastAsia="仿宋" w:cs="仿宋"/>
          <w:sz w:val="24"/>
          <w:u w:val="none"/>
          <w:lang w:eastAsia="zh-CN"/>
        </w:rPr>
        <w:t>：</w:t>
      </w:r>
      <w:r>
        <w:rPr>
          <w:rFonts w:hint="eastAsia" w:ascii="仿宋" w:hAnsi="仿宋" w:eastAsia="仿宋" w:cs="仿宋"/>
          <w:sz w:val="24"/>
          <w:u w:val="single"/>
          <w:lang w:eastAsia="zh-CN"/>
        </w:rPr>
        <w:t>中国重汽集团</w:t>
      </w:r>
      <w:r>
        <w:rPr>
          <w:rFonts w:hint="eastAsia" w:ascii="仿宋" w:hAnsi="仿宋" w:eastAsia="仿宋" w:cs="仿宋"/>
          <w:sz w:val="24"/>
          <w:u w:val="single"/>
          <w:lang w:val="en-US" w:eastAsia="zh-CN"/>
        </w:rPr>
        <w:t>济南汽车部件</w:t>
      </w:r>
      <w:r>
        <w:rPr>
          <w:rFonts w:hint="eastAsia" w:ascii="仿宋" w:hAnsi="仿宋" w:eastAsia="仿宋" w:cs="仿宋"/>
          <w:sz w:val="24"/>
          <w:u w:val="single"/>
          <w:lang w:eastAsia="zh-CN"/>
        </w:rPr>
        <w:t>有限公司</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 xml:space="preserve">    </w:t>
      </w:r>
    </w:p>
    <w:p>
      <w:pPr>
        <w:adjustRightInd w:val="0"/>
        <w:snapToGrid w:val="0"/>
        <w:spacing w:line="360" w:lineRule="auto"/>
        <w:rPr>
          <w:rFonts w:ascii="仿宋" w:hAnsi="仿宋" w:eastAsia="仿宋" w:cs="仿宋"/>
          <w:sz w:val="24"/>
        </w:rPr>
      </w:pPr>
      <w:r>
        <w:rPr>
          <w:rFonts w:hint="eastAsia" w:ascii="仿宋" w:hAnsi="仿宋" w:eastAsia="仿宋" w:cs="仿宋"/>
          <w:sz w:val="24"/>
        </w:rPr>
        <w:t>承包人：</w:t>
      </w:r>
      <w:r>
        <w:rPr>
          <w:rFonts w:hint="eastAsia" w:ascii="仿宋" w:hAnsi="仿宋" w:eastAsia="仿宋" w:cs="仿宋"/>
          <w:sz w:val="24"/>
          <w:u w:val="single"/>
          <w:lang w:eastAsia="zh-CN"/>
        </w:rPr>
        <w:t>本次中标单位</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双方同意执行以下考核细则，具体如下：</w:t>
      </w:r>
    </w:p>
    <w:p>
      <w:pPr>
        <w:adjustRightInd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一、施工进度考核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1.2施工计划编制质量差，屡次整改达不到要求的，处以2000-5000元/次考核。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1.3周计划进度、专项计划进度、各控制点进度的子项任务未按计划完成，且无正当理由延期的，每一项拖延一天，处以2000-10000元/天/项考核。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1.4里程碑节点滞后的，按照合同约定的违约条款，处以不低于合同额的万分之三/天且不低于1万元/天考核。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1.6工程进度滞后，现场项目部安排加班抢工，对施工单位不响应抢工要求的，不组织工人机械加班抢工的，处以20000-50000元/天考核。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1.8在周例会或专题会议上，现场项目部要求限期完成的工作任务，施工单位无正当理由未按时完成的，每拖延一天处以5000-20000元/天/项考核。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二、施工安全文明考核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2.1目部或监理单位下达的书面整改文件（包括各类通知单、联系单、会议要求等）未按要求时间整改完毕的，每拖延一天处以5000-20000元/天考核。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2.2对不按时参加现场组织的安全周、月及专项检查的，处以2000-5000元/次考核。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2.5施工单位应每日工完料净，施工垃圾集中清运，道路遗撒污染、施工垃圾及包装物乱堆乱弃等现象，每发现一处，处以2000-10000元考核。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三、施工质量考核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3.1未按要求执行样品样板开路的或擅自更换材料品牌的，处以5000-50000元/次罚金。</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3.2进场材料不合格，进行退场处理并予以警告，重新进场后经检查仍不合格的或材料进场发生两次及以上不合格的，处以5000-20000元/次考核。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3.3未经验收，擅自进入下道工序施工的，处以5000～20000元/次考核。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3.5隐蔽工程未经监理单位检查验收擅自隐蔽的，须打开或拆除后重新检查，并处以5000～20000元/次考核。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3.6同一部位、同一施工质量问题，签发第二份整改通知单的，予以加倍处罚，处以20000～50000元/项考核。</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3.7对于发生较大、重大质量事故的造成严重影响的，除限期整改、返工并承担损失责任外，另处以10万-20万元/项考核。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四、其他事项</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4.1对未按时参加会议、工作执行不力、工作质量不达要求的，视情节严重程度，对责任单位处以1000-5000元/次考核。</w:t>
      </w:r>
    </w:p>
    <w:p>
      <w:pPr>
        <w:autoSpaceDE w:val="0"/>
        <w:autoSpaceDN w:val="0"/>
        <w:adjustRightInd w:val="0"/>
        <w:spacing w:line="360" w:lineRule="auto"/>
        <w:ind w:firstLine="480" w:firstLineChars="200"/>
        <w:rPr>
          <w:rFonts w:ascii="仿宋" w:hAnsi="仿宋" w:eastAsia="仿宋" w:cs="仿宋"/>
          <w:sz w:val="24"/>
        </w:rPr>
      </w:pPr>
      <w:r>
        <w:rPr>
          <w:rFonts w:hint="eastAsia" w:ascii="仿宋" w:hAnsi="仿宋" w:eastAsia="仿宋" w:cs="仿宋"/>
          <w:sz w:val="24"/>
        </w:rPr>
        <w:t>4.2现场施工的质量、进度、安全等发生的考核，由监理单位（如有）出具，经总监理工程师签字盖章后报送现场项目部负责人签字盖章后即为生效</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4.3监理单位或技改项目部应于每月20日汇总当月累计考核单，并在各单位当月形象进度款中扣除或从合同履约保函（保证金）中扣除。</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4.4对已经发生的考核，若经积极采取措施，最终完成进度节点或整改结果满足合同及项目部要求的，可视情况予以减免、取消。</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4.5若经采取考核措施后责任单位仍然消极应对、效果不明显，发包人项目部将采取约谈企业负责人、书面发函等措施，情节严重的将列入发包人供方黑名单。</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4.6各单位按本规定受处罚后并不免除按法律法规和合同应承担的有关责任。</w:t>
      </w:r>
    </w:p>
    <w:p>
      <w:pPr>
        <w:autoSpaceDE w:val="0"/>
        <w:autoSpaceDN w:val="0"/>
        <w:adjustRightInd w:val="0"/>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甲方（盖章）：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乙方（盖章）：</w:t>
      </w: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p>
    <w:p>
      <w:pPr>
        <w:pStyle w:val="52"/>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授权</w:t>
      </w:r>
      <w:r>
        <w:rPr>
          <w:rFonts w:hint="eastAsia" w:ascii="仿宋" w:hAnsi="仿宋" w:eastAsia="仿宋" w:cs="仿宋"/>
          <w:b w:val="0"/>
          <w:bCs w:val="0"/>
          <w:sz w:val="24"/>
          <w:szCs w:val="24"/>
        </w:rPr>
        <w:t xml:space="preserve">代表（签字）：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lang w:eastAsia="zh-CN"/>
        </w:rPr>
        <w:t>授权</w:t>
      </w:r>
      <w:r>
        <w:rPr>
          <w:rFonts w:hint="eastAsia" w:ascii="仿宋" w:hAnsi="仿宋" w:eastAsia="仿宋" w:cs="仿宋"/>
          <w:b w:val="0"/>
          <w:bCs w:val="0"/>
          <w:sz w:val="24"/>
          <w:szCs w:val="24"/>
        </w:rPr>
        <w:t>代表（签字）：</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pStyle w:val="9"/>
        <w:spacing w:line="360" w:lineRule="auto"/>
        <w:rPr>
          <w:rFonts w:ascii="仿宋" w:hAnsi="仿宋" w:eastAsia="仿宋" w:cs="仿宋"/>
          <w:sz w:val="32"/>
          <w:szCs w:val="32"/>
        </w:rPr>
      </w:pPr>
    </w:p>
    <w:p>
      <w:pPr>
        <w:pStyle w:val="9"/>
        <w:spacing w:line="360" w:lineRule="auto"/>
        <w:rPr>
          <w:rFonts w:ascii="仿宋" w:hAnsi="仿宋" w:eastAsia="仿宋" w:cs="仿宋"/>
          <w:sz w:val="32"/>
          <w:szCs w:val="32"/>
        </w:rPr>
      </w:pPr>
    </w:p>
    <w:p>
      <w:pPr>
        <w:spacing w:line="360" w:lineRule="auto"/>
        <w:rPr>
          <w:rFonts w:ascii="仿宋" w:hAnsi="仿宋" w:eastAsia="仿宋" w:cs="仿宋"/>
          <w:sz w:val="32"/>
          <w:szCs w:val="32"/>
        </w:rPr>
      </w:pPr>
      <w:r>
        <w:rPr>
          <w:rFonts w:ascii="仿宋" w:hAnsi="仿宋" w:eastAsia="仿宋" w:cs="仿宋"/>
          <w:sz w:val="32"/>
          <w:szCs w:val="32"/>
        </w:rPr>
        <w:br w:type="page"/>
      </w:r>
    </w:p>
    <w:p>
      <w:pPr>
        <w:spacing w:line="360" w:lineRule="auto"/>
        <w:outlineLvl w:val="0"/>
        <w:rPr>
          <w:rFonts w:ascii="仿宋" w:hAnsi="仿宋" w:eastAsia="仿宋" w:cs="仿宋"/>
          <w:sz w:val="24"/>
        </w:rPr>
      </w:pPr>
      <w:bookmarkStart w:id="142" w:name="_Toc2265"/>
      <w:r>
        <w:rPr>
          <w:rFonts w:hint="eastAsia" w:ascii="仿宋" w:hAnsi="仿宋" w:eastAsia="仿宋" w:cs="仿宋"/>
          <w:sz w:val="24"/>
        </w:rPr>
        <w:t>附件6：</w:t>
      </w:r>
      <w:bookmarkEnd w:id="142"/>
    </w:p>
    <w:p>
      <w:pPr>
        <w:spacing w:before="118"/>
        <w:ind w:left="0"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eastAsia="zh-CN"/>
        </w:rPr>
        <w:t xml:space="preserve">              </w:t>
      </w:r>
      <w:r>
        <w:rPr>
          <w:rFonts w:hint="eastAsia" w:ascii="仿宋" w:hAnsi="仿宋" w:eastAsia="仿宋" w:cs="仿宋"/>
          <w:b/>
          <w:bCs/>
          <w:sz w:val="28"/>
          <w:szCs w:val="28"/>
          <w:lang w:val="zh-CN"/>
        </w:rPr>
        <w:t>廉洁诚信协议</w:t>
      </w:r>
    </w:p>
    <w:p>
      <w:pPr>
        <w:pStyle w:val="9"/>
        <w:spacing w:before="8"/>
        <w:ind w:left="0" w:firstLine="0"/>
        <w:rPr>
          <w:rFonts w:ascii="楷体" w:hAnsi="楷体" w:eastAsia="楷体" w:cs="楷体"/>
          <w:sz w:val="44"/>
          <w:szCs w:val="28"/>
        </w:rPr>
      </w:pPr>
    </w:p>
    <w:p>
      <w:pPr>
        <w:spacing w:line="360" w:lineRule="auto"/>
        <w:ind w:left="117" w:right="3769"/>
        <w:rPr>
          <w:rFonts w:hint="default" w:ascii="仿宋" w:hAnsi="仿宋" w:eastAsia="仿宋" w:cs="仿宋"/>
          <w:b/>
          <w:sz w:val="24"/>
          <w:szCs w:val="24"/>
          <w:lang w:val="en-US" w:eastAsia="zh-CN"/>
        </w:rPr>
      </w:pPr>
      <w:r>
        <w:rPr>
          <w:rFonts w:hint="eastAsia" w:ascii="仿宋" w:hAnsi="仿宋" w:eastAsia="仿宋" w:cs="仿宋"/>
          <w:b/>
          <w:sz w:val="24"/>
          <w:szCs w:val="24"/>
        </w:rPr>
        <w:t>甲方：</w:t>
      </w:r>
      <w:r>
        <w:rPr>
          <w:rFonts w:hint="eastAsia" w:ascii="仿宋" w:hAnsi="仿宋" w:eastAsia="仿宋" w:cs="仿宋"/>
          <w:sz w:val="24"/>
          <w:u w:val="single"/>
          <w:lang w:eastAsia="zh-CN"/>
        </w:rPr>
        <w:t>中国重汽集团</w:t>
      </w:r>
      <w:r>
        <w:rPr>
          <w:rFonts w:hint="eastAsia" w:ascii="仿宋" w:hAnsi="仿宋" w:eastAsia="仿宋" w:cs="仿宋"/>
          <w:sz w:val="24"/>
          <w:u w:val="single"/>
          <w:lang w:val="en-US" w:eastAsia="zh-CN"/>
        </w:rPr>
        <w:t>济南汽车部件</w:t>
      </w:r>
      <w:r>
        <w:rPr>
          <w:rFonts w:hint="eastAsia" w:ascii="仿宋" w:hAnsi="仿宋" w:eastAsia="仿宋" w:cs="仿宋"/>
          <w:sz w:val="24"/>
          <w:u w:val="single"/>
          <w:lang w:eastAsia="zh-CN"/>
        </w:rPr>
        <w:t>有限公司</w:t>
      </w:r>
      <w:r>
        <w:rPr>
          <w:rFonts w:hint="eastAsia" w:ascii="仿宋" w:hAnsi="仿宋" w:eastAsia="仿宋" w:cs="仿宋"/>
          <w:b/>
          <w:sz w:val="24"/>
          <w:szCs w:val="24"/>
          <w:lang w:val="en-US" w:eastAsia="zh-CN"/>
        </w:rPr>
        <w:t xml:space="preserve">        </w:t>
      </w:r>
    </w:p>
    <w:p>
      <w:pPr>
        <w:spacing w:line="360" w:lineRule="auto"/>
        <w:ind w:left="117" w:right="3769"/>
        <w:rPr>
          <w:rFonts w:hint="eastAsia" w:ascii="仿宋" w:hAnsi="仿宋" w:eastAsia="仿宋" w:cs="仿宋"/>
          <w:b/>
          <w:sz w:val="24"/>
          <w:szCs w:val="24"/>
        </w:rPr>
      </w:pPr>
      <w:r>
        <w:rPr>
          <w:rFonts w:hint="eastAsia" w:ascii="仿宋" w:hAnsi="仿宋" w:eastAsia="仿宋" w:cs="仿宋"/>
          <w:b/>
          <w:sz w:val="24"/>
          <w:szCs w:val="24"/>
        </w:rPr>
        <w:t>乙方：</w:t>
      </w:r>
      <w:r>
        <w:rPr>
          <w:rFonts w:hint="eastAsia" w:ascii="仿宋" w:hAnsi="仿宋" w:eastAsia="仿宋" w:cs="仿宋"/>
          <w:sz w:val="24"/>
          <w:u w:val="single"/>
          <w:lang w:eastAsia="zh-CN"/>
        </w:rPr>
        <w:t>本次中标单位</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乙方是甲方或甲方全资、控股、参股企业的供应商</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服务商或采购商、经销商</w:t>
      </w:r>
      <w:r>
        <w:rPr>
          <w:rFonts w:hint="eastAsia" w:ascii="仿宋" w:hAnsi="仿宋" w:eastAsia="仿宋" w:cs="仿宋"/>
          <w:spacing w:val="-2"/>
          <w:sz w:val="24"/>
          <w:szCs w:val="24"/>
        </w:rPr>
        <w:t>，甲方作为采购方</w:t>
      </w:r>
      <w:r>
        <w:rPr>
          <w:rFonts w:hint="eastAsia" w:ascii="仿宋" w:hAnsi="仿宋" w:eastAsia="仿宋" w:cs="仿宋"/>
          <w:spacing w:val="-2"/>
          <w:sz w:val="24"/>
          <w:szCs w:val="24"/>
          <w:lang w:val="en-US" w:eastAsia="zh-CN"/>
        </w:rPr>
        <w:t>或销售方</w:t>
      </w:r>
      <w:r>
        <w:rPr>
          <w:rFonts w:hint="eastAsia" w:ascii="仿宋" w:hAnsi="仿宋" w:eastAsia="仿宋" w:cs="仿宋"/>
          <w:spacing w:val="-2"/>
          <w:sz w:val="24"/>
          <w:szCs w:val="24"/>
        </w:rPr>
        <w:t>（包含甲方及其关联</w:t>
      </w:r>
      <w:r>
        <w:rPr>
          <w:rFonts w:hint="eastAsia" w:ascii="仿宋" w:hAnsi="仿宋" w:eastAsia="仿宋" w:cs="仿宋"/>
          <w:spacing w:val="-2"/>
          <w:sz w:val="24"/>
          <w:szCs w:val="24"/>
          <w:lang w:val="en-US" w:eastAsia="zh-CN"/>
        </w:rPr>
        <w:t>企业</w:t>
      </w:r>
      <w:r>
        <w:rPr>
          <w:rFonts w:hint="eastAsia" w:ascii="仿宋" w:hAnsi="仿宋" w:eastAsia="仿宋" w:cs="仿宋"/>
          <w:spacing w:val="-2"/>
          <w:sz w:val="24"/>
          <w:szCs w:val="24"/>
        </w:rPr>
        <w:t>，以下统称甲方），为保证双方长期稳定合作和健康发展，保证各</w:t>
      </w:r>
      <w:r>
        <w:rPr>
          <w:rFonts w:hint="eastAsia" w:ascii="仿宋" w:hAnsi="仿宋" w:eastAsia="仿宋" w:cs="仿宋"/>
          <w:spacing w:val="-2"/>
          <w:sz w:val="24"/>
          <w:szCs w:val="24"/>
          <w:lang w:val="en-US" w:eastAsia="zh-CN"/>
        </w:rPr>
        <w:t>合作主体</w:t>
      </w:r>
      <w:r>
        <w:rPr>
          <w:rFonts w:hint="eastAsia" w:ascii="仿宋" w:hAnsi="仿宋" w:eastAsia="仿宋" w:cs="仿宋"/>
          <w:spacing w:val="-2"/>
          <w:sz w:val="24"/>
          <w:szCs w:val="24"/>
        </w:rPr>
        <w:t>之间公平、公正、公开的良性竞争，共同抵制商业贿赂等一切不正当行为，营造诚实信用的商业氛围，积极维护双方信誉,共同加强廉洁自律建设，甲乙双方在平等、自愿、协商一致的原则下，签订本协议。</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1.甲乙双方应当共同遵守国家、地方法律法规以及本协议的约定，在合同的订立、履行过程中廉洁自律，绝不弄虚作假、以次充好，虚结虚算。</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2.乙方声明并承诺甲方人员或其</w:t>
      </w:r>
      <w:r>
        <w:rPr>
          <w:rFonts w:hint="eastAsia" w:ascii="仿宋" w:hAnsi="仿宋" w:eastAsia="仿宋" w:cs="仿宋"/>
          <w:spacing w:val="-2"/>
          <w:sz w:val="24"/>
          <w:szCs w:val="24"/>
          <w:lang w:val="en-US" w:eastAsia="zh-CN"/>
        </w:rPr>
        <w:t>配偶、子女及其配偶等</w:t>
      </w:r>
      <w:r>
        <w:rPr>
          <w:rFonts w:hint="eastAsia" w:ascii="仿宋" w:hAnsi="仿宋" w:eastAsia="仿宋" w:cs="仿宋"/>
          <w:spacing w:val="-2"/>
          <w:sz w:val="24"/>
          <w:szCs w:val="24"/>
        </w:rPr>
        <w:t>亲属</w:t>
      </w:r>
      <w:r>
        <w:rPr>
          <w:rFonts w:hint="eastAsia" w:ascii="仿宋" w:hAnsi="仿宋" w:eastAsia="仿宋" w:cs="仿宋"/>
          <w:spacing w:val="-2"/>
          <w:sz w:val="24"/>
          <w:szCs w:val="24"/>
          <w:lang w:val="en-US" w:eastAsia="zh-CN"/>
        </w:rPr>
        <w:t>和其他特定关系人（甲方人员为领导干部的，其他特定关系人包含身边工作人员）</w:t>
      </w:r>
      <w:r>
        <w:rPr>
          <w:rFonts w:hint="eastAsia" w:ascii="仿宋" w:hAnsi="仿宋" w:eastAsia="仿宋" w:cs="仿宋"/>
          <w:spacing w:val="-2"/>
          <w:sz w:val="24"/>
          <w:szCs w:val="24"/>
        </w:rPr>
        <w:t>没有直接或间接投资乙方或持有乙方股权，没有直接或间接投资乙方关联企业或持有乙方关联企业股权。</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3.乙方承诺乙方或乙方关联企业股东、实际出资人或持股人、高管、主要业务人员不得与甲方人员或其</w:t>
      </w:r>
      <w:r>
        <w:rPr>
          <w:rFonts w:hint="eastAsia" w:ascii="仿宋" w:hAnsi="仿宋" w:eastAsia="仿宋" w:cs="仿宋"/>
          <w:spacing w:val="-2"/>
          <w:sz w:val="24"/>
          <w:szCs w:val="24"/>
          <w:lang w:val="en-US" w:eastAsia="zh-CN"/>
        </w:rPr>
        <w:t>配偶、子女及其配偶等</w:t>
      </w:r>
      <w:r>
        <w:rPr>
          <w:rFonts w:hint="eastAsia" w:ascii="仿宋" w:hAnsi="仿宋" w:eastAsia="仿宋" w:cs="仿宋"/>
          <w:spacing w:val="-2"/>
          <w:sz w:val="24"/>
          <w:szCs w:val="24"/>
        </w:rPr>
        <w:t>亲属</w:t>
      </w:r>
      <w:r>
        <w:rPr>
          <w:rFonts w:hint="eastAsia" w:ascii="仿宋" w:hAnsi="仿宋" w:eastAsia="仿宋" w:cs="仿宋"/>
          <w:spacing w:val="-2"/>
          <w:sz w:val="24"/>
          <w:szCs w:val="24"/>
          <w:lang w:val="en-US" w:eastAsia="zh-CN"/>
        </w:rPr>
        <w:t>和其他特定关系人</w:t>
      </w:r>
      <w:r>
        <w:rPr>
          <w:rFonts w:hint="eastAsia" w:ascii="仿宋" w:hAnsi="仿宋" w:eastAsia="仿宋" w:cs="仿宋"/>
          <w:spacing w:val="-2"/>
          <w:sz w:val="24"/>
          <w:szCs w:val="24"/>
        </w:rPr>
        <w:t>共同成立公司，不得聘请甲方人员或其</w:t>
      </w:r>
      <w:r>
        <w:rPr>
          <w:rFonts w:hint="eastAsia" w:ascii="仿宋" w:hAnsi="仿宋" w:eastAsia="仿宋" w:cs="仿宋"/>
          <w:spacing w:val="-2"/>
          <w:sz w:val="24"/>
          <w:szCs w:val="24"/>
          <w:lang w:val="en-US" w:eastAsia="zh-CN"/>
        </w:rPr>
        <w:t>配偶、子女及其配偶等</w:t>
      </w:r>
      <w:r>
        <w:rPr>
          <w:rFonts w:hint="eastAsia" w:ascii="仿宋" w:hAnsi="仿宋" w:eastAsia="仿宋" w:cs="仿宋"/>
          <w:spacing w:val="-2"/>
          <w:sz w:val="24"/>
          <w:szCs w:val="24"/>
        </w:rPr>
        <w:t>亲属</w:t>
      </w:r>
      <w:r>
        <w:rPr>
          <w:rFonts w:hint="eastAsia" w:ascii="仿宋" w:hAnsi="仿宋" w:eastAsia="仿宋" w:cs="仿宋"/>
          <w:spacing w:val="-2"/>
          <w:sz w:val="24"/>
          <w:szCs w:val="24"/>
          <w:lang w:val="en-US" w:eastAsia="zh-CN"/>
        </w:rPr>
        <w:t>和其他特定关系人</w:t>
      </w:r>
      <w:r>
        <w:rPr>
          <w:rFonts w:hint="eastAsia" w:ascii="仿宋" w:hAnsi="仿宋" w:eastAsia="仿宋" w:cs="仿宋"/>
          <w:spacing w:val="-2"/>
          <w:sz w:val="24"/>
          <w:szCs w:val="24"/>
        </w:rPr>
        <w:t>在乙方或乙方关联企业股东或实际出资人或高管或主要业务人员成立的企业中担任高管或为其</w:t>
      </w:r>
      <w:r>
        <w:rPr>
          <w:rFonts w:hint="eastAsia" w:ascii="仿宋" w:hAnsi="仿宋" w:eastAsia="仿宋" w:cs="仿宋"/>
          <w:spacing w:val="-2"/>
          <w:sz w:val="24"/>
          <w:szCs w:val="24"/>
          <w:lang w:val="en-US" w:eastAsia="zh-CN"/>
        </w:rPr>
        <w:t>违规</w:t>
      </w:r>
      <w:r>
        <w:rPr>
          <w:rFonts w:hint="eastAsia" w:ascii="仿宋" w:hAnsi="仿宋" w:eastAsia="仿宋" w:cs="仿宋"/>
          <w:spacing w:val="-2"/>
          <w:sz w:val="24"/>
          <w:szCs w:val="24"/>
        </w:rPr>
        <w:t>发放薪酬。</w:t>
      </w:r>
      <w:r>
        <w:rPr>
          <w:rFonts w:hint="eastAsia" w:ascii="仿宋" w:hAnsi="仿宋" w:eastAsia="仿宋" w:cs="仿宋"/>
          <w:spacing w:val="-2"/>
          <w:sz w:val="24"/>
          <w:szCs w:val="24"/>
          <w:lang w:val="en-US" w:eastAsia="zh-CN"/>
        </w:rPr>
        <w:t>违规发放薪酬包括不实际工作而获取薪酬或者虽实际工作但领取明显超出同职级标准薪酬。</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若乙方为甲方</w:t>
      </w:r>
      <w:r>
        <w:rPr>
          <w:rFonts w:hint="eastAsia" w:ascii="仿宋" w:hAnsi="仿宋" w:eastAsia="仿宋" w:cs="仿宋"/>
          <w:spacing w:val="-2"/>
          <w:sz w:val="24"/>
          <w:szCs w:val="24"/>
        </w:rPr>
        <w:t>新</w:t>
      </w:r>
      <w:r>
        <w:rPr>
          <w:rFonts w:hint="eastAsia" w:ascii="仿宋" w:hAnsi="仿宋" w:eastAsia="仿宋" w:cs="仿宋"/>
          <w:spacing w:val="-2"/>
          <w:sz w:val="24"/>
          <w:szCs w:val="24"/>
          <w:lang w:val="en-US" w:eastAsia="zh-CN"/>
        </w:rPr>
        <w:t>合作伙伴</w:t>
      </w:r>
      <w:r>
        <w:rPr>
          <w:rFonts w:hint="eastAsia" w:ascii="仿宋" w:hAnsi="仿宋" w:eastAsia="仿宋" w:cs="仿宋"/>
          <w:spacing w:val="-2"/>
          <w:sz w:val="24"/>
          <w:szCs w:val="24"/>
        </w:rPr>
        <w:t>，如在本协议签订前乙方存在本条规定情形的，需在本协议签订后30日内，将相关情况报</w:t>
      </w:r>
      <w:r>
        <w:rPr>
          <w:rFonts w:hint="eastAsia" w:ascii="仿宋" w:hAnsi="仿宋" w:eastAsia="仿宋" w:cs="仿宋"/>
          <w:spacing w:val="-2"/>
          <w:sz w:val="24"/>
          <w:szCs w:val="24"/>
          <w:lang w:val="en-US" w:eastAsia="zh-CN"/>
        </w:rPr>
        <w:t>甲方所属</w:t>
      </w:r>
      <w:r>
        <w:rPr>
          <w:rFonts w:hint="eastAsia" w:ascii="仿宋" w:hAnsi="仿宋" w:eastAsia="仿宋" w:cs="仿宋"/>
          <w:spacing w:val="-2"/>
          <w:sz w:val="24"/>
          <w:szCs w:val="24"/>
        </w:rPr>
        <w:t>重汽集团纪委</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监察部</w:t>
      </w:r>
      <w:r>
        <w:rPr>
          <w:rFonts w:hint="eastAsia" w:ascii="仿宋" w:hAnsi="仿宋" w:eastAsia="仿宋" w:cs="仿宋"/>
          <w:spacing w:val="-2"/>
          <w:sz w:val="24"/>
          <w:szCs w:val="24"/>
          <w:lang w:val="en-US" w:eastAsia="zh-CN"/>
        </w:rPr>
        <w:t>门</w:t>
      </w:r>
      <w:r>
        <w:rPr>
          <w:rFonts w:hint="eastAsia" w:ascii="仿宋" w:hAnsi="仿宋" w:eastAsia="仿宋" w:cs="仿宋"/>
          <w:spacing w:val="-2"/>
          <w:sz w:val="24"/>
          <w:szCs w:val="24"/>
        </w:rPr>
        <w:t>备案）。</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4.乙方承诺依法开展经营活动，不得有任何形式的商业贿赂行为。乙方一经发现其员工或其</w:t>
      </w:r>
      <w:r>
        <w:rPr>
          <w:rFonts w:hint="eastAsia" w:ascii="仿宋" w:hAnsi="仿宋" w:eastAsia="仿宋" w:cs="仿宋"/>
          <w:spacing w:val="-2"/>
          <w:sz w:val="24"/>
          <w:szCs w:val="24"/>
          <w:lang w:eastAsia="zh-CN"/>
        </w:rPr>
        <w:t>配偶、子女及其配偶等亲属和其他特定关系人</w:t>
      </w:r>
      <w:r>
        <w:rPr>
          <w:rFonts w:hint="eastAsia" w:ascii="仿宋" w:hAnsi="仿宋" w:eastAsia="仿宋" w:cs="仿宋"/>
          <w:spacing w:val="-2"/>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pacing w:val="-2"/>
          <w:sz w:val="24"/>
          <w:szCs w:val="24"/>
          <w:lang w:val="en-US" w:eastAsia="zh-CN"/>
        </w:rPr>
        <w:t>已</w:t>
      </w:r>
      <w:r>
        <w:rPr>
          <w:rFonts w:hint="eastAsia" w:ascii="仿宋" w:hAnsi="仿宋" w:eastAsia="仿宋" w:cs="仿宋"/>
          <w:spacing w:val="-2"/>
          <w:sz w:val="24"/>
          <w:szCs w:val="24"/>
        </w:rPr>
        <w:t>签订的</w:t>
      </w:r>
      <w:r>
        <w:rPr>
          <w:rFonts w:hint="eastAsia" w:ascii="仿宋" w:hAnsi="仿宋" w:eastAsia="仿宋" w:cs="仿宋"/>
          <w:spacing w:val="-2"/>
          <w:sz w:val="24"/>
          <w:szCs w:val="24"/>
          <w:lang w:val="en-US" w:eastAsia="zh-CN"/>
        </w:rPr>
        <w:t>所有合同</w:t>
      </w:r>
      <w:r>
        <w:rPr>
          <w:rFonts w:hint="eastAsia" w:ascii="仿宋" w:hAnsi="仿宋" w:eastAsia="仿宋" w:cs="仿宋"/>
          <w:spacing w:val="-2"/>
          <w:sz w:val="24"/>
          <w:szCs w:val="24"/>
        </w:rPr>
        <w:t>协议，并要求乙方赔偿。</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rPr>
        <w:t>5.乙方承诺不以任何理由为甲方人员及其</w:t>
      </w:r>
      <w:r>
        <w:rPr>
          <w:rFonts w:hint="eastAsia" w:ascii="仿宋" w:hAnsi="仿宋" w:eastAsia="仿宋" w:cs="仿宋"/>
          <w:spacing w:val="-2"/>
          <w:sz w:val="24"/>
          <w:szCs w:val="24"/>
          <w:lang w:eastAsia="zh-CN"/>
        </w:rPr>
        <w:t>配偶、子女及其配偶等亲属和其他特定关系人</w:t>
      </w:r>
      <w:r>
        <w:rPr>
          <w:rFonts w:hint="eastAsia" w:ascii="仿宋" w:hAnsi="仿宋" w:eastAsia="仿宋" w:cs="仿宋"/>
          <w:spacing w:val="-2"/>
          <w:sz w:val="24"/>
          <w:szCs w:val="24"/>
          <w:lang w:val="en-US" w:eastAsia="zh-CN"/>
        </w:rPr>
        <w:t>提供如下：</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a)</w:t>
      </w:r>
      <w:r>
        <w:rPr>
          <w:rFonts w:hint="eastAsia" w:ascii="仿宋" w:hAnsi="仿宋" w:eastAsia="仿宋" w:cs="仿宋"/>
          <w:spacing w:val="-2"/>
          <w:sz w:val="24"/>
          <w:szCs w:val="24"/>
        </w:rPr>
        <w:t>赠送</w:t>
      </w:r>
      <w:r>
        <w:rPr>
          <w:rFonts w:hint="eastAsia" w:ascii="仿宋" w:hAnsi="仿宋" w:eastAsia="仿宋" w:cs="仿宋"/>
          <w:spacing w:val="-2"/>
          <w:sz w:val="24"/>
          <w:szCs w:val="24"/>
          <w:lang w:val="en-US" w:eastAsia="zh-CN"/>
        </w:rPr>
        <w:t>礼品、</w:t>
      </w:r>
      <w:r>
        <w:rPr>
          <w:rFonts w:hint="eastAsia" w:ascii="仿宋" w:hAnsi="仿宋" w:eastAsia="仿宋" w:cs="仿宋"/>
          <w:spacing w:val="-2"/>
          <w:sz w:val="24"/>
          <w:szCs w:val="24"/>
        </w:rPr>
        <w:t>礼金、</w:t>
      </w:r>
      <w:r>
        <w:rPr>
          <w:rFonts w:hint="eastAsia" w:ascii="仿宋" w:hAnsi="仿宋" w:eastAsia="仿宋" w:cs="仿宋"/>
          <w:spacing w:val="-2"/>
          <w:sz w:val="24"/>
          <w:szCs w:val="24"/>
          <w:lang w:val="en-US" w:eastAsia="zh-CN"/>
        </w:rPr>
        <w:t>消费卡（券）、</w:t>
      </w:r>
      <w:r>
        <w:rPr>
          <w:rFonts w:hint="eastAsia" w:ascii="仿宋" w:hAnsi="仿宋" w:eastAsia="仿宋" w:cs="仿宋"/>
          <w:spacing w:val="-2"/>
          <w:sz w:val="24"/>
          <w:szCs w:val="24"/>
        </w:rPr>
        <w:t>购物卡、充值卡、信用卡</w:t>
      </w:r>
      <w:r>
        <w:rPr>
          <w:rFonts w:hint="eastAsia" w:ascii="仿宋" w:hAnsi="仿宋" w:eastAsia="仿宋" w:cs="仿宋"/>
          <w:spacing w:val="-2"/>
          <w:sz w:val="24"/>
          <w:szCs w:val="24"/>
          <w:lang w:val="en-US" w:eastAsia="zh-CN"/>
        </w:rPr>
        <w:t>和</w:t>
      </w:r>
      <w:r>
        <w:rPr>
          <w:rFonts w:hint="eastAsia" w:ascii="仿宋" w:hAnsi="仿宋" w:eastAsia="仿宋" w:cs="仿宋"/>
          <w:spacing w:val="-2"/>
          <w:sz w:val="24"/>
          <w:szCs w:val="24"/>
        </w:rPr>
        <w:t>有价证券</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股权、其他金融产品等财物</w:t>
      </w:r>
      <w:r>
        <w:rPr>
          <w:rFonts w:hint="eastAsia" w:ascii="仿宋" w:hAnsi="仿宋" w:eastAsia="仿宋" w:cs="仿宋"/>
          <w:spacing w:val="-2"/>
          <w:sz w:val="24"/>
          <w:szCs w:val="24"/>
        </w:rPr>
        <w:t>和其他贵重物品；</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b)</w:t>
      </w:r>
      <w:r>
        <w:rPr>
          <w:rFonts w:hint="eastAsia" w:ascii="仿宋" w:hAnsi="仿宋" w:eastAsia="仿宋" w:cs="仿宋"/>
          <w:spacing w:val="-2"/>
          <w:sz w:val="24"/>
          <w:szCs w:val="24"/>
        </w:rPr>
        <w:t>报销个人费用</w:t>
      </w:r>
      <w:r>
        <w:rPr>
          <w:rFonts w:hint="eastAsia" w:ascii="仿宋" w:hAnsi="仿宋" w:eastAsia="仿宋" w:cs="仿宋"/>
          <w:spacing w:val="-2"/>
          <w:sz w:val="24"/>
          <w:szCs w:val="24"/>
          <w:lang w:val="en-US" w:eastAsia="zh-CN"/>
        </w:rPr>
        <w:t>或以讲课费、课题费、咨询费等名义支付费用</w:t>
      </w:r>
      <w:r>
        <w:rPr>
          <w:rFonts w:hint="eastAsia" w:ascii="仿宋" w:hAnsi="仿宋" w:eastAsia="仿宋" w:cs="仿宋"/>
          <w:spacing w:val="-2"/>
          <w:sz w:val="24"/>
          <w:szCs w:val="24"/>
        </w:rPr>
        <w:t>；</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c)</w:t>
      </w:r>
      <w:r>
        <w:rPr>
          <w:rFonts w:hint="eastAsia" w:ascii="仿宋" w:hAnsi="仿宋" w:eastAsia="仿宋" w:cs="仿宋"/>
          <w:spacing w:val="-2"/>
          <w:sz w:val="24"/>
          <w:szCs w:val="24"/>
        </w:rPr>
        <w:t>以洽谈业务、签订合同等为借口宴请或邀请外出旅游</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健身、娱乐</w:t>
      </w:r>
      <w:r>
        <w:rPr>
          <w:rFonts w:hint="eastAsia" w:ascii="仿宋" w:hAnsi="仿宋" w:eastAsia="仿宋" w:cs="仿宋"/>
          <w:spacing w:val="-2"/>
          <w:sz w:val="24"/>
          <w:szCs w:val="24"/>
        </w:rPr>
        <w:t>和进入营业性娱乐场所；</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d)</w:t>
      </w:r>
      <w:r>
        <w:rPr>
          <w:rFonts w:hint="eastAsia" w:ascii="仿宋" w:hAnsi="仿宋" w:eastAsia="仿宋" w:cs="仿宋"/>
          <w:spacing w:val="-2"/>
          <w:sz w:val="24"/>
          <w:szCs w:val="24"/>
        </w:rPr>
        <w:t>购置或提供通讯、交通工具</w:t>
      </w:r>
      <w:r>
        <w:rPr>
          <w:rFonts w:hint="eastAsia" w:ascii="仿宋" w:hAnsi="仿宋" w:eastAsia="仿宋" w:cs="仿宋"/>
          <w:spacing w:val="-2"/>
          <w:sz w:val="24"/>
          <w:szCs w:val="24"/>
          <w:lang w:val="en-US" w:eastAsia="zh-CN"/>
        </w:rPr>
        <w:t>、钱款、住房、车辆等或提供通过民间借贷等金融助其获得大额回报</w:t>
      </w:r>
      <w:r>
        <w:rPr>
          <w:rFonts w:hint="eastAsia" w:ascii="仿宋" w:hAnsi="仿宋" w:eastAsia="仿宋" w:cs="仿宋"/>
          <w:spacing w:val="-2"/>
          <w:sz w:val="24"/>
          <w:szCs w:val="24"/>
        </w:rPr>
        <w:t>；</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e)</w:t>
      </w:r>
      <w:r>
        <w:rPr>
          <w:rFonts w:hint="eastAsia" w:ascii="仿宋" w:hAnsi="仿宋" w:eastAsia="仿宋" w:cs="仿宋"/>
          <w:spacing w:val="-2"/>
          <w:sz w:val="24"/>
          <w:szCs w:val="24"/>
        </w:rPr>
        <w:t>住房装修、婚丧嫁娶、家属和子女的工作安排以及出国等提供任何金钱或非金钱方式的资助或帮助</w:t>
      </w:r>
      <w:r>
        <w:rPr>
          <w:rFonts w:hint="eastAsia" w:ascii="仿宋" w:hAnsi="仿宋" w:eastAsia="仿宋" w:cs="仿宋"/>
          <w:spacing w:val="-2"/>
          <w:sz w:val="24"/>
          <w:szCs w:val="24"/>
          <w:lang w:eastAsia="zh-CN"/>
        </w:rPr>
        <w:t>；</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f)吸收存款、推销金融产品、经营名贵特产类资源等提供帮助谋取利益；</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g)其他可能影响甲方人员公平、公正的履行职权或者履行职责的情形</w:t>
      </w:r>
      <w:r>
        <w:rPr>
          <w:rFonts w:hint="eastAsia" w:ascii="仿宋" w:hAnsi="仿宋" w:eastAsia="仿宋" w:cs="仿宋"/>
          <w:spacing w:val="-2"/>
          <w:sz w:val="24"/>
          <w:szCs w:val="24"/>
        </w:rPr>
        <w:t>。</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6.乙方应当通过正常途径开展相关业务，决不为谋取不正当利益诱使甲方人员就</w:t>
      </w:r>
      <w:r>
        <w:rPr>
          <w:rFonts w:hint="eastAsia" w:ascii="仿宋" w:hAnsi="仿宋" w:eastAsia="仿宋" w:cs="仿宋"/>
          <w:spacing w:val="-2"/>
          <w:sz w:val="24"/>
          <w:szCs w:val="24"/>
          <w:lang w:val="en-US" w:eastAsia="zh-CN"/>
        </w:rPr>
        <w:t>采购、服务或销售、经销的物项种类</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物项</w:t>
      </w:r>
      <w:r>
        <w:rPr>
          <w:rFonts w:hint="eastAsia" w:ascii="仿宋" w:hAnsi="仿宋" w:eastAsia="仿宋" w:cs="仿宋"/>
          <w:spacing w:val="-2"/>
          <w:sz w:val="24"/>
          <w:szCs w:val="24"/>
        </w:rPr>
        <w:t>数量、价格</w:t>
      </w:r>
      <w:r>
        <w:rPr>
          <w:rFonts w:hint="eastAsia" w:ascii="仿宋" w:hAnsi="仿宋" w:eastAsia="仿宋" w:cs="仿宋"/>
          <w:spacing w:val="-2"/>
          <w:sz w:val="24"/>
          <w:szCs w:val="24"/>
          <w:lang w:val="en-US" w:eastAsia="zh-CN"/>
        </w:rPr>
        <w:t>条件</w:t>
      </w:r>
      <w:r>
        <w:rPr>
          <w:rFonts w:hint="eastAsia" w:ascii="仿宋" w:hAnsi="仿宋" w:eastAsia="仿宋" w:cs="仿宋"/>
          <w:spacing w:val="-2"/>
          <w:sz w:val="24"/>
          <w:szCs w:val="24"/>
        </w:rPr>
        <w:t>、</w:t>
      </w:r>
      <w:r>
        <w:rPr>
          <w:rFonts w:hint="eastAsia" w:ascii="仿宋" w:hAnsi="仿宋" w:eastAsia="仿宋" w:cs="仿宋"/>
          <w:spacing w:val="-2"/>
          <w:sz w:val="24"/>
          <w:szCs w:val="24"/>
          <w:lang w:val="en-US" w:eastAsia="zh-CN"/>
        </w:rPr>
        <w:t>付款条件、</w:t>
      </w:r>
      <w:r>
        <w:rPr>
          <w:rFonts w:hint="eastAsia" w:ascii="仿宋" w:hAnsi="仿宋" w:eastAsia="仿宋" w:cs="仿宋"/>
          <w:spacing w:val="-2"/>
          <w:sz w:val="24"/>
          <w:szCs w:val="24"/>
        </w:rPr>
        <w:t>质量问题处理等方面私下商谈或达成默契</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决不以任何方式诱使甲方人员接受或共同编造虚假议价及质量资料、影响交易价格或交易之达成、违背职务、将合同权利义务转让给第三方及其它损害甲方利益的行为。</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7.若乙方发现甲方人员或其</w:t>
      </w:r>
      <w:r>
        <w:rPr>
          <w:rFonts w:hint="eastAsia" w:ascii="仿宋" w:hAnsi="仿宋" w:eastAsia="仿宋" w:cs="仿宋"/>
          <w:spacing w:val="-2"/>
          <w:sz w:val="24"/>
          <w:szCs w:val="24"/>
          <w:lang w:eastAsia="zh-CN"/>
        </w:rPr>
        <w:t>配偶、子女及其配偶等亲属和其他特定关系人</w:t>
      </w:r>
      <w:r>
        <w:rPr>
          <w:rFonts w:hint="eastAsia" w:ascii="仿宋" w:hAnsi="仿宋" w:eastAsia="仿宋" w:cs="仿宋"/>
          <w:spacing w:val="-2"/>
          <w:sz w:val="24"/>
          <w:szCs w:val="24"/>
        </w:rPr>
        <w:t>有任何形式的索贿受贿行为，乙方有责任向甲方</w:t>
      </w:r>
      <w:r>
        <w:rPr>
          <w:rFonts w:hint="eastAsia" w:ascii="仿宋" w:hAnsi="仿宋" w:eastAsia="仿宋" w:cs="仿宋"/>
          <w:spacing w:val="-2"/>
          <w:sz w:val="24"/>
          <w:szCs w:val="24"/>
          <w:lang w:val="en-US" w:eastAsia="zh-CN"/>
        </w:rPr>
        <w:t>所属</w:t>
      </w:r>
      <w:r>
        <w:rPr>
          <w:rFonts w:hint="eastAsia" w:ascii="仿宋" w:hAnsi="仿宋" w:eastAsia="仿宋" w:cs="仿宋"/>
          <w:spacing w:val="-2"/>
          <w:sz w:val="24"/>
          <w:szCs w:val="24"/>
        </w:rPr>
        <w:t>重汽集团纪委</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监察部门举报（举报电话：0531-58062233，举报邮箱：jianchabu@sinotruk.com）。甲方不得</w:t>
      </w:r>
      <w:r>
        <w:rPr>
          <w:rFonts w:hint="eastAsia" w:ascii="仿宋" w:hAnsi="仿宋" w:eastAsia="仿宋" w:cs="仿宋"/>
          <w:spacing w:val="-2"/>
          <w:sz w:val="24"/>
          <w:szCs w:val="24"/>
          <w:lang w:val="en-US" w:eastAsia="zh-CN"/>
        </w:rPr>
        <w:t>以</w:t>
      </w:r>
      <w:r>
        <w:rPr>
          <w:rFonts w:hint="eastAsia" w:ascii="仿宋" w:hAnsi="仿宋" w:eastAsia="仿宋" w:cs="仿宋"/>
          <w:spacing w:val="-2"/>
          <w:sz w:val="24"/>
          <w:szCs w:val="24"/>
        </w:rPr>
        <w:t>任何借口对乙方进行报复。对举报属实和严格遵守廉洁协议的乙方，在同等条件下甲方优先考虑与乙方继续合作并给予更优惠的商务合作条件。</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8.若乙方知悉其它与甲方合作的供应商</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服务商或采购商、经销商等合作伙伴</w:t>
      </w:r>
      <w:r>
        <w:rPr>
          <w:rFonts w:hint="eastAsia" w:ascii="仿宋" w:hAnsi="仿宋" w:eastAsia="仿宋" w:cs="仿宋"/>
          <w:spacing w:val="-2"/>
          <w:sz w:val="24"/>
          <w:szCs w:val="24"/>
        </w:rPr>
        <w:t>存在违反本协议规定之行为，乙方应向甲方</w:t>
      </w:r>
      <w:r>
        <w:rPr>
          <w:rFonts w:hint="eastAsia" w:ascii="仿宋" w:hAnsi="仿宋" w:eastAsia="仿宋" w:cs="仿宋"/>
          <w:spacing w:val="-2"/>
          <w:sz w:val="24"/>
          <w:szCs w:val="24"/>
          <w:lang w:val="en-US" w:eastAsia="zh-CN"/>
        </w:rPr>
        <w:t>或</w:t>
      </w:r>
      <w:r>
        <w:rPr>
          <w:rFonts w:hint="eastAsia" w:ascii="仿宋" w:hAnsi="仿宋" w:eastAsia="仿宋" w:cs="仿宋"/>
          <w:spacing w:val="-2"/>
          <w:sz w:val="24"/>
          <w:szCs w:val="24"/>
        </w:rPr>
        <w:t>甲方</w:t>
      </w:r>
      <w:r>
        <w:rPr>
          <w:rFonts w:hint="eastAsia" w:ascii="仿宋" w:hAnsi="仿宋" w:eastAsia="仿宋" w:cs="仿宋"/>
          <w:spacing w:val="-2"/>
          <w:sz w:val="24"/>
          <w:szCs w:val="24"/>
          <w:lang w:val="en-US" w:eastAsia="zh-CN"/>
        </w:rPr>
        <w:t>所属</w:t>
      </w:r>
      <w:r>
        <w:rPr>
          <w:rFonts w:hint="eastAsia" w:ascii="仿宋" w:hAnsi="仿宋" w:eastAsia="仿宋" w:cs="仿宋"/>
          <w:spacing w:val="-2"/>
          <w:sz w:val="24"/>
          <w:szCs w:val="24"/>
        </w:rPr>
        <w:t>重汽集团纪委</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监察部门检举并提供证据。</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9.乙方承诺在双方业务往来期间，不得对甲方人员采取任何手段使其离开甲方到乙方或乙方关联企业任职，若出现上述情况，则属于乙方违约，应承担给甲方造成的一切损失。</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10.乙方承诺不聘任甲方内退领导干部或其他人员在乙方或乙方关联企业工作；乙方承诺不聘任甲方离职或退休三年内的领导干部或其他人员在乙方或乙方关联企业工作。</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11.若乙方违反本协议约定的任何一项，乙方自愿向甲方支付5万元至50万元人民币或</w:t>
      </w:r>
      <w:r>
        <w:rPr>
          <w:rFonts w:hint="eastAsia" w:ascii="仿宋" w:hAnsi="仿宋" w:eastAsia="仿宋" w:cs="仿宋"/>
          <w:spacing w:val="-2"/>
          <w:sz w:val="24"/>
          <w:szCs w:val="24"/>
          <w:lang w:val="en-US" w:eastAsia="zh-CN"/>
        </w:rPr>
        <w:t>违反协议约定事件发现的</w:t>
      </w:r>
      <w:r>
        <w:rPr>
          <w:rFonts w:hint="eastAsia" w:ascii="仿宋" w:hAnsi="仿宋" w:eastAsia="仿宋" w:cs="仿宋"/>
          <w:spacing w:val="-2"/>
          <w:sz w:val="24"/>
          <w:szCs w:val="24"/>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52"/>
        <w:tabs>
          <w:tab w:val="left" w:pos="1244"/>
        </w:tabs>
        <w:adjustRightInd w:val="0"/>
        <w:spacing w:line="360" w:lineRule="auto"/>
        <w:ind w:left="0" w:right="0" w:firstLine="472" w:firstLineChars="200"/>
        <w:rPr>
          <w:rFonts w:hint="eastAsia" w:ascii="仿宋" w:hAnsi="仿宋" w:eastAsia="仿宋" w:cs="仿宋"/>
          <w:b w:val="0"/>
          <w:bCs w:val="0"/>
          <w:spacing w:val="-2"/>
          <w:sz w:val="24"/>
          <w:szCs w:val="24"/>
        </w:rPr>
      </w:pPr>
      <w:r>
        <w:rPr>
          <w:rFonts w:hint="eastAsia" w:ascii="仿宋" w:hAnsi="仿宋" w:eastAsia="仿宋" w:cs="仿宋"/>
          <w:b w:val="0"/>
          <w:bCs w:val="0"/>
          <w:spacing w:val="-2"/>
          <w:sz w:val="24"/>
          <w:szCs w:val="24"/>
          <w:lang w:val="en-US" w:eastAsia="zh-CN"/>
        </w:rPr>
        <w:t>13.</w:t>
      </w:r>
      <w:r>
        <w:rPr>
          <w:rFonts w:hint="eastAsia" w:ascii="仿宋" w:hAnsi="仿宋" w:eastAsia="仿宋" w:cs="仿宋"/>
          <w:b w:val="0"/>
          <w:bCs w:val="0"/>
          <w:spacing w:val="-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rPr>
      </w:pPr>
      <w:r>
        <w:rPr>
          <w:rFonts w:hint="eastAsia" w:ascii="仿宋" w:hAnsi="仿宋" w:eastAsia="仿宋" w:cs="仿宋"/>
          <w:b w:val="0"/>
          <w:bCs w:val="0"/>
          <w:spacing w:val="-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52"/>
        <w:tabs>
          <w:tab w:val="left" w:pos="1244"/>
        </w:tabs>
        <w:adjustRightInd w:val="0"/>
        <w:spacing w:line="360" w:lineRule="auto"/>
        <w:ind w:left="0" w:right="0" w:firstLine="472" w:firstLineChars="200"/>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rPr>
        <w:t>1</w:t>
      </w: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.本协议作为执行</w:t>
      </w:r>
      <w:r>
        <w:rPr>
          <w:rFonts w:hint="eastAsia" w:ascii="仿宋" w:hAnsi="仿宋" w:eastAsia="仿宋" w:cs="仿宋"/>
          <w:spacing w:val="-2"/>
          <w:sz w:val="24"/>
          <w:szCs w:val="24"/>
          <w:lang w:val="en-US" w:eastAsia="zh-CN"/>
        </w:rPr>
        <w:t>甲乙双方</w:t>
      </w:r>
      <w:r>
        <w:rPr>
          <w:rFonts w:hint="eastAsia" w:ascii="仿宋" w:hAnsi="仿宋" w:eastAsia="仿宋" w:cs="仿宋"/>
          <w:spacing w:val="-2"/>
          <w:sz w:val="24"/>
          <w:szCs w:val="24"/>
        </w:rPr>
        <w:t>采购协议</w:t>
      </w:r>
      <w:r>
        <w:rPr>
          <w:rFonts w:hint="eastAsia" w:ascii="仿宋" w:hAnsi="仿宋" w:eastAsia="仿宋" w:cs="仿宋"/>
          <w:spacing w:val="-2"/>
          <w:sz w:val="24"/>
          <w:szCs w:val="24"/>
          <w:lang w:val="en-US" w:eastAsia="zh-CN"/>
        </w:rPr>
        <w:t>或其他合作合同、协议</w:t>
      </w:r>
      <w:r>
        <w:rPr>
          <w:rFonts w:hint="eastAsia" w:ascii="仿宋" w:hAnsi="仿宋" w:eastAsia="仿宋" w:cs="仿宋"/>
          <w:spacing w:val="-2"/>
          <w:sz w:val="24"/>
          <w:szCs w:val="24"/>
        </w:rPr>
        <w:t>的附件，自双方签署之日起生效，此协议在</w:t>
      </w:r>
      <w:r>
        <w:rPr>
          <w:rFonts w:hint="eastAsia" w:ascii="仿宋" w:hAnsi="仿宋" w:eastAsia="仿宋" w:cs="仿宋"/>
          <w:spacing w:val="-2"/>
          <w:sz w:val="24"/>
          <w:szCs w:val="24"/>
          <w:lang w:val="en-US" w:eastAsia="zh-CN"/>
        </w:rPr>
        <w:t>甲乙</w:t>
      </w:r>
      <w:r>
        <w:rPr>
          <w:rFonts w:hint="eastAsia" w:ascii="仿宋" w:hAnsi="仿宋" w:eastAsia="仿宋" w:cs="仿宋"/>
          <w:spacing w:val="-2"/>
          <w:sz w:val="24"/>
          <w:szCs w:val="24"/>
        </w:rPr>
        <w:t>双方</w:t>
      </w:r>
      <w:r>
        <w:rPr>
          <w:rFonts w:hint="eastAsia" w:ascii="仿宋" w:hAnsi="仿宋" w:eastAsia="仿宋" w:cs="仿宋"/>
          <w:spacing w:val="-2"/>
          <w:sz w:val="24"/>
          <w:szCs w:val="24"/>
          <w:lang w:val="en-US" w:eastAsia="zh-CN"/>
        </w:rPr>
        <w:t>业务</w:t>
      </w:r>
      <w:r>
        <w:rPr>
          <w:rFonts w:hint="eastAsia" w:ascii="仿宋" w:hAnsi="仿宋" w:eastAsia="仿宋" w:cs="仿宋"/>
          <w:spacing w:val="-2"/>
          <w:sz w:val="24"/>
          <w:szCs w:val="24"/>
        </w:rPr>
        <w:t>合作期间有效</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52"/>
        <w:tabs>
          <w:tab w:val="left" w:pos="1244"/>
        </w:tabs>
        <w:adjustRightInd w:val="0"/>
        <w:spacing w:line="360" w:lineRule="auto"/>
        <w:ind w:left="0" w:right="0" w:firstLine="472" w:firstLineChars="200"/>
        <w:rPr>
          <w:rFonts w:hint="eastAsia"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.本协议一式二份，双方各执一份，具有同等法律效力。若产生争议，双方协商解决，协商不成的在甲方所在地有管辖权的法院诉讼解决。</w:t>
      </w:r>
    </w:p>
    <w:p>
      <w:pPr>
        <w:tabs>
          <w:tab w:val="left" w:pos="5457"/>
        </w:tabs>
        <w:spacing w:before="1" w:line="360" w:lineRule="auto"/>
        <w:ind w:left="117"/>
        <w:rPr>
          <w:rFonts w:hint="eastAsia" w:ascii="仿宋" w:hAnsi="仿宋" w:eastAsia="仿宋" w:cs="仿宋"/>
          <w:b/>
          <w:sz w:val="24"/>
          <w:szCs w:val="24"/>
          <w:lang w:eastAsia="zh-CN"/>
        </w:rPr>
      </w:pPr>
      <w:r>
        <w:rPr>
          <w:rFonts w:hint="eastAsia" w:ascii="仿宋" w:hAnsi="仿宋" w:eastAsia="仿宋" w:cs="仿宋"/>
          <w:b/>
          <w:spacing w:val="-1"/>
          <w:w w:val="99"/>
          <w:sz w:val="24"/>
          <w:szCs w:val="24"/>
        </w:rPr>
        <w:t>甲方（盖章</w:t>
      </w:r>
      <w:r>
        <w:rPr>
          <w:rFonts w:hint="eastAsia" w:ascii="仿宋" w:hAnsi="仿宋" w:eastAsia="仿宋" w:cs="仿宋"/>
          <w:b/>
          <w:spacing w:val="-140"/>
          <w:w w:val="99"/>
          <w:sz w:val="24"/>
          <w:szCs w:val="24"/>
          <w:lang w:eastAsia="zh-CN"/>
        </w:rPr>
        <w:t>）</w:t>
      </w:r>
      <w:r>
        <w:rPr>
          <w:rFonts w:hint="eastAsia" w:ascii="仿宋" w:hAnsi="仿宋" w:eastAsia="仿宋" w:cs="仿宋"/>
          <w:b/>
          <w:sz w:val="24"/>
          <w:szCs w:val="24"/>
        </w:rPr>
        <w:tab/>
      </w:r>
      <w:r>
        <w:rPr>
          <w:rFonts w:hint="eastAsia" w:ascii="仿宋" w:hAnsi="仿宋" w:eastAsia="仿宋" w:cs="仿宋"/>
          <w:b/>
          <w:spacing w:val="-1"/>
          <w:w w:val="99"/>
          <w:sz w:val="24"/>
          <w:szCs w:val="24"/>
        </w:rPr>
        <w:t>乙方（盖</w:t>
      </w:r>
      <w:r>
        <w:rPr>
          <w:rFonts w:hint="eastAsia" w:ascii="仿宋" w:hAnsi="仿宋" w:eastAsia="仿宋" w:cs="仿宋"/>
          <w:b/>
          <w:spacing w:val="2"/>
          <w:w w:val="99"/>
          <w:sz w:val="24"/>
          <w:szCs w:val="24"/>
        </w:rPr>
        <w:t>章</w:t>
      </w:r>
      <w:r>
        <w:rPr>
          <w:rFonts w:hint="eastAsia" w:ascii="仿宋" w:hAnsi="仿宋" w:eastAsia="仿宋" w:cs="仿宋"/>
          <w:b/>
          <w:spacing w:val="-142"/>
          <w:w w:val="99"/>
          <w:sz w:val="24"/>
          <w:szCs w:val="24"/>
        </w:rPr>
        <w:t>）</w:t>
      </w:r>
      <w:r>
        <w:rPr>
          <w:rFonts w:hint="eastAsia" w:ascii="仿宋" w:hAnsi="仿宋" w:eastAsia="仿宋" w:cs="仿宋"/>
          <w:b/>
          <w:w w:val="99"/>
          <w:sz w:val="24"/>
          <w:szCs w:val="24"/>
          <w:lang w:eastAsia="zh-CN"/>
        </w:rPr>
        <w:t>）</w:t>
      </w:r>
    </w:p>
    <w:p>
      <w:pPr>
        <w:pStyle w:val="9"/>
        <w:spacing w:before="1" w:line="360" w:lineRule="auto"/>
        <w:ind w:left="0" w:firstLine="0"/>
        <w:rPr>
          <w:rFonts w:hint="eastAsia" w:ascii="仿宋" w:hAnsi="仿宋" w:eastAsia="仿宋" w:cs="仿宋"/>
          <w:b/>
          <w:sz w:val="24"/>
          <w:szCs w:val="24"/>
        </w:rPr>
      </w:pPr>
    </w:p>
    <w:p>
      <w:pPr>
        <w:tabs>
          <w:tab w:val="left" w:pos="5457"/>
        </w:tabs>
        <w:spacing w:line="360" w:lineRule="auto"/>
        <w:ind w:left="117"/>
        <w:rPr>
          <w:rFonts w:ascii="楷体" w:hAnsi="楷体" w:eastAsia="楷体" w:cs="楷体"/>
          <w:b/>
          <w:sz w:val="24"/>
          <w:szCs w:val="28"/>
        </w:rPr>
      </w:pPr>
      <w:r>
        <w:rPr>
          <w:rFonts w:hint="eastAsia" w:ascii="仿宋" w:hAnsi="仿宋" w:eastAsia="仿宋" w:cs="仿宋"/>
          <w:b/>
          <w:sz w:val="24"/>
          <w:szCs w:val="24"/>
        </w:rPr>
        <w:t>法定代表/授权代表</w:t>
      </w:r>
      <w:r>
        <w:rPr>
          <w:rFonts w:hint="eastAsia" w:ascii="仿宋" w:hAnsi="仿宋" w:eastAsia="仿宋" w:cs="仿宋"/>
          <w:b/>
          <w:sz w:val="24"/>
          <w:szCs w:val="24"/>
        </w:rPr>
        <w:tab/>
      </w:r>
      <w:r>
        <w:rPr>
          <w:rFonts w:hint="eastAsia" w:ascii="仿宋" w:hAnsi="仿宋" w:eastAsia="仿宋" w:cs="仿宋"/>
          <w:b/>
          <w:sz w:val="24"/>
          <w:szCs w:val="24"/>
        </w:rPr>
        <w:t>法定代表/授权代表</w:t>
      </w:r>
    </w:p>
    <w:p>
      <w:pPr>
        <w:spacing w:line="360" w:lineRule="auto"/>
        <w:rPr>
          <w:rFonts w:ascii="仿宋" w:hAnsi="仿宋" w:eastAsia="仿宋" w:cs="仿宋"/>
          <w:sz w:val="28"/>
          <w:szCs w:val="28"/>
        </w:rPr>
      </w:pPr>
      <w:r>
        <w:rPr>
          <w:rFonts w:hint="eastAsia" w:ascii="仿宋" w:hAnsi="仿宋" w:eastAsia="仿宋" w:cs="仿宋"/>
          <w:sz w:val="28"/>
          <w:szCs w:val="28"/>
        </w:rPr>
        <w:br w:type="page"/>
      </w:r>
    </w:p>
    <w:p>
      <w:pPr>
        <w:spacing w:line="360" w:lineRule="auto"/>
        <w:outlineLvl w:val="0"/>
        <w:rPr>
          <w:rFonts w:ascii="仿宋" w:hAnsi="仿宋" w:eastAsia="仿宋" w:cs="仿宋"/>
          <w:sz w:val="24"/>
        </w:rPr>
      </w:pPr>
      <w:bookmarkStart w:id="143" w:name="_Toc7859"/>
      <w:r>
        <w:rPr>
          <w:rFonts w:hint="eastAsia" w:ascii="仿宋" w:hAnsi="仿宋" w:eastAsia="仿宋" w:cs="仿宋"/>
          <w:sz w:val="24"/>
        </w:rPr>
        <w:t>附件7：</w:t>
      </w:r>
      <w:bookmarkEnd w:id="143"/>
    </w:p>
    <w:p>
      <w:pPr>
        <w:spacing w:before="120" w:beforeLines="50" w:after="120" w:afterLines="50" w:line="360" w:lineRule="auto"/>
        <w:jc w:val="center"/>
        <w:rPr>
          <w:rFonts w:ascii="仿宋" w:hAnsi="仿宋" w:eastAsia="仿宋" w:cs="仿宋"/>
          <w:sz w:val="28"/>
          <w:szCs w:val="28"/>
        </w:rPr>
      </w:pPr>
      <w:r>
        <w:rPr>
          <w:rFonts w:hint="eastAsia" w:ascii="仿宋" w:hAnsi="仿宋" w:eastAsia="仿宋" w:cs="仿宋"/>
          <w:b/>
          <w:bCs/>
          <w:sz w:val="28"/>
          <w:szCs w:val="28"/>
        </w:rPr>
        <w:t>保密协议</w:t>
      </w:r>
    </w:p>
    <w:p>
      <w:pPr>
        <w:keepNext w:val="0"/>
        <w:keepLines w:val="0"/>
        <w:pageBreakBefore w:val="0"/>
        <w:widowControl w:val="0"/>
        <w:kinsoku/>
        <w:wordWrap/>
        <w:overflowPunct/>
        <w:topLinePunct w:val="0"/>
        <w:autoSpaceDE/>
        <w:autoSpaceDN/>
        <w:bidi w:val="0"/>
        <w:adjustRightInd/>
        <w:spacing w:line="336" w:lineRule="auto"/>
        <w:textAlignment w:val="auto"/>
        <w:rPr>
          <w:rFonts w:ascii="仿宋" w:hAnsi="仿宋" w:eastAsia="仿宋" w:cs="仿宋"/>
          <w:sz w:val="24"/>
        </w:rPr>
      </w:pPr>
      <w:r>
        <w:rPr>
          <w:rFonts w:hint="eastAsia" w:ascii="仿宋" w:hAnsi="仿宋" w:eastAsia="仿宋" w:cs="仿宋"/>
          <w:sz w:val="24"/>
        </w:rPr>
        <w:t>本协议由以下双方于</w:t>
      </w:r>
      <w:r>
        <w:rPr>
          <w:rFonts w:hint="eastAsia" w:ascii="仿宋" w:hAnsi="仿宋" w:eastAsia="仿宋" w:cs="仿宋"/>
          <w:sz w:val="24"/>
          <w:u w:val="single"/>
        </w:rPr>
        <w:t xml:space="preserve"> 山东省济南市 </w:t>
      </w:r>
      <w:r>
        <w:rPr>
          <w:rFonts w:hint="eastAsia" w:ascii="仿宋" w:hAnsi="仿宋" w:eastAsia="仿宋" w:cs="仿宋"/>
          <w:sz w:val="24"/>
        </w:rPr>
        <w:t>共同签署：</w:t>
      </w:r>
    </w:p>
    <w:p>
      <w:pPr>
        <w:keepNext w:val="0"/>
        <w:keepLines w:val="0"/>
        <w:pageBreakBefore w:val="0"/>
        <w:widowControl w:val="0"/>
        <w:kinsoku/>
        <w:wordWrap/>
        <w:overflowPunct/>
        <w:topLinePunct w:val="0"/>
        <w:autoSpaceDE/>
        <w:autoSpaceDN/>
        <w:bidi w:val="0"/>
        <w:adjustRightInd/>
        <w:spacing w:line="336" w:lineRule="auto"/>
        <w:textAlignment w:val="auto"/>
        <w:rPr>
          <w:rFonts w:hint="eastAsia" w:ascii="仿宋" w:hAnsi="仿宋" w:eastAsia="仿宋" w:cs="仿宋"/>
          <w:sz w:val="24"/>
          <w:u w:val="single"/>
          <w:lang w:eastAsia="zh-CN"/>
        </w:rPr>
      </w:pPr>
      <w:r>
        <w:rPr>
          <w:rFonts w:hint="eastAsia" w:ascii="仿宋" w:hAnsi="仿宋" w:eastAsia="仿宋" w:cs="仿宋"/>
          <w:sz w:val="24"/>
        </w:rPr>
        <w:t>甲方：</w:t>
      </w:r>
      <w:r>
        <w:rPr>
          <w:rFonts w:hint="eastAsia" w:ascii="仿宋" w:hAnsi="仿宋" w:eastAsia="仿宋" w:cs="仿宋"/>
          <w:sz w:val="24"/>
          <w:u w:val="single"/>
          <w:lang w:eastAsia="zh-CN"/>
        </w:rPr>
        <w:t>中国重汽集团</w:t>
      </w:r>
      <w:r>
        <w:rPr>
          <w:rFonts w:hint="eastAsia" w:ascii="仿宋" w:hAnsi="仿宋" w:eastAsia="仿宋" w:cs="仿宋"/>
          <w:sz w:val="24"/>
          <w:u w:val="single"/>
          <w:lang w:val="en-US" w:eastAsia="zh-CN"/>
        </w:rPr>
        <w:t>济南汽车部件</w:t>
      </w:r>
      <w:r>
        <w:rPr>
          <w:rFonts w:hint="eastAsia" w:ascii="仿宋" w:hAnsi="仿宋" w:eastAsia="仿宋" w:cs="仿宋"/>
          <w:sz w:val="24"/>
          <w:u w:val="single"/>
          <w:lang w:eastAsia="zh-CN"/>
        </w:rPr>
        <w:t>有限公司</w:t>
      </w:r>
    </w:p>
    <w:p>
      <w:pPr>
        <w:keepNext w:val="0"/>
        <w:keepLines w:val="0"/>
        <w:pageBreakBefore w:val="0"/>
        <w:widowControl w:val="0"/>
        <w:kinsoku/>
        <w:wordWrap/>
        <w:overflowPunct/>
        <w:topLinePunct w:val="0"/>
        <w:autoSpaceDE/>
        <w:autoSpaceDN/>
        <w:bidi w:val="0"/>
        <w:adjustRightInd/>
        <w:spacing w:line="336" w:lineRule="auto"/>
        <w:textAlignment w:val="auto"/>
        <w:rPr>
          <w:rFonts w:hint="eastAsia" w:ascii="仿宋" w:hAnsi="仿宋" w:eastAsia="仿宋" w:cs="仿宋"/>
          <w:sz w:val="24"/>
          <w:u w:val="single"/>
          <w:lang w:eastAsia="zh-CN"/>
        </w:rPr>
      </w:pPr>
      <w:r>
        <w:rPr>
          <w:rFonts w:hint="eastAsia" w:ascii="仿宋" w:hAnsi="仿宋" w:eastAsia="仿宋" w:cs="仿宋"/>
          <w:sz w:val="24"/>
        </w:rPr>
        <w:t>乙方：</w:t>
      </w:r>
      <w:r>
        <w:rPr>
          <w:rFonts w:hint="eastAsia" w:ascii="仿宋" w:hAnsi="仿宋" w:eastAsia="仿宋" w:cs="仿宋"/>
          <w:sz w:val="24"/>
          <w:u w:val="single"/>
          <w:lang w:eastAsia="zh-CN"/>
        </w:rPr>
        <w:t>本次中标单位</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甲乙双方需开展</w:t>
      </w:r>
      <w:r>
        <w:rPr>
          <w:rFonts w:hint="eastAsia" w:ascii="仿宋" w:hAnsi="仿宋" w:eastAsia="仿宋" w:cs="仿宋"/>
          <w:color w:val="auto"/>
          <w:sz w:val="22"/>
          <w:lang w:val="en-US" w:eastAsia="zh-CN"/>
        </w:rPr>
        <w:t xml:space="preserve">日期： </w:t>
      </w:r>
      <w:r>
        <w:rPr>
          <w:rFonts w:hint="eastAsia" w:ascii="仿宋" w:hAnsi="仿宋" w:eastAsia="仿宋" w:cs="仿宋"/>
          <w:sz w:val="24"/>
          <w:u w:val="single"/>
        </w:rPr>
        <w:t xml:space="preserve"> </w:t>
      </w:r>
      <w:r>
        <w:rPr>
          <w:rFonts w:hint="eastAsia" w:ascii="仿宋" w:hAnsi="仿宋" w:eastAsia="仿宋" w:cs="仿宋"/>
          <w:sz w:val="24"/>
        </w:rPr>
        <w:t>项目合作。出于该合作目的，甲方已经或将要向乙方提供有关项目的保密信息。经平等协商，双方自愿签订协议如下：</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第一条 定义</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1、“保密信息”指甲方现在或将来向乙方提供的</w:t>
      </w:r>
      <w:r>
        <w:rPr>
          <w:rFonts w:hint="eastAsia" w:ascii="仿宋" w:hAnsi="仿宋" w:eastAsia="仿宋" w:cs="仿宋"/>
          <w:sz w:val="24"/>
          <w:lang w:val="en-GB"/>
        </w:rPr>
        <w:t>与本协议有关的任何信息和数据，包括但不限于任何类型的</w:t>
      </w:r>
      <w:r>
        <w:rPr>
          <w:rFonts w:hint="eastAsia" w:ascii="仿宋" w:hAnsi="仿宋" w:eastAsia="仿宋" w:cs="仿宋"/>
          <w:sz w:val="24"/>
        </w:rPr>
        <w:t>经营信息、技术信息</w:t>
      </w:r>
      <w:r>
        <w:rPr>
          <w:rFonts w:hint="eastAsia" w:ascii="仿宋" w:hAnsi="仿宋" w:eastAsia="仿宋" w:cs="仿宋"/>
          <w:sz w:val="24"/>
          <w:lang w:val="en-GB"/>
        </w:rPr>
        <w:t>、</w:t>
      </w:r>
      <w:r>
        <w:rPr>
          <w:rFonts w:hint="eastAsia" w:ascii="仿宋" w:hAnsi="仿宋" w:eastAsia="仿宋" w:cs="仿宋"/>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2、信息提供方：甲方</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3、信息接受方：乙方</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4、第三方：指本协议双方之外的任何第三方。</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lang w:val="en-GB"/>
        </w:rPr>
      </w:pPr>
      <w:r>
        <w:rPr>
          <w:rFonts w:hint="eastAsia" w:ascii="仿宋" w:hAnsi="仿宋" w:eastAsia="仿宋" w:cs="仿宋"/>
          <w:sz w:val="24"/>
        </w:rPr>
        <w:t>5、</w:t>
      </w:r>
      <w:r>
        <w:rPr>
          <w:rFonts w:hint="eastAsia" w:ascii="仿宋" w:hAnsi="仿宋" w:eastAsia="仿宋" w:cs="仿宋"/>
          <w:sz w:val="24"/>
          <w:lang w:val="en-GB"/>
        </w:rPr>
        <w:t>关联</w:t>
      </w:r>
      <w:r>
        <w:rPr>
          <w:rFonts w:hint="eastAsia" w:ascii="仿宋" w:hAnsi="仿宋" w:eastAsia="仿宋" w:cs="仿宋"/>
          <w:sz w:val="24"/>
        </w:rPr>
        <w:t>公司</w:t>
      </w:r>
      <w:r>
        <w:rPr>
          <w:rFonts w:hint="eastAsia" w:ascii="仿宋" w:hAnsi="仿宋" w:eastAsia="仿宋" w:cs="仿宋"/>
          <w:sz w:val="24"/>
          <w:lang w:val="en-GB"/>
        </w:rPr>
        <w:t>：直接或间接控制</w:t>
      </w:r>
      <w:r>
        <w:rPr>
          <w:rFonts w:hint="eastAsia" w:ascii="仿宋" w:hAnsi="仿宋" w:eastAsia="仿宋" w:cs="仿宋"/>
          <w:sz w:val="24"/>
        </w:rPr>
        <w:t>一</w:t>
      </w:r>
      <w:r>
        <w:rPr>
          <w:rFonts w:hint="eastAsia" w:ascii="仿宋" w:hAnsi="仿宋" w:eastAsia="仿宋" w:cs="仿宋"/>
          <w:sz w:val="24"/>
          <w:lang w:val="en-GB"/>
        </w:rPr>
        <w:t>方，或者受控于</w:t>
      </w:r>
      <w:r>
        <w:rPr>
          <w:rFonts w:hint="eastAsia" w:ascii="仿宋" w:hAnsi="仿宋" w:eastAsia="仿宋" w:cs="仿宋"/>
          <w:sz w:val="24"/>
        </w:rPr>
        <w:t>该</w:t>
      </w:r>
      <w:r>
        <w:rPr>
          <w:rFonts w:hint="eastAsia" w:ascii="仿宋" w:hAnsi="仿宋" w:eastAsia="仿宋" w:cs="仿宋"/>
          <w:sz w:val="24"/>
          <w:lang w:val="en-GB"/>
        </w:rPr>
        <w:t>方，或者与</w:t>
      </w:r>
      <w:r>
        <w:rPr>
          <w:rFonts w:hint="eastAsia" w:ascii="仿宋" w:hAnsi="仿宋" w:eastAsia="仿宋" w:cs="仿宋"/>
          <w:sz w:val="24"/>
        </w:rPr>
        <w:t>该</w:t>
      </w:r>
      <w:r>
        <w:rPr>
          <w:rFonts w:hint="eastAsia" w:ascii="仿宋" w:hAnsi="仿宋" w:eastAsia="仿宋" w:cs="仿宋"/>
          <w:sz w:val="24"/>
          <w:lang w:val="en-GB"/>
        </w:rPr>
        <w:t>方共同处于控制之下的任何</w:t>
      </w:r>
      <w:r>
        <w:rPr>
          <w:rFonts w:hint="eastAsia" w:ascii="仿宋" w:hAnsi="仿宋" w:eastAsia="仿宋" w:cs="仿宋"/>
          <w:sz w:val="24"/>
        </w:rPr>
        <w:t>第三方。</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第二条 保密信息的提供</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1、本协议所述之保密信息均由协议双方为洽谈合作事项之目的而提供。</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2、保密信息的所有权及知识产权归属于甲方或甲方具有合法来源。</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3、本协议任何条款均不视为将保密信息的所有权和其他权利转让给乙方。</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第三条 保密义务</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1、乙方仅能将甲方提供的保密信息用于本协议所约定的项目并承担保密义务。</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 xml:space="preserve">6、乙方应遵从甲方不时发出的有关使用、处理和保管保密信息的任何指令或政策，并按照甲方的要求将本协议项下保密信息的使用情况向甲方汇报。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7、乙方不得为第三方利益使用保密信息，不得非为实现双方合作目的使用保密信息，不得对保密信息采取任何反向工程、反向编译或反向分解等行为。</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8、双方合作期间形成的与本协议有关的任何信息和数据受本协议约束。</w:t>
      </w:r>
    </w:p>
    <w:p>
      <w:pPr>
        <w:keepNext w:val="0"/>
        <w:keepLines w:val="0"/>
        <w:pageBreakBefore w:val="0"/>
        <w:widowControl w:val="0"/>
        <w:tabs>
          <w:tab w:val="left" w:pos="567"/>
        </w:tabs>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lang w:val="en-GB"/>
        </w:rPr>
        <w:t>在本协议签订后，</w:t>
      </w:r>
      <w:r>
        <w:rPr>
          <w:rFonts w:hint="eastAsia" w:ascii="仿宋" w:hAnsi="仿宋" w:eastAsia="仿宋" w:cs="仿宋"/>
          <w:sz w:val="24"/>
        </w:rPr>
        <w:t>甲方仅将保密信息向乙</w:t>
      </w:r>
      <w:r>
        <w:rPr>
          <w:rFonts w:hint="eastAsia" w:ascii="仿宋" w:hAnsi="仿宋" w:eastAsia="仿宋" w:cs="仿宋"/>
          <w:sz w:val="24"/>
          <w:lang w:val="en-GB"/>
        </w:rPr>
        <w:t>方</w:t>
      </w:r>
      <w:r>
        <w:rPr>
          <w:rFonts w:hint="eastAsia" w:ascii="仿宋" w:hAnsi="仿宋" w:eastAsia="仿宋" w:cs="仿宋"/>
          <w:sz w:val="24"/>
        </w:rPr>
        <w:t>指定联系人：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进行披露，如乙方联系人发生变更，应立即书面通知甲方并做出新的授权。</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第四条 保密义务的例外</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lang w:val="en-GB"/>
        </w:rPr>
      </w:pPr>
      <w:r>
        <w:rPr>
          <w:rFonts w:hint="eastAsia" w:ascii="仿宋" w:hAnsi="仿宋" w:eastAsia="仿宋" w:cs="仿宋"/>
          <w:sz w:val="24"/>
        </w:rPr>
        <w:t>1、</w:t>
      </w:r>
      <w:r>
        <w:rPr>
          <w:rFonts w:hint="eastAsia" w:ascii="仿宋" w:hAnsi="仿宋" w:eastAsia="仿宋" w:cs="仿宋"/>
          <w:sz w:val="24"/>
          <w:lang w:val="en-GB"/>
        </w:rPr>
        <w:t>根据有关法律或有管辖权的法院、仲裁机构、交易所或政府机构</w:t>
      </w:r>
      <w:r>
        <w:rPr>
          <w:rFonts w:hint="eastAsia" w:ascii="仿宋" w:hAnsi="仿宋" w:eastAsia="仿宋" w:cs="仿宋"/>
          <w:sz w:val="24"/>
        </w:rPr>
        <w:t>的</w:t>
      </w:r>
      <w:r>
        <w:rPr>
          <w:rFonts w:hint="eastAsia" w:ascii="仿宋" w:hAnsi="仿宋" w:eastAsia="仿宋" w:cs="仿宋"/>
          <w:sz w:val="24"/>
          <w:lang w:val="en-GB"/>
        </w:rPr>
        <w:t>要求而披露保密信息。</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2、事先取得甲方书面同意而公开的信息。</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披露该等保密信息之前，乙方应当立即通知甲方，并提供有关该等命令的通知，协同甲方采取有效措施防范风险。</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第五条 保密信息的返还</w:t>
      </w:r>
    </w:p>
    <w:p>
      <w:pPr>
        <w:keepNext w:val="0"/>
        <w:keepLines w:val="0"/>
        <w:pageBreakBefore w:val="0"/>
        <w:widowControl w:val="0"/>
        <w:tabs>
          <w:tab w:val="left" w:pos="990"/>
        </w:tabs>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根据甲方要求或乙方违约时</w:t>
      </w:r>
      <w:r>
        <w:rPr>
          <w:rFonts w:hint="eastAsia" w:ascii="仿宋" w:hAnsi="仿宋" w:eastAsia="仿宋" w:cs="仿宋"/>
          <w:sz w:val="24"/>
          <w:lang w:val="en-GB"/>
        </w:rPr>
        <w:t>，</w:t>
      </w:r>
      <w:r>
        <w:rPr>
          <w:rFonts w:hint="eastAsia" w:ascii="仿宋" w:hAnsi="仿宋" w:eastAsia="仿宋" w:cs="仿宋"/>
          <w:sz w:val="24"/>
        </w:rPr>
        <w:t>乙方应</w:t>
      </w:r>
      <w:r>
        <w:rPr>
          <w:rFonts w:hint="eastAsia" w:ascii="仿宋" w:hAnsi="仿宋" w:eastAsia="仿宋" w:cs="仿宋"/>
          <w:sz w:val="24"/>
          <w:lang w:val="en-GB"/>
        </w:rPr>
        <w:t>立即</w:t>
      </w:r>
      <w:r>
        <w:rPr>
          <w:rFonts w:hint="eastAsia" w:ascii="仿宋" w:hAnsi="仿宋" w:eastAsia="仿宋" w:cs="仿宋"/>
          <w:sz w:val="24"/>
        </w:rPr>
        <w:t>在甲方要求的时间内</w:t>
      </w:r>
      <w:r>
        <w:rPr>
          <w:rFonts w:hint="eastAsia" w:ascii="仿宋" w:hAnsi="仿宋" w:eastAsia="仿宋" w:cs="仿宋"/>
          <w:sz w:val="24"/>
          <w:lang w:val="en-GB"/>
        </w:rPr>
        <w:t>向甲方返还所有保密信息并不得保存副本，</w:t>
      </w:r>
      <w:r>
        <w:rPr>
          <w:rFonts w:hint="eastAsia" w:ascii="仿宋" w:hAnsi="仿宋" w:eastAsia="仿宋" w:cs="仿宋"/>
          <w:sz w:val="24"/>
        </w:rPr>
        <w:t>包括但不限于储存于</w:t>
      </w:r>
      <w:r>
        <w:rPr>
          <w:rFonts w:hint="eastAsia" w:ascii="仿宋" w:hAnsi="仿宋" w:eastAsia="仿宋" w:cs="仿宋"/>
          <w:sz w:val="24"/>
          <w:lang w:val="en-GB"/>
        </w:rPr>
        <w:t>计算机磁盘、CD-ROM驱动、CD-ROM、硬盘、软件或任何纸质媒介的材料</w:t>
      </w:r>
      <w:r>
        <w:rPr>
          <w:rFonts w:hint="eastAsia" w:ascii="仿宋" w:hAnsi="仿宋" w:eastAsia="仿宋" w:cs="仿宋"/>
          <w:sz w:val="24"/>
        </w:rPr>
        <w:t>及其</w:t>
      </w:r>
      <w:r>
        <w:rPr>
          <w:rFonts w:hint="eastAsia" w:ascii="仿宋" w:hAnsi="仿宋" w:eastAsia="仿宋" w:cs="仿宋"/>
          <w:sz w:val="24"/>
          <w:lang w:val="en-GB"/>
        </w:rPr>
        <w:t>备份。</w:t>
      </w:r>
      <w:r>
        <w:rPr>
          <w:rFonts w:hint="eastAsia" w:ascii="仿宋" w:hAnsi="仿宋" w:eastAsia="仿宋" w:cs="仿宋"/>
          <w:sz w:val="24"/>
        </w:rPr>
        <w:t>因</w:t>
      </w:r>
      <w:r>
        <w:rPr>
          <w:rFonts w:hint="eastAsia" w:ascii="仿宋" w:hAnsi="仿宋" w:eastAsia="仿宋" w:cs="仿宋"/>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 w:hAnsi="仿宋" w:eastAsia="仿宋" w:cs="仿宋"/>
          <w:sz w:val="24"/>
        </w:rPr>
        <w:t>同时乙方应</w:t>
      </w:r>
      <w:r>
        <w:rPr>
          <w:rFonts w:hint="eastAsia" w:ascii="仿宋" w:hAnsi="仿宋" w:eastAsia="仿宋" w:cs="仿宋"/>
          <w:sz w:val="24"/>
          <w:lang w:val="en-GB"/>
        </w:rPr>
        <w:t>向</w:t>
      </w:r>
      <w:r>
        <w:rPr>
          <w:rFonts w:hint="eastAsia" w:ascii="仿宋" w:hAnsi="仿宋" w:eastAsia="仿宋" w:cs="仿宋"/>
          <w:sz w:val="24"/>
        </w:rPr>
        <w:t>甲</w:t>
      </w:r>
      <w:r>
        <w:rPr>
          <w:rFonts w:hint="eastAsia" w:ascii="仿宋" w:hAnsi="仿宋" w:eastAsia="仿宋" w:cs="仿宋"/>
          <w:sz w:val="24"/>
          <w:lang w:val="en-GB"/>
        </w:rPr>
        <w:t>方出具已经归还或销毁</w:t>
      </w:r>
      <w:r>
        <w:rPr>
          <w:rFonts w:hint="eastAsia" w:ascii="仿宋" w:hAnsi="仿宋" w:eastAsia="仿宋" w:cs="仿宋"/>
          <w:sz w:val="24"/>
        </w:rPr>
        <w:t>全部</w:t>
      </w:r>
      <w:r>
        <w:rPr>
          <w:rFonts w:hint="eastAsia" w:ascii="仿宋" w:hAnsi="仿宋" w:eastAsia="仿宋" w:cs="仿宋"/>
          <w:sz w:val="24"/>
          <w:lang w:val="en-GB"/>
        </w:rPr>
        <w:t>材料的书面</w:t>
      </w:r>
      <w:r>
        <w:rPr>
          <w:rFonts w:hint="eastAsia" w:ascii="仿宋" w:hAnsi="仿宋" w:eastAsia="仿宋" w:cs="仿宋"/>
          <w:sz w:val="24"/>
        </w:rPr>
        <w:t>承诺。</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第六条 保密期限</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除本协议双方另有约定外，本协议的保密期限自甲方提供保密信息之日起至本协议所述保密信息向公众披露或为公众所知悉之日止。</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第七条 违约责任</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3、在各种情况下，双方一致认为甲方的损失均应被视为最少不低于</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5</w:t>
      </w:r>
      <w:r>
        <w:rPr>
          <w:rFonts w:hint="eastAsia" w:ascii="仿宋" w:hAnsi="仿宋" w:eastAsia="仿宋" w:cs="仿宋"/>
          <w:sz w:val="24"/>
          <w:u w:val="single"/>
        </w:rPr>
        <w:t xml:space="preserve">  </w:t>
      </w:r>
      <w:r>
        <w:rPr>
          <w:rFonts w:hint="eastAsia" w:ascii="仿宋" w:hAnsi="仿宋" w:eastAsia="仿宋" w:cs="仿宋"/>
          <w:sz w:val="24"/>
        </w:rPr>
        <w:t xml:space="preserve">万元。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第八条 适用法律及争议的解决</w:t>
      </w:r>
    </w:p>
    <w:p>
      <w:pPr>
        <w:keepNext w:val="0"/>
        <w:keepLines w:val="0"/>
        <w:pageBreakBefore w:val="0"/>
        <w:widowControl w:val="0"/>
        <w:tabs>
          <w:tab w:val="left" w:pos="567"/>
        </w:tabs>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lang w:val="en-GB"/>
        </w:rPr>
      </w:pPr>
      <w:r>
        <w:rPr>
          <w:rFonts w:hint="eastAsia" w:ascii="仿宋" w:hAnsi="仿宋" w:eastAsia="仿宋" w:cs="仿宋"/>
          <w:sz w:val="24"/>
          <w:lang w:val="en-GB"/>
        </w:rPr>
        <w:t>本协议受中国现行</w:t>
      </w:r>
      <w:r>
        <w:rPr>
          <w:rFonts w:hint="eastAsia" w:ascii="仿宋" w:hAnsi="仿宋" w:eastAsia="仿宋" w:cs="仿宋"/>
          <w:sz w:val="24"/>
        </w:rPr>
        <w:t>有效的法律</w:t>
      </w:r>
      <w:r>
        <w:rPr>
          <w:rFonts w:hint="eastAsia" w:ascii="仿宋" w:hAnsi="仿宋" w:eastAsia="仿宋" w:cs="仿宋"/>
          <w:sz w:val="24"/>
          <w:lang w:val="en-GB"/>
        </w:rPr>
        <w:t>管辖，因本协议引起的或与本协议有关的任何争议，应由双方先行协商解决，协商不成的，由甲方所在地法院诉讼解决。</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bCs/>
          <w:sz w:val="24"/>
        </w:rPr>
      </w:pPr>
      <w:r>
        <w:rPr>
          <w:rFonts w:hint="eastAsia" w:ascii="仿宋" w:hAnsi="仿宋" w:eastAsia="仿宋" w:cs="仿宋"/>
          <w:bCs/>
          <w:sz w:val="24"/>
        </w:rPr>
        <w:t xml:space="preserve">第九条 继续有效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如果本协议有任何条款或部分因任何原因被判定为无效或不可执行，本协议其他条款不应受到影响，在法律允许的范围内继续具有完全效力。</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bCs/>
          <w:sz w:val="24"/>
        </w:rPr>
        <w:t>第十条 协议生效</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 xml:space="preserve">1、协议双方同意，本协议于双方签署之日起生效。但是如果本协议签订前存在甲方向乙方提供保密信息的，也适用本协议。 </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2、协议双方对本协议内容的修改或补充，应采用书面形式订立补充协议，补充协议经双方签署生效，成为本协议的有效组成部份、与本协议具有同等法律效力。</w:t>
      </w:r>
    </w:p>
    <w:p>
      <w:pPr>
        <w:keepNext w:val="0"/>
        <w:keepLines w:val="0"/>
        <w:pageBreakBefore w:val="0"/>
        <w:widowControl w:val="0"/>
        <w:kinsoku/>
        <w:wordWrap/>
        <w:overflowPunct/>
        <w:topLinePunct w:val="0"/>
        <w:autoSpaceDE/>
        <w:autoSpaceDN/>
        <w:bidi w:val="0"/>
        <w:adjustRightInd/>
        <w:spacing w:line="336" w:lineRule="auto"/>
        <w:ind w:firstLine="480" w:firstLineChars="200"/>
        <w:textAlignment w:val="auto"/>
        <w:rPr>
          <w:rFonts w:hint="eastAsia" w:ascii="仿宋" w:hAnsi="仿宋" w:eastAsia="仿宋" w:cs="仿宋"/>
          <w:sz w:val="24"/>
        </w:rPr>
      </w:pPr>
      <w:r>
        <w:rPr>
          <w:rFonts w:hint="eastAsia" w:ascii="仿宋" w:hAnsi="仿宋" w:eastAsia="仿宋" w:cs="仿宋"/>
          <w:sz w:val="24"/>
        </w:rPr>
        <w:t>3、本协议作为施工工程合同的附件，与施工工程合同具有同等法律效力。</w:t>
      </w:r>
    </w:p>
    <w:p>
      <w:pPr>
        <w:pStyle w:val="52"/>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甲方（盖章）：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乙方（盖章）：</w:t>
      </w:r>
    </w:p>
    <w:p>
      <w:pPr>
        <w:pStyle w:val="52"/>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b w:val="0"/>
          <w:bCs w:val="0"/>
          <w:sz w:val="24"/>
          <w:szCs w:val="24"/>
        </w:rPr>
      </w:pPr>
    </w:p>
    <w:p>
      <w:pPr>
        <w:pStyle w:val="52"/>
        <w:keepNext w:val="0"/>
        <w:keepLines w:val="0"/>
        <w:pageBreakBefore w:val="0"/>
        <w:widowControl w:val="0"/>
        <w:kinsoku/>
        <w:wordWrap/>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授权</w:t>
      </w:r>
      <w:r>
        <w:rPr>
          <w:rFonts w:hint="eastAsia" w:ascii="仿宋" w:hAnsi="仿宋" w:eastAsia="仿宋" w:cs="仿宋"/>
          <w:b w:val="0"/>
          <w:bCs w:val="0"/>
          <w:sz w:val="24"/>
          <w:szCs w:val="24"/>
        </w:rPr>
        <w:t xml:space="preserve">代表（签字）：       </w:t>
      </w:r>
      <w:r>
        <w:rPr>
          <w:rFonts w:hint="eastAsia" w:ascii="仿宋" w:hAnsi="仿宋" w:eastAsia="仿宋" w:cs="仿宋"/>
          <w:b w:val="0"/>
          <w:bCs w:val="0"/>
          <w:sz w:val="24"/>
          <w:szCs w:val="24"/>
          <w:lang w:val="en-US" w:eastAsia="zh-CN"/>
        </w:rPr>
        <w:t xml:space="preserve">       </w:t>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lang w:eastAsia="zh-CN"/>
        </w:rPr>
        <w:t>授权</w:t>
      </w:r>
      <w:r>
        <w:rPr>
          <w:rFonts w:hint="eastAsia" w:ascii="仿宋" w:hAnsi="仿宋" w:eastAsia="仿宋" w:cs="仿宋"/>
          <w:b w:val="0"/>
          <w:bCs w:val="0"/>
          <w:sz w:val="24"/>
          <w:szCs w:val="24"/>
        </w:rPr>
        <w:t>代表（签字）：</w:t>
      </w:r>
    </w:p>
    <w:p>
      <w:pPr>
        <w:spacing w:line="360" w:lineRule="auto"/>
        <w:ind w:firstLine="480" w:firstLineChars="200"/>
        <w:rPr>
          <w:rFonts w:hint="eastAsia" w:ascii="仿宋" w:hAnsi="仿宋" w:eastAsia="仿宋" w:cs="仿宋"/>
          <w:sz w:val="24"/>
        </w:rPr>
      </w:pPr>
    </w:p>
    <w:p>
      <w:pPr>
        <w:rPr>
          <w:rFonts w:hint="eastAsia" w:ascii="宋体" w:hAnsi="宋体"/>
          <w:i w:val="0"/>
          <w:iCs w:val="0"/>
        </w:rPr>
      </w:pPr>
      <w:r>
        <w:rPr>
          <w:rFonts w:hint="eastAsia" w:ascii="宋体" w:hAnsi="宋体"/>
          <w:i w:val="0"/>
          <w:iCs w:val="0"/>
        </w:rPr>
        <w:br w:type="page"/>
      </w:r>
    </w:p>
    <w:p>
      <w:pPr>
        <w:pStyle w:val="3"/>
        <w:spacing w:before="0" w:after="0" w:line="360" w:lineRule="auto"/>
        <w:jc w:val="center"/>
        <w:rPr>
          <w:rFonts w:ascii="宋体" w:hAnsi="宋体"/>
          <w:i w:val="0"/>
          <w:iCs w:val="0"/>
        </w:rPr>
      </w:pPr>
      <w:r>
        <w:rPr>
          <w:rFonts w:hint="eastAsia" w:ascii="宋体" w:hAnsi="宋体"/>
          <w:i w:val="0"/>
          <w:iCs w:val="0"/>
        </w:rPr>
        <w:t xml:space="preserve">第五章 </w:t>
      </w:r>
      <w:bookmarkEnd w:id="108"/>
      <w:bookmarkEnd w:id="109"/>
      <w:r>
        <w:rPr>
          <w:rFonts w:hint="eastAsia" w:ascii="宋体" w:hAnsi="宋体"/>
          <w:i w:val="0"/>
          <w:iCs w:val="0"/>
        </w:rPr>
        <w:t>投标报价要求</w:t>
      </w:r>
      <w:bookmarkEnd w:id="110"/>
      <w:bookmarkEnd w:id="111"/>
      <w:bookmarkEnd w:id="112"/>
      <w:bookmarkEnd w:id="113"/>
      <w:bookmarkEnd w:id="114"/>
      <w:bookmarkEnd w:id="115"/>
      <w:bookmarkEnd w:id="116"/>
      <w:bookmarkEnd w:id="117"/>
      <w:bookmarkEnd w:id="118"/>
      <w:bookmarkEnd w:id="119"/>
      <w:bookmarkEnd w:id="120"/>
    </w:p>
    <w:bookmarkEnd w:id="121"/>
    <w:p>
      <w:pPr>
        <w:pStyle w:val="3"/>
        <w:spacing w:line="440" w:lineRule="exact"/>
        <w:rPr>
          <w:rFonts w:ascii="宋体" w:hAnsi="宋体" w:cs="TimesNewRomanPSMT"/>
          <w:bCs w:val="0"/>
          <w:i w:val="0"/>
          <w:iCs w:val="0"/>
          <w:sz w:val="24"/>
          <w:szCs w:val="24"/>
        </w:rPr>
      </w:pPr>
      <w:bookmarkStart w:id="144" w:name="_Toc10292"/>
      <w:bookmarkStart w:id="145" w:name="_Toc29049"/>
      <w:bookmarkStart w:id="146" w:name="_Toc13861"/>
      <w:bookmarkStart w:id="147" w:name="_Toc13478"/>
      <w:bookmarkStart w:id="148" w:name="_Toc15712"/>
      <w:bookmarkStart w:id="149" w:name="_Toc12962"/>
      <w:bookmarkStart w:id="150" w:name="_Toc16179"/>
      <w:bookmarkStart w:id="151" w:name="_Toc32090"/>
      <w:bookmarkStart w:id="152" w:name="_Toc30645"/>
      <w:bookmarkStart w:id="153" w:name="_Toc31115"/>
      <w:bookmarkStart w:id="154" w:name="_Toc13043"/>
      <w:bookmarkStart w:id="155" w:name="_Toc294124225"/>
      <w:bookmarkStart w:id="156" w:name="_Toc246997085"/>
      <w:bookmarkStart w:id="157" w:name="_Toc446768885"/>
      <w:bookmarkStart w:id="158" w:name="_Toc460268094"/>
      <w:bookmarkStart w:id="159" w:name="_Toc152042556"/>
      <w:bookmarkStart w:id="160" w:name="_Toc483482271"/>
      <w:bookmarkStart w:id="161" w:name="_Toc179632791"/>
      <w:bookmarkStart w:id="162" w:name="_Toc247085857"/>
      <w:bookmarkStart w:id="163" w:name="_Toc485293292"/>
      <w:bookmarkStart w:id="164" w:name="_Toc152045774"/>
      <w:bookmarkStart w:id="165" w:name="_Toc246996342"/>
      <w:bookmarkStart w:id="166" w:name="_Toc144974836"/>
      <w:r>
        <w:rPr>
          <w:rFonts w:hint="eastAsia" w:ascii="宋体" w:hAnsi="宋体" w:cs="TimesNewRomanPSMT"/>
          <w:bCs w:val="0"/>
          <w:i w:val="0"/>
          <w:iCs w:val="0"/>
          <w:sz w:val="24"/>
          <w:szCs w:val="24"/>
        </w:rPr>
        <w:t>1 工程量清单部分</w:t>
      </w:r>
      <w:bookmarkEnd w:id="144"/>
      <w:bookmarkEnd w:id="145"/>
      <w:bookmarkEnd w:id="146"/>
      <w:bookmarkEnd w:id="147"/>
      <w:bookmarkEnd w:id="148"/>
      <w:bookmarkEnd w:id="149"/>
      <w:bookmarkEnd w:id="150"/>
      <w:bookmarkEnd w:id="151"/>
      <w:bookmarkEnd w:id="152"/>
      <w:bookmarkEnd w:id="153"/>
      <w:bookmarkEnd w:id="154"/>
    </w:p>
    <w:p>
      <w:pPr>
        <w:spacing w:after="120" w:line="360" w:lineRule="auto"/>
        <w:ind w:firstLine="422" w:firstLineChars="200"/>
        <w:rPr>
          <w:b/>
          <w:bCs/>
        </w:rPr>
      </w:pPr>
      <w:r>
        <w:rPr>
          <w:rFonts w:hint="eastAsia"/>
          <w:b/>
          <w:bCs/>
        </w:rPr>
        <w:t>1.1工程量清单说明</w:t>
      </w:r>
    </w:p>
    <w:p>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pPr>
        <w:pStyle w:val="9"/>
      </w:pPr>
    </w:p>
    <w:p>
      <w:pPr>
        <w:spacing w:after="120" w:line="360" w:lineRule="auto"/>
        <w:ind w:firstLine="422" w:firstLineChars="200"/>
        <w:rPr>
          <w:b/>
          <w:bCs/>
        </w:rPr>
      </w:pPr>
      <w:bookmarkStart w:id="167" w:name="_Toc483482272"/>
      <w:r>
        <w:rPr>
          <w:rFonts w:hint="eastAsia"/>
          <w:b/>
          <w:bCs/>
        </w:rPr>
        <w:t>1.2投标报价说明</w:t>
      </w:r>
      <w:bookmarkEnd w:id="167"/>
    </w:p>
    <w:p>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pPr>
        <w:numPr>
          <w:ilvl w:val="0"/>
          <w:numId w:val="12"/>
        </w:numPr>
        <w:snapToGrid w:val="0"/>
        <w:spacing w:line="440" w:lineRule="exact"/>
        <w:ind w:firstLine="525" w:firstLineChars="250"/>
        <w:rPr>
          <w:rFonts w:ascii="宋体" w:hAnsi="宋体"/>
          <w:szCs w:val="21"/>
        </w:rPr>
      </w:pPr>
      <w:r>
        <w:rPr>
          <w:rFonts w:hint="eastAsia" w:ascii="宋体" w:hAnsi="宋体"/>
          <w:szCs w:val="21"/>
        </w:rPr>
        <w:t>本招标文件；</w:t>
      </w:r>
    </w:p>
    <w:p>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pPr>
        <w:snapToGrid w:val="0"/>
        <w:spacing w:line="440" w:lineRule="exact"/>
        <w:ind w:firstLine="525" w:firstLineChars="250"/>
        <w:rPr>
          <w:rFonts w:ascii="宋体" w:hAnsi="宋体"/>
          <w:szCs w:val="21"/>
        </w:rPr>
      </w:pPr>
      <w:r>
        <w:rPr>
          <w:rFonts w:hint="eastAsia" w:ascii="宋体" w:hAnsi="宋体"/>
          <w:szCs w:val="21"/>
        </w:rPr>
        <w:t>(7)济南市现行有关规定。</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pPr>
        <w:snapToGrid w:val="0"/>
        <w:spacing w:line="440" w:lineRule="exact"/>
        <w:ind w:firstLine="527" w:firstLineChars="250"/>
        <w:rPr>
          <w:rFonts w:ascii="宋体" w:hAnsi="宋体"/>
          <w:b/>
          <w:bCs/>
          <w:szCs w:val="21"/>
        </w:rPr>
      </w:pPr>
      <w:bookmarkStart w:id="168" w:name="_Toc483482273"/>
      <w:bookmarkStart w:id="169" w:name="_Toc32311"/>
      <w:bookmarkStart w:id="170" w:name="_Toc2530"/>
      <w:r>
        <w:rPr>
          <w:rFonts w:hint="eastAsia" w:ascii="宋体" w:hAnsi="宋体"/>
          <w:b/>
          <w:bCs/>
          <w:szCs w:val="21"/>
        </w:rPr>
        <w:t>1.2.2投标人报价须知</w:t>
      </w:r>
      <w:bookmarkEnd w:id="168"/>
    </w:p>
    <w:p>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pPr>
        <w:snapToGrid w:val="0"/>
        <w:spacing w:line="440" w:lineRule="exact"/>
        <w:ind w:firstLine="525" w:firstLineChars="250"/>
        <w:rPr>
          <w:rFonts w:ascii="宋体" w:hAnsi="宋体"/>
          <w:szCs w:val="21"/>
        </w:rPr>
      </w:pPr>
      <w:r>
        <w:rPr>
          <w:rFonts w:hint="eastAsia" w:ascii="宋体" w:hAnsi="宋体"/>
          <w:szCs w:val="21"/>
        </w:rPr>
        <w:t>（6）工程质量：合格标准。</w:t>
      </w:r>
    </w:p>
    <w:p>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pPr>
        <w:snapToGrid w:val="0"/>
        <w:spacing w:line="440" w:lineRule="exact"/>
        <w:ind w:firstLine="527" w:firstLineChars="250"/>
        <w:rPr>
          <w:rFonts w:ascii="宋体" w:hAnsi="宋体"/>
          <w:b/>
          <w:bCs/>
          <w:szCs w:val="21"/>
        </w:rPr>
      </w:pPr>
      <w:bookmarkStart w:id="171" w:name="_Toc483482274"/>
      <w:r>
        <w:rPr>
          <w:rFonts w:hint="eastAsia" w:ascii="宋体" w:hAnsi="宋体"/>
          <w:b/>
          <w:bCs/>
          <w:szCs w:val="21"/>
        </w:rPr>
        <w:t>1.2.3投标报价的一般规定（报价要求包括但不限于）：</w:t>
      </w:r>
      <w:bookmarkEnd w:id="171"/>
    </w:p>
    <w:p>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pPr>
        <w:snapToGrid w:val="0"/>
        <w:spacing w:line="440" w:lineRule="exact"/>
        <w:ind w:firstLine="525" w:firstLineChars="250"/>
        <w:rPr>
          <w:rFonts w:ascii="宋体" w:hAnsi="宋体"/>
          <w:b/>
          <w:bCs/>
          <w:color w:val="FF0000"/>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pPr>
        <w:snapToGrid w:val="0"/>
        <w:spacing w:line="440" w:lineRule="exact"/>
        <w:ind w:firstLine="525" w:firstLineChars="250"/>
        <w:rPr>
          <w:rFonts w:ascii="宋体" w:hAnsi="宋体"/>
          <w:i/>
          <w:iCs/>
          <w:szCs w:val="21"/>
          <w:u w:val="single"/>
        </w:rPr>
      </w:pPr>
      <w:r>
        <w:rPr>
          <w:rFonts w:hint="eastAsia" w:ascii="宋体" w:hAnsi="宋体"/>
          <w:szCs w:val="21"/>
        </w:rPr>
        <w:t>（4）投标人所报综合单价在合同有效期内，不随</w:t>
      </w:r>
      <w:r>
        <w:rPr>
          <w:rFonts w:hint="eastAsia" w:ascii="宋体" w:hAnsi="宋体"/>
          <w:i/>
          <w:iCs/>
          <w:szCs w:val="21"/>
          <w:u w:val="single"/>
        </w:rPr>
        <w:t>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i/>
          <w:iCs/>
          <w:szCs w:val="21"/>
          <w:u w:val="single"/>
        </w:rPr>
        <w:t>、</w:t>
      </w:r>
      <w:r>
        <w:rPr>
          <w:rFonts w:hint="eastAsia" w:ascii="宋体" w:hAnsi="宋体"/>
          <w:szCs w:val="21"/>
        </w:rPr>
        <w:t>或其他政策性因素等情况为由，要求招标人调整合同单价。</w:t>
      </w:r>
    </w:p>
    <w:p>
      <w:pPr>
        <w:snapToGrid w:val="0"/>
        <w:spacing w:line="440" w:lineRule="exact"/>
        <w:ind w:firstLine="525" w:firstLineChars="250"/>
        <w:rPr>
          <w:rFonts w:ascii="宋体" w:hAnsi="宋体"/>
          <w:i/>
          <w:iCs/>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r>
        <w:rPr>
          <w:rFonts w:hint="eastAsia" w:ascii="宋体" w:hAnsi="宋体"/>
          <w:i/>
          <w:iCs/>
          <w:szCs w:val="21"/>
          <w:u w:val="single"/>
        </w:rPr>
        <w:t>投标单位所报材料设备的品牌、质量等级等作为评分的一部分。</w:t>
      </w:r>
    </w:p>
    <w:p>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pPr>
        <w:snapToGrid w:val="0"/>
        <w:spacing w:line="440" w:lineRule="exact"/>
        <w:ind w:firstLine="527" w:firstLineChars="250"/>
        <w:rPr>
          <w:rFonts w:ascii="宋体" w:hAnsi="宋体"/>
          <w:b/>
          <w:bCs/>
          <w:szCs w:val="21"/>
        </w:rPr>
      </w:pPr>
      <w:bookmarkStart w:id="172" w:name="_Toc483482275"/>
      <w:r>
        <w:rPr>
          <w:rFonts w:hint="eastAsia" w:ascii="宋体" w:hAnsi="宋体"/>
          <w:b/>
          <w:bCs/>
          <w:szCs w:val="21"/>
        </w:rPr>
        <w:t>1.2.4工程量清单报价格式：（详见最终发出的工程量清单及报价格式）</w:t>
      </w:r>
      <w:bookmarkEnd w:id="172"/>
    </w:p>
    <w:p>
      <w:pPr>
        <w:snapToGrid w:val="0"/>
        <w:spacing w:line="440" w:lineRule="exact"/>
        <w:ind w:firstLine="527" w:firstLineChars="250"/>
        <w:rPr>
          <w:rFonts w:ascii="宋体" w:hAnsi="宋体"/>
          <w:b/>
          <w:bCs/>
          <w:szCs w:val="21"/>
        </w:rPr>
      </w:pPr>
      <w:bookmarkStart w:id="173" w:name="_Toc483482276"/>
      <w:r>
        <w:rPr>
          <w:rFonts w:hint="eastAsia" w:ascii="宋体" w:hAnsi="宋体"/>
          <w:b/>
          <w:bCs/>
          <w:szCs w:val="21"/>
        </w:rPr>
        <w:t>1.2.5工程量清单报价须知：</w:t>
      </w:r>
      <w:bookmarkEnd w:id="173"/>
    </w:p>
    <w:p>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w:t>
      </w:r>
      <w:r>
        <w:rPr>
          <w:rFonts w:hint="eastAsia" w:ascii="宋体" w:hAnsi="宋体" w:cs="TimesNewRomanPSMT"/>
          <w:b/>
          <w:szCs w:val="21"/>
          <w:u w:val="single"/>
        </w:rPr>
        <w:sym w:font="Wingdings 2" w:char="0052"/>
      </w:r>
      <w:r>
        <w:rPr>
          <w:rFonts w:hint="eastAsia" w:ascii="宋体" w:hAnsi="宋体" w:cs="TimesNewRomanPSMT"/>
          <w:b/>
          <w:szCs w:val="21"/>
          <w:u w:val="single"/>
        </w:rPr>
        <w:t>本项目无暂估价材料。</w:t>
      </w:r>
    </w:p>
    <w:p>
      <w:pPr>
        <w:snapToGrid w:val="0"/>
        <w:spacing w:line="440" w:lineRule="exact"/>
        <w:ind w:firstLine="422" w:firstLineChars="200"/>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pPr>
        <w:tabs>
          <w:tab w:val="left" w:pos="2310"/>
        </w:tabs>
        <w:spacing w:line="440" w:lineRule="exact"/>
        <w:ind w:left="1" w:firstLine="422" w:firstLineChars="200"/>
        <w:rPr>
          <w:rFonts w:ascii="宋体" w:hAnsi="宋体" w:cs="TimesNewRomanPSMT"/>
          <w:b/>
          <w:szCs w:val="21"/>
          <w:u w:val="single"/>
        </w:rPr>
      </w:pPr>
      <w:r>
        <w:rPr>
          <w:rFonts w:hint="eastAsia" w:ascii="宋体" w:hAnsi="宋体" w:cs="TimesNewRomanPSMT"/>
          <w:b/>
          <w:szCs w:val="21"/>
        </w:rPr>
        <w:t>5）</w:t>
      </w:r>
      <w:r>
        <w:rPr>
          <w:rFonts w:hint="eastAsia" w:ascii="宋体" w:hAnsi="宋体" w:cs="TimesNewRomanPSMT"/>
          <w:bCs/>
          <w:szCs w:val="21"/>
        </w:rPr>
        <w:t>暂列金额是用于施工合同签订时尚未确定或者不可预见的所需材料、工程设备、服务的采购，施工中可能发生的工程变更、合同约定调整因素出现时的工程价款调整以及发生的索赔、现场签证等确认的费用</w:t>
      </w:r>
      <w:r>
        <w:rPr>
          <w:rFonts w:hint="eastAsia" w:ascii="宋体" w:hAnsi="宋体" w:cs="TimesNewRomanPSMT"/>
          <w:b/>
          <w:szCs w:val="21"/>
        </w:rPr>
        <w:t>。</w:t>
      </w:r>
      <w:r>
        <w:rPr>
          <w:rFonts w:hint="eastAsia" w:ascii="宋体" w:hAnsi="宋体" w:eastAsia="宋体" w:cs="TimesNewRomanPSMT"/>
          <w:b/>
          <w:szCs w:val="21"/>
          <w:highlight w:val="yellow"/>
          <w:u w:val="single"/>
          <w:lang w:val="en-US" w:eastAsia="zh-CN"/>
        </w:rPr>
        <w:t>本项目无</w:t>
      </w:r>
      <w:r>
        <w:rPr>
          <w:rFonts w:hint="eastAsia" w:ascii="宋体" w:hAnsi="宋体" w:eastAsia="宋体" w:cs="TimesNewRomanPSMT"/>
          <w:b/>
          <w:szCs w:val="21"/>
          <w:highlight w:val="yellow"/>
          <w:u w:val="single"/>
        </w:rPr>
        <w:t>暂</w:t>
      </w:r>
      <w:r>
        <w:rPr>
          <w:rFonts w:hint="eastAsia" w:ascii="宋体" w:hAnsi="宋体" w:cs="TimesNewRomanPSMT"/>
          <w:b/>
          <w:szCs w:val="21"/>
          <w:highlight w:val="yellow"/>
          <w:u w:val="single"/>
        </w:rPr>
        <w:t>列金额。</w:t>
      </w:r>
    </w:p>
    <w:p>
      <w:pPr>
        <w:snapToGrid w:val="0"/>
        <w:spacing w:line="440" w:lineRule="exact"/>
        <w:ind w:firstLine="420" w:firstLineChars="200"/>
        <w:rPr>
          <w:rFonts w:ascii="宋体" w:hAnsi="宋体" w:cs="TimesNewRomanPSMT"/>
          <w:b/>
          <w:szCs w:val="21"/>
        </w:rPr>
      </w:pPr>
      <w:r>
        <w:rPr>
          <w:rFonts w:hint="eastAsia" w:ascii="宋体" w:hAnsi="宋体"/>
          <w:bCs/>
          <w:szCs w:val="21"/>
          <w:highlight w:val="red"/>
        </w:rPr>
        <w:t>6）税金</w:t>
      </w:r>
      <w:r>
        <w:rPr>
          <w:rFonts w:hint="eastAsia" w:ascii="宋体" w:hAnsi="宋体"/>
          <w:bCs/>
          <w:highlight w:val="red"/>
        </w:rPr>
        <w:t>：本工程增值税税率为</w:t>
      </w:r>
      <w:r>
        <w:rPr>
          <w:rFonts w:hint="eastAsia" w:ascii="宋体" w:hAnsi="宋体"/>
          <w:bCs/>
          <w:highlight w:val="red"/>
          <w:u w:val="single"/>
          <w:lang w:val="en-US" w:eastAsia="zh-CN"/>
        </w:rPr>
        <w:t xml:space="preserve">   </w:t>
      </w:r>
      <w:r>
        <w:rPr>
          <w:rFonts w:hint="eastAsia" w:ascii="宋体" w:hAnsi="宋体"/>
          <w:bCs/>
          <w:highlight w:val="red"/>
          <w:u w:val="single"/>
        </w:rPr>
        <w:t xml:space="preserve"> </w:t>
      </w:r>
      <w:r>
        <w:rPr>
          <w:rFonts w:hint="eastAsia" w:ascii="宋体" w:hAnsi="宋体"/>
          <w:bCs/>
          <w:highlight w:val="red"/>
        </w:rPr>
        <w:t>%</w:t>
      </w:r>
      <w:r>
        <w:rPr>
          <w:rFonts w:hint="eastAsia" w:ascii="宋体" w:hAnsi="宋体"/>
          <w:bCs/>
          <w:szCs w:val="21"/>
          <w:highlight w:val="red"/>
        </w:rPr>
        <w:t>。</w:t>
      </w:r>
      <w:r>
        <w:rPr>
          <w:rFonts w:hint="eastAsia" w:ascii="宋体" w:hAnsi="宋体" w:cs="TimesNewRomanPSMT"/>
          <w:b/>
          <w:szCs w:val="21"/>
        </w:rPr>
        <w:t xml:space="preserve"> </w:t>
      </w:r>
    </w:p>
    <w:p>
      <w:pPr>
        <w:pStyle w:val="3"/>
        <w:spacing w:line="440" w:lineRule="exact"/>
        <w:rPr>
          <w:rFonts w:ascii="宋体" w:hAnsi="宋体" w:cs="TimesNewRomanPSMT"/>
          <w:bCs w:val="0"/>
          <w:i w:val="0"/>
          <w:iCs w:val="0"/>
          <w:sz w:val="24"/>
          <w:szCs w:val="24"/>
        </w:rPr>
      </w:pPr>
      <w:bookmarkStart w:id="174" w:name="_Toc11051"/>
      <w:bookmarkStart w:id="175" w:name="_Toc15995"/>
      <w:bookmarkStart w:id="176" w:name="_Toc5747"/>
      <w:bookmarkStart w:id="177" w:name="_Toc16763"/>
      <w:bookmarkStart w:id="178" w:name="_Toc28390"/>
      <w:bookmarkStart w:id="179" w:name="_Toc21712"/>
      <w:bookmarkStart w:id="180" w:name="_Toc17776"/>
      <w:bookmarkStart w:id="181" w:name="_Toc15878"/>
      <w:bookmarkStart w:id="182" w:name="_Toc11150"/>
      <w:bookmarkStart w:id="183" w:name="_Toc7120"/>
      <w:bookmarkStart w:id="184" w:name="_Toc357"/>
      <w:bookmarkStart w:id="185" w:name="_Toc483482277"/>
      <w:r>
        <w:rPr>
          <w:rFonts w:hint="eastAsia" w:ascii="宋体" w:hAnsi="宋体" w:cs="TimesNewRomanPSMT"/>
          <w:bCs w:val="0"/>
          <w:i w:val="0"/>
          <w:iCs w:val="0"/>
          <w:sz w:val="24"/>
          <w:szCs w:val="24"/>
        </w:rPr>
        <w:t>2 清单以外项目</w:t>
      </w:r>
      <w:bookmarkEnd w:id="174"/>
      <w:bookmarkEnd w:id="175"/>
      <w:bookmarkEnd w:id="176"/>
      <w:bookmarkEnd w:id="177"/>
      <w:bookmarkEnd w:id="178"/>
      <w:bookmarkEnd w:id="179"/>
      <w:bookmarkEnd w:id="180"/>
      <w:bookmarkEnd w:id="181"/>
      <w:bookmarkEnd w:id="182"/>
      <w:bookmarkEnd w:id="183"/>
      <w:bookmarkEnd w:id="184"/>
    </w:p>
    <w:p>
      <w:pPr>
        <w:tabs>
          <w:tab w:val="left" w:pos="2310"/>
        </w:tabs>
        <w:spacing w:line="440" w:lineRule="exact"/>
        <w:ind w:left="1" w:firstLine="422" w:firstLineChars="200"/>
        <w:rPr>
          <w:rFonts w:ascii="宋体" w:hAnsi="宋体" w:cs="TimesNewRomanPSMT"/>
          <w:b/>
          <w:szCs w:val="21"/>
        </w:rPr>
      </w:pPr>
      <w:r>
        <w:rPr>
          <w:rFonts w:hint="eastAsia" w:ascii="宋体" w:hAnsi="宋体" w:cs="TimesNewRomanPSMT"/>
          <w:b/>
          <w:szCs w:val="21"/>
        </w:rPr>
        <w:t xml:space="preserve">  清单以外项目是指结算时不适用合同专用条款10.4 .1《变更估价》（1）、（2）进行结算的项目。</w:t>
      </w:r>
    </w:p>
    <w:p>
      <w:pPr>
        <w:snapToGrid w:val="0"/>
        <w:spacing w:line="440" w:lineRule="exact"/>
        <w:ind w:firstLine="527" w:firstLineChars="250"/>
        <w:rPr>
          <w:rFonts w:ascii="宋体" w:hAnsi="宋体" w:cs="TimesNewRomanPSMT"/>
          <w:b/>
        </w:rPr>
      </w:pPr>
      <w:r>
        <w:rPr>
          <w:rFonts w:hint="eastAsia" w:ascii="宋体" w:hAnsi="宋体" w:cs="TimesNewRomanPSMT"/>
          <w:b/>
        </w:rPr>
        <w:t>2.1计价依据：</w:t>
      </w:r>
    </w:p>
    <w:p>
      <w:pPr>
        <w:snapToGrid w:val="0"/>
        <w:spacing w:line="440" w:lineRule="exact"/>
        <w:ind w:firstLine="422" w:firstLineChars="200"/>
        <w:rPr>
          <w:rFonts w:ascii="宋体" w:hAnsi="宋体" w:cs="TimesNewRomanPSMT"/>
          <w:b/>
        </w:rPr>
      </w:pPr>
      <w:r>
        <w:rPr>
          <w:rFonts w:hint="eastAsia" w:ascii="宋体" w:hAnsi="宋体" w:cs="TimesNewRomanPSMT"/>
          <w:b/>
        </w:rPr>
        <w:t xml:space="preserve"> </w:t>
      </w:r>
      <w:r>
        <w:rPr>
          <w:rFonts w:hint="eastAsia" w:ascii="宋体" w:hAnsi="宋体" w:cs="TimesNewRomanPSMT"/>
          <w:b/>
        </w:rPr>
        <w:fldChar w:fldCharType="begin"/>
      </w:r>
      <w:r>
        <w:rPr>
          <w:rFonts w:hint="eastAsia" w:ascii="宋体" w:hAnsi="宋体" w:cs="TimesNewRomanPSMT"/>
          <w:b/>
        </w:rPr>
        <w:instrText xml:space="preserve"> = 1 \* GB3 \* MERGEFORMAT </w:instrText>
      </w:r>
      <w:r>
        <w:rPr>
          <w:rFonts w:hint="eastAsia" w:ascii="宋体" w:hAnsi="宋体" w:cs="TimesNewRomanPSMT"/>
          <w:b/>
        </w:rPr>
        <w:fldChar w:fldCharType="separate"/>
      </w:r>
      <w:r>
        <w:rPr>
          <w:rFonts w:hint="eastAsia" w:ascii="宋体" w:hAnsi="宋体" w:cs="TimesNewRomanPSMT"/>
          <w:b/>
        </w:rPr>
        <w:t>①</w:t>
      </w:r>
      <w:r>
        <w:rPr>
          <w:rFonts w:hint="eastAsia" w:ascii="宋体" w:hAnsi="宋体" w:cs="TimesNewRomanPSMT"/>
          <w:b/>
        </w:rPr>
        <w:fldChar w:fldCharType="end"/>
      </w:r>
      <w:r>
        <w:rPr>
          <w:rFonts w:hint="eastAsia" w:ascii="宋体" w:hAnsi="宋体" w:cs="TimesNewRomanPSMT"/>
          <w:b/>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2 \* GB3 \* MERGEFORMAT </w:instrText>
      </w:r>
      <w:r>
        <w:rPr>
          <w:rFonts w:hint="eastAsia" w:ascii="宋体" w:hAnsi="宋体" w:cs="TimesNewRomanPSMT"/>
          <w:b/>
        </w:rPr>
        <w:fldChar w:fldCharType="separate"/>
      </w:r>
      <w:r>
        <w:rPr>
          <w:rFonts w:hint="eastAsia" w:ascii="宋体" w:hAnsi="宋体" w:cs="TimesNewRomanPSMT"/>
          <w:b/>
        </w:rPr>
        <w:t>②</w:t>
      </w:r>
      <w:r>
        <w:rPr>
          <w:rFonts w:hint="eastAsia" w:ascii="宋体" w:hAnsi="宋体" w:cs="TimesNewRomanPSMT"/>
          <w:b/>
        </w:rPr>
        <w:fldChar w:fldCharType="end"/>
      </w:r>
      <w:r>
        <w:rPr>
          <w:rFonts w:hint="eastAsia" w:ascii="宋体" w:hAnsi="宋体" w:cs="TimesNewRomanPSMT"/>
          <w:b/>
        </w:rPr>
        <w:t>工程类别：建筑执行Ⅲ类取费，安装执行工业安装取费，装饰执行Ⅲ类取费，市政执行Ⅲ类取费；</w:t>
      </w:r>
    </w:p>
    <w:p>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3 \* GB3 \* MERGEFORMAT </w:instrText>
      </w:r>
      <w:r>
        <w:rPr>
          <w:rFonts w:hint="eastAsia" w:ascii="宋体" w:hAnsi="宋体" w:cs="TimesNewRomanPSMT"/>
          <w:b/>
        </w:rPr>
        <w:fldChar w:fldCharType="separate"/>
      </w:r>
      <w:r>
        <w:rPr>
          <w:rFonts w:hint="eastAsia" w:ascii="宋体" w:hAnsi="宋体" w:cs="TimesNewRomanPSMT"/>
          <w:b/>
        </w:rPr>
        <w:t>③</w:t>
      </w:r>
      <w:r>
        <w:rPr>
          <w:rFonts w:hint="eastAsia" w:ascii="宋体" w:hAnsi="宋体" w:cs="TimesNewRomanPSMT"/>
          <w:b/>
        </w:rPr>
        <w:fldChar w:fldCharType="end"/>
      </w:r>
      <w:r>
        <w:rPr>
          <w:rFonts w:hint="eastAsia" w:ascii="宋体" w:hAnsi="宋体" w:cs="TimesNewRomanPSMT"/>
          <w:b/>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材质不变仅规格型号发生变更的，变更后仅调整不同规格型号的材料市场价差；</w:t>
      </w:r>
    </w:p>
    <w:p>
      <w:pPr>
        <w:snapToGrid w:val="0"/>
        <w:spacing w:line="440" w:lineRule="exact"/>
        <w:ind w:firstLine="527" w:firstLineChars="250"/>
        <w:rPr>
          <w:rFonts w:ascii="宋体" w:hAnsi="宋体" w:cs="TimesNewRomanPSMT"/>
          <w:b/>
        </w:rPr>
      </w:pPr>
      <w:r>
        <w:rPr>
          <w:rFonts w:hint="eastAsia" w:ascii="宋体" w:hAnsi="宋体" w:cs="TimesNewRomanPSMT"/>
          <w:b/>
        </w:rPr>
        <w:fldChar w:fldCharType="begin"/>
      </w:r>
      <w:r>
        <w:rPr>
          <w:rFonts w:hint="eastAsia"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hint="eastAsia" w:ascii="宋体" w:hAnsi="宋体" w:cs="TimesNewRomanPSMT"/>
          <w:b/>
        </w:rPr>
        <w:t>%（自主竞报）。</w:t>
      </w:r>
    </w:p>
    <w:p>
      <w:pPr>
        <w:snapToGrid w:val="0"/>
        <w:spacing w:line="440" w:lineRule="exact"/>
        <w:ind w:firstLine="525" w:firstLineChars="250"/>
        <w:rPr>
          <w:rFonts w:ascii="宋体" w:hAnsi="宋体"/>
        </w:rPr>
      </w:pPr>
      <w:r>
        <w:rPr>
          <w:rFonts w:hint="eastAsia" w:ascii="宋体" w:hAnsi="宋体"/>
        </w:rPr>
        <w:t>2.2补充说明</w:t>
      </w:r>
    </w:p>
    <w:p>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pPr>
        <w:snapToGrid w:val="0"/>
        <w:spacing w:line="440" w:lineRule="exact"/>
        <w:ind w:firstLine="525" w:firstLineChars="250"/>
        <w:rPr>
          <w:rFonts w:ascii="宋体" w:hAnsi="宋体"/>
          <w:color w:val="FF0000"/>
        </w:rPr>
      </w:pPr>
      <w:r>
        <w:rPr>
          <w:rFonts w:hint="eastAsia" w:ascii="宋体" w:hAnsi="宋体"/>
        </w:rPr>
        <w:t>2.2.3计日工</w:t>
      </w:r>
      <w:r>
        <w:rPr>
          <w:rFonts w:hint="eastAsia" w:ascii="宋体" w:hAnsi="宋体"/>
          <w:u w:val="single"/>
        </w:rPr>
        <w:t xml:space="preserve">       </w:t>
      </w:r>
      <w:r>
        <w:rPr>
          <w:rFonts w:hint="eastAsia" w:ascii="宋体" w:hAnsi="宋体"/>
        </w:rPr>
        <w:t>元/工日</w:t>
      </w:r>
      <w:r>
        <w:rPr>
          <w:rFonts w:hint="eastAsia" w:ascii="宋体" w:hAnsi="宋体" w:cs="TimesNewRomanPSMT"/>
          <w:b/>
        </w:rPr>
        <w:t>（自主竞报）</w:t>
      </w:r>
      <w:r>
        <w:rPr>
          <w:rFonts w:hint="eastAsia" w:ascii="宋体" w:hAnsi="宋体"/>
        </w:rPr>
        <w:t>。</w:t>
      </w:r>
    </w:p>
    <w:bookmarkEnd w:id="185"/>
    <w:p>
      <w:pPr>
        <w:pStyle w:val="3"/>
        <w:spacing w:line="440" w:lineRule="exact"/>
        <w:rPr>
          <w:rFonts w:ascii="宋体" w:hAnsi="宋体" w:cs="TimesNewRomanPSMT"/>
          <w:bCs w:val="0"/>
          <w:i w:val="0"/>
          <w:iCs w:val="0"/>
          <w:sz w:val="24"/>
          <w:szCs w:val="24"/>
        </w:rPr>
      </w:pPr>
      <w:bookmarkStart w:id="186" w:name="_Toc7198"/>
      <w:r>
        <w:rPr>
          <w:rFonts w:hint="eastAsia" w:ascii="宋体" w:hAnsi="宋体" w:cs="TimesNewRomanPSMT"/>
          <w:bCs w:val="0"/>
          <w:i w:val="0"/>
          <w:iCs w:val="0"/>
          <w:sz w:val="24"/>
          <w:szCs w:val="24"/>
        </w:rPr>
        <w:t>3 其他说明</w:t>
      </w:r>
      <w:bookmarkEnd w:id="169"/>
      <w:bookmarkEnd w:id="170"/>
      <w:bookmarkEnd w:id="186"/>
    </w:p>
    <w:p>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pPr>
        <w:snapToGrid w:val="0"/>
        <w:spacing w:line="440" w:lineRule="exact"/>
        <w:ind w:firstLine="525" w:firstLineChars="250"/>
        <w:rPr>
          <w:rFonts w:ascii="宋体" w:hAnsi="宋体"/>
        </w:rPr>
      </w:pPr>
      <w:r>
        <w:rPr>
          <w:rFonts w:hint="eastAsia" w:ascii="宋体" w:hAnsi="宋体"/>
        </w:rPr>
        <w:t>3.1.1  工程量清单</w:t>
      </w:r>
    </w:p>
    <w:p>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pPr>
        <w:snapToGrid w:val="0"/>
        <w:spacing w:line="440" w:lineRule="exact"/>
        <w:ind w:firstLine="525" w:firstLineChars="250"/>
        <w:rPr>
          <w:rFonts w:ascii="宋体" w:hAnsi="宋体"/>
          <w:szCs w:val="21"/>
        </w:rPr>
      </w:pPr>
      <w:r>
        <w:rPr>
          <w:rFonts w:hint="eastAsia" w:ascii="宋体" w:hAnsi="宋体"/>
          <w:szCs w:val="21"/>
        </w:rPr>
        <w:t>3.1.2  总价子目</w:t>
      </w:r>
    </w:p>
    <w:p>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pPr>
        <w:snapToGrid w:val="0"/>
        <w:spacing w:line="440" w:lineRule="exact"/>
        <w:ind w:firstLine="525" w:firstLineChars="250"/>
        <w:rPr>
          <w:rFonts w:ascii="宋体" w:hAnsi="宋体"/>
          <w:szCs w:val="21"/>
        </w:rPr>
      </w:pPr>
      <w:r>
        <w:rPr>
          <w:rFonts w:hint="eastAsia" w:ascii="宋体" w:hAnsi="宋体"/>
          <w:szCs w:val="21"/>
        </w:rPr>
        <w:t>3.1.3  单价子目</w:t>
      </w:r>
    </w:p>
    <w:p>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pPr>
        <w:snapToGrid w:val="0"/>
        <w:spacing w:line="440" w:lineRule="exact"/>
        <w:ind w:firstLine="525" w:firstLineChars="250"/>
        <w:rPr>
          <w:rFonts w:ascii="宋体" w:hAnsi="宋体"/>
          <w:szCs w:val="21"/>
        </w:rPr>
      </w:pPr>
      <w:r>
        <w:rPr>
          <w:rFonts w:hint="eastAsia" w:ascii="宋体" w:hAnsi="宋体"/>
          <w:szCs w:val="21"/>
        </w:rPr>
        <w:t>3.1.4  子目编码</w:t>
      </w:r>
    </w:p>
    <w:p>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pPr>
        <w:snapToGrid w:val="0"/>
        <w:spacing w:line="440" w:lineRule="exact"/>
        <w:ind w:firstLine="525" w:firstLineChars="250"/>
        <w:rPr>
          <w:rFonts w:ascii="宋体" w:hAnsi="宋体"/>
          <w:szCs w:val="21"/>
        </w:rPr>
      </w:pPr>
      <w:r>
        <w:rPr>
          <w:rFonts w:hint="eastAsia" w:ascii="宋体" w:hAnsi="宋体"/>
          <w:szCs w:val="21"/>
        </w:rPr>
        <w:t>3.1.5  子目特征</w:t>
      </w:r>
    </w:p>
    <w:p>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pPr>
        <w:snapToGrid w:val="0"/>
        <w:spacing w:line="440" w:lineRule="exact"/>
        <w:ind w:firstLine="525" w:firstLineChars="250"/>
        <w:rPr>
          <w:rFonts w:ascii="宋体" w:hAnsi="宋体"/>
          <w:szCs w:val="21"/>
        </w:rPr>
      </w:pPr>
      <w:r>
        <w:rPr>
          <w:rFonts w:hint="eastAsia" w:ascii="宋体" w:hAnsi="宋体"/>
          <w:szCs w:val="21"/>
        </w:rPr>
        <w:t>3.1.6  规费</w:t>
      </w:r>
    </w:p>
    <w:p>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pPr>
        <w:snapToGrid w:val="0"/>
        <w:spacing w:line="440" w:lineRule="exact"/>
        <w:ind w:firstLine="525" w:firstLineChars="250"/>
        <w:rPr>
          <w:rFonts w:ascii="宋体" w:hAnsi="宋体"/>
          <w:szCs w:val="21"/>
        </w:rPr>
      </w:pPr>
      <w:r>
        <w:rPr>
          <w:rFonts w:hint="eastAsia" w:ascii="宋体" w:hAnsi="宋体"/>
          <w:szCs w:val="21"/>
        </w:rPr>
        <w:t>3.1.7  税金</w:t>
      </w:r>
    </w:p>
    <w:p>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pPr>
        <w:snapToGrid w:val="0"/>
        <w:spacing w:line="440" w:lineRule="exact"/>
        <w:ind w:firstLine="525" w:firstLineChars="250"/>
        <w:rPr>
          <w:rFonts w:ascii="宋体" w:hAnsi="宋体"/>
          <w:szCs w:val="21"/>
        </w:rPr>
      </w:pPr>
      <w:r>
        <w:rPr>
          <w:rFonts w:hint="eastAsia" w:ascii="宋体" w:hAnsi="宋体"/>
          <w:szCs w:val="21"/>
        </w:rPr>
        <w:t>3.1.8  总承包服务费</w:t>
      </w:r>
    </w:p>
    <w:p>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pPr>
        <w:snapToGrid w:val="0"/>
        <w:spacing w:line="440" w:lineRule="exact"/>
        <w:ind w:firstLine="525" w:firstLineChars="250"/>
        <w:rPr>
          <w:rFonts w:ascii="宋体" w:hAnsi="宋体"/>
          <w:szCs w:val="21"/>
        </w:rPr>
      </w:pPr>
      <w:r>
        <w:rPr>
          <w:rFonts w:hint="eastAsia" w:ascii="宋体" w:hAnsi="宋体"/>
          <w:szCs w:val="21"/>
        </w:rPr>
        <w:t>3.1.9  同义词语</w:t>
      </w:r>
    </w:p>
    <w:p>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pPr>
        <w:snapToGrid w:val="0"/>
        <w:spacing w:line="360" w:lineRule="auto"/>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pPr>
        <w:snapToGrid w:val="0"/>
        <w:spacing w:line="360" w:lineRule="auto"/>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pPr>
        <w:snapToGrid w:val="0"/>
        <w:spacing w:line="360" w:lineRule="auto"/>
        <w:ind w:firstLine="527" w:firstLineChars="250"/>
        <w:rPr>
          <w:rFonts w:ascii="宋体" w:hAnsi="宋体"/>
          <w:b/>
          <w:bCs/>
          <w:szCs w:val="21"/>
        </w:rPr>
      </w:pPr>
      <w:r>
        <w:rPr>
          <w:rFonts w:hint="eastAsia" w:ascii="宋体" w:hAnsi="宋体"/>
          <w:b/>
          <w:bCs/>
          <w:szCs w:val="21"/>
        </w:rPr>
        <w:t>3.3.4</w:t>
      </w:r>
      <w:r>
        <w:rPr>
          <w:rFonts w:hint="eastAsia" w:ascii="宋体" w:hAnsi="宋体"/>
          <w:b/>
          <w:bCs/>
          <w:szCs w:val="21"/>
        </w:rPr>
        <w:sym w:font="Wingdings 2" w:char="0052"/>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中标清单措施费包干使用</w:t>
      </w:r>
      <w:r>
        <w:rPr>
          <w:rFonts w:hint="eastAsia" w:ascii="宋体" w:hAnsi="宋体"/>
          <w:b/>
          <w:bCs/>
          <w:szCs w:val="21"/>
          <w:lang w:eastAsia="zh-CN"/>
        </w:rPr>
        <w:t>（</w:t>
      </w:r>
      <w:r>
        <w:rPr>
          <w:rFonts w:hint="eastAsia" w:ascii="宋体" w:hAnsi="宋体"/>
          <w:b/>
          <w:bCs/>
          <w:szCs w:val="21"/>
          <w:lang w:val="en-US" w:eastAsia="zh-CN"/>
        </w:rPr>
        <w:t>措施费已包含高空作业费</w:t>
      </w:r>
      <w:r>
        <w:rPr>
          <w:rFonts w:hint="eastAsia" w:ascii="宋体" w:hAnsi="宋体"/>
          <w:b/>
          <w:bCs/>
          <w:szCs w:val="21"/>
          <w:lang w:eastAsia="zh-CN"/>
        </w:rPr>
        <w:t>）</w:t>
      </w:r>
      <w:r>
        <w:rPr>
          <w:rFonts w:hint="eastAsia" w:ascii="宋体" w:hAnsi="宋体"/>
          <w:b/>
          <w:bCs/>
          <w:szCs w:val="21"/>
        </w:rPr>
        <w:t>。</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55"/>
      <w:bookmarkEnd w:id="156"/>
      <w:bookmarkEnd w:id="157"/>
      <w:bookmarkEnd w:id="158"/>
      <w:bookmarkEnd w:id="159"/>
      <w:bookmarkEnd w:id="160"/>
      <w:bookmarkEnd w:id="161"/>
      <w:bookmarkEnd w:id="162"/>
      <w:bookmarkEnd w:id="163"/>
      <w:bookmarkEnd w:id="164"/>
      <w:bookmarkEnd w:id="165"/>
      <w:bookmarkEnd w:id="166"/>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10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pPr>
        <w:snapToGrid w:val="0"/>
        <w:spacing w:line="360" w:lineRule="auto"/>
        <w:ind w:firstLine="527" w:firstLineChars="250"/>
        <w:rPr>
          <w:rFonts w:hint="eastAsia" w:ascii="宋体" w:hAnsi="宋体"/>
          <w:b/>
          <w:bCs/>
          <w:szCs w:val="21"/>
        </w:rPr>
      </w:pPr>
      <w:r>
        <w:rPr>
          <w:rFonts w:hint="eastAsia" w:ascii="宋体" w:hAnsi="宋体"/>
          <w:b/>
          <w:bCs/>
          <w:szCs w:val="21"/>
        </w:rPr>
        <w:t>3.3.10工程结算需委托社会审计时，由发包人委托造价咨询单位审计或自行审计。在初审审定额的基础上，审减部分按照结算初审审定额与结算最终审定额之间差额的5%计取审计费，由承包人支付；审增部分按实际审增额的5%计取审计费，由承包人支付。承包人应支付的审计费未直接支付的，由发包人在工程款中代扣代缴。</w:t>
      </w:r>
    </w:p>
    <w:p>
      <w:pPr>
        <w:snapToGrid w:val="0"/>
        <w:spacing w:line="360" w:lineRule="auto"/>
        <w:ind w:firstLine="527" w:firstLineChars="250"/>
        <w:rPr>
          <w:rFonts w:hint="eastAsia" w:ascii="宋体" w:hAnsi="宋体"/>
          <w:b/>
          <w:bCs/>
          <w:szCs w:val="21"/>
        </w:rPr>
      </w:pPr>
      <w:r>
        <w:rPr>
          <w:rFonts w:hint="eastAsia" w:ascii="宋体" w:hAnsi="宋体"/>
          <w:b/>
          <w:bCs/>
          <w:szCs w:val="21"/>
        </w:rPr>
        <w:t>竣工结算报审前，接受发包人委托第三方造价咨询单位进行初审，初审费用由承包人承担，以结算初审的报审金额为基数计算，费率为0.005%。</w:t>
      </w:r>
    </w:p>
    <w:p>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pPr>
        <w:snapToGrid w:val="0"/>
        <w:spacing w:line="360" w:lineRule="auto"/>
        <w:ind w:firstLine="527" w:firstLineChars="250"/>
      </w:pPr>
      <w:r>
        <w:rPr>
          <w:rFonts w:hint="eastAsia" w:ascii="宋体" w:hAnsi="宋体"/>
          <w:b/>
          <w:bCs/>
          <w:szCs w:val="21"/>
        </w:rPr>
        <w:t>3.3.12本项目不单独计取总承包服务费及甲供材料（设备）采保费。</w:t>
      </w:r>
    </w:p>
    <w:p>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材料及设备必须是原厂生产，禁止使用委托第三人生产后贴牌的材料和设备，否则按不合格材料处理，承包人按合同条款承担违约责任。</w:t>
      </w:r>
    </w:p>
    <w:p>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价差。若未经发包人同意而使用其他品牌的，视为使用不合格材料，承包人按合同条款承担违约责任。</w:t>
      </w:r>
    </w:p>
    <w:p>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p>
      <w:pPr>
        <w:snapToGrid w:val="0"/>
        <w:spacing w:line="360" w:lineRule="auto"/>
        <w:ind w:firstLine="527" w:firstLineChars="250"/>
        <w:rPr>
          <w:rFonts w:ascii="宋体" w:hAnsi="宋体"/>
          <w:b/>
          <w:bCs/>
          <w:szCs w:val="21"/>
        </w:rPr>
      </w:pPr>
      <w:r>
        <w:rPr>
          <w:rFonts w:hint="eastAsia" w:ascii="宋体" w:hAnsi="宋体"/>
          <w:b/>
          <w:bCs/>
          <w:szCs w:val="21"/>
        </w:rPr>
        <w:t>3.3.18投标人在投标前应进行现场踏勘，充分了解现场情况，投标报价一经报出，即认为是包含了为完成本项施工内容进行的所有工作，相关的施工费用不再单独计取。</w:t>
      </w:r>
    </w:p>
    <w:p>
      <w:pPr>
        <w:snapToGrid w:val="0"/>
        <w:spacing w:line="360" w:lineRule="auto"/>
        <w:ind w:firstLine="600" w:firstLineChars="250"/>
        <w:rPr>
          <w:rFonts w:hint="eastAsia" w:ascii="宋体" w:hAnsi="宋体" w:cs="宋体"/>
          <w:kern w:val="0"/>
          <w:sz w:val="24"/>
        </w:rPr>
      </w:pPr>
    </w:p>
    <w:bookmarkEnd w:id="122"/>
    <w:bookmarkEnd w:id="123"/>
    <w:p>
      <w:pPr>
        <w:rPr>
          <w:rStyle w:val="43"/>
          <w:rFonts w:ascii="宋体" w:hAnsi="宋体"/>
          <w:szCs w:val="21"/>
        </w:rPr>
        <w:sectPr>
          <w:headerReference r:id="rId14" w:type="first"/>
          <w:headerReference r:id="rId12" w:type="default"/>
          <w:footerReference r:id="rId15" w:type="default"/>
          <w:headerReference r:id="rId13" w:type="even"/>
          <w:pgSz w:w="11906" w:h="16838"/>
          <w:pgMar w:top="1588" w:right="1191" w:bottom="1418" w:left="1191" w:header="851" w:footer="1077" w:gutter="0"/>
          <w:cols w:space="720" w:num="1"/>
          <w:docGrid w:linePitch="312" w:charSpace="0"/>
        </w:sectPr>
      </w:pPr>
    </w:p>
    <w:p>
      <w:pPr>
        <w:pStyle w:val="2"/>
        <w:jc w:val="center"/>
        <w:rPr>
          <w:rStyle w:val="43"/>
          <w:sz w:val="48"/>
          <w:szCs w:val="48"/>
        </w:rPr>
      </w:pPr>
      <w:bookmarkStart w:id="187" w:name="_Toc162361721"/>
      <w:bookmarkStart w:id="188" w:name="_Toc28237"/>
      <w:bookmarkStart w:id="189" w:name="_Toc8483"/>
      <w:bookmarkStart w:id="190" w:name="_第二卷"/>
      <w:r>
        <w:rPr>
          <w:sz w:val="48"/>
          <w:szCs w:val="48"/>
        </w:rPr>
        <w:t>第二卷</w:t>
      </w:r>
      <w:bookmarkEnd w:id="187"/>
      <w:bookmarkEnd w:id="188"/>
      <w:bookmarkEnd w:id="189"/>
    </w:p>
    <w:bookmarkEnd w:id="190"/>
    <w:p>
      <w:pPr>
        <w:rPr>
          <w:rStyle w:val="43"/>
          <w:rFonts w:ascii="宋体" w:hAnsi="宋体"/>
          <w:szCs w:val="21"/>
        </w:rPr>
        <w:sectPr>
          <w:pgSz w:w="11906" w:h="16838"/>
          <w:pgMar w:top="1588" w:right="1701" w:bottom="1418" w:left="1701" w:header="851" w:footer="851" w:gutter="0"/>
          <w:cols w:space="720" w:num="1"/>
          <w:vAlign w:val="center"/>
          <w:docGrid w:linePitch="312" w:charSpace="0"/>
        </w:sectPr>
      </w:pPr>
    </w:p>
    <w:p>
      <w:pPr>
        <w:pStyle w:val="3"/>
        <w:jc w:val="center"/>
        <w:rPr>
          <w:i w:val="0"/>
          <w:iCs w:val="0"/>
          <w:sz w:val="32"/>
          <w:szCs w:val="32"/>
        </w:rPr>
      </w:pPr>
      <w:bookmarkStart w:id="191" w:name="_Toc10358"/>
      <w:bookmarkStart w:id="192" w:name="_Toc17817345"/>
      <w:bookmarkStart w:id="193" w:name="_Toc162361722"/>
      <w:bookmarkStart w:id="194" w:name="_第六章  图  纸"/>
      <w:r>
        <w:rPr>
          <w:i w:val="0"/>
          <w:iCs w:val="0"/>
          <w:sz w:val="32"/>
          <w:szCs w:val="32"/>
        </w:rPr>
        <w:t>第六章  图  纸</w:t>
      </w:r>
      <w:bookmarkEnd w:id="191"/>
      <w:bookmarkEnd w:id="192"/>
      <w:bookmarkEnd w:id="193"/>
    </w:p>
    <w:bookmarkEnd w:id="194"/>
    <w:p>
      <w:pPr>
        <w:spacing w:line="500" w:lineRule="exact"/>
        <w:ind w:firstLine="422" w:firstLineChars="200"/>
        <w:rPr>
          <w:rStyle w:val="43"/>
          <w:rFonts w:ascii="宋体" w:hAnsi="宋体"/>
          <w:b/>
          <w:bCs/>
        </w:rPr>
      </w:pPr>
      <w:r>
        <w:rPr>
          <w:rStyle w:val="43"/>
          <w:rFonts w:ascii="宋体" w:hAnsi="宋体"/>
          <w:b/>
          <w:bCs/>
        </w:rPr>
        <w:t>图纸以</w:t>
      </w:r>
      <w:r>
        <w:rPr>
          <w:rStyle w:val="43"/>
          <w:rFonts w:hint="eastAsia" w:ascii="宋体" w:hAnsi="宋体"/>
          <w:b/>
          <w:bCs/>
        </w:rPr>
        <w:t>同招标文件一同发出的电子版</w:t>
      </w:r>
      <w:r>
        <w:rPr>
          <w:rStyle w:val="43"/>
          <w:rFonts w:ascii="宋体" w:hAnsi="宋体"/>
          <w:b/>
          <w:bCs/>
        </w:rPr>
        <w:t>为准。具体施工范围请对应工程量清单及招标文件要求。</w:t>
      </w:r>
    </w:p>
    <w:p>
      <w:pPr>
        <w:rPr>
          <w:rStyle w:val="43"/>
          <w:rFonts w:ascii="宋体" w:hAnsi="宋体"/>
          <w:szCs w:val="21"/>
        </w:rPr>
      </w:pPr>
    </w:p>
    <w:p>
      <w:pPr>
        <w:rPr>
          <w:rStyle w:val="43"/>
          <w:rFonts w:ascii="宋体" w:hAnsi="宋体"/>
          <w:szCs w:val="21"/>
        </w:rPr>
      </w:pPr>
    </w:p>
    <w:p>
      <w:pPr>
        <w:rPr>
          <w:rStyle w:val="43"/>
          <w:rFonts w:ascii="宋体" w:hAnsi="宋体"/>
          <w:szCs w:val="21"/>
        </w:rPr>
      </w:pPr>
    </w:p>
    <w:p>
      <w:pPr>
        <w:rPr>
          <w:rStyle w:val="43"/>
          <w:rFonts w:ascii="宋体" w:hAnsi="宋体"/>
        </w:rPr>
      </w:pPr>
    </w:p>
    <w:p>
      <w:pPr>
        <w:rPr>
          <w:rStyle w:val="43"/>
          <w:rFonts w:ascii="宋体" w:hAnsi="宋体"/>
        </w:rPr>
        <w:sectPr>
          <w:pgSz w:w="11906" w:h="16838"/>
          <w:pgMar w:top="1588" w:right="1701" w:bottom="1418" w:left="1701" w:header="851" w:footer="851" w:gutter="0"/>
          <w:cols w:space="720" w:num="1"/>
          <w:docGrid w:linePitch="312" w:charSpace="0"/>
        </w:sectPr>
      </w:pPr>
    </w:p>
    <w:p>
      <w:pPr>
        <w:rPr>
          <w:rStyle w:val="43"/>
          <w:rFonts w:ascii="宋体" w:hAnsi="宋体"/>
        </w:rPr>
      </w:pPr>
    </w:p>
    <w:p>
      <w:pPr>
        <w:pStyle w:val="2"/>
        <w:jc w:val="center"/>
        <w:rPr>
          <w:rStyle w:val="43"/>
          <w:rFonts w:ascii="宋体" w:hAnsi="宋体"/>
        </w:rPr>
      </w:pPr>
      <w:bookmarkStart w:id="195" w:name="_Toc20552"/>
      <w:bookmarkStart w:id="196" w:name="_Toc3146"/>
      <w:bookmarkStart w:id="197" w:name="_Toc162361723"/>
      <w:r>
        <w:rPr>
          <w:sz w:val="48"/>
          <w:szCs w:val="48"/>
        </w:rPr>
        <w:t>第三卷</w:t>
      </w:r>
      <w:bookmarkEnd w:id="195"/>
      <w:bookmarkEnd w:id="196"/>
      <w:bookmarkEnd w:id="197"/>
    </w:p>
    <w:p>
      <w:pPr>
        <w:rPr>
          <w:rStyle w:val="43"/>
          <w:rFonts w:ascii="宋体" w:hAnsi="宋体"/>
        </w:rPr>
        <w:sectPr>
          <w:pgSz w:w="11906" w:h="16838"/>
          <w:pgMar w:top="1588" w:right="1701" w:bottom="1418" w:left="1701" w:header="851" w:footer="851" w:gutter="0"/>
          <w:cols w:space="720" w:num="1"/>
          <w:vAlign w:val="center"/>
          <w:docGrid w:linePitch="312" w:charSpace="0"/>
        </w:sectPr>
      </w:pPr>
    </w:p>
    <w:p>
      <w:pPr>
        <w:pStyle w:val="3"/>
        <w:numPr>
          <w:ilvl w:val="0"/>
          <w:numId w:val="13"/>
        </w:numPr>
        <w:jc w:val="both"/>
        <w:rPr>
          <w:i w:val="0"/>
          <w:iCs w:val="0"/>
          <w:sz w:val="32"/>
          <w:szCs w:val="32"/>
        </w:rPr>
      </w:pPr>
      <w:bookmarkStart w:id="198" w:name="_Toc162361724"/>
      <w:bookmarkStart w:id="199" w:name="_Toc4366"/>
      <w:bookmarkStart w:id="200" w:name="_Toc17817346"/>
      <w:r>
        <w:rPr>
          <w:i w:val="0"/>
          <w:iCs w:val="0"/>
          <w:sz w:val="32"/>
          <w:szCs w:val="32"/>
        </w:rPr>
        <w:t xml:space="preserve"> 技术标准和要求</w:t>
      </w:r>
      <w:bookmarkEnd w:id="198"/>
      <w:bookmarkEnd w:id="199"/>
      <w:bookmarkEnd w:id="200"/>
    </w:p>
    <w:p>
      <w:pPr>
        <w:snapToGrid w:val="0"/>
        <w:spacing w:line="440" w:lineRule="exact"/>
        <w:ind w:firstLine="600" w:firstLineChars="250"/>
        <w:rPr>
          <w:rStyle w:val="43"/>
          <w:rFonts w:ascii="宋体" w:hAnsi="宋体"/>
          <w:sz w:val="24"/>
          <w:szCs w:val="32"/>
        </w:rPr>
      </w:pPr>
      <w:r>
        <w:rPr>
          <w:rStyle w:val="43"/>
          <w:rFonts w:hint="eastAsia" w:ascii="宋体" w:hAnsi="宋体"/>
          <w:sz w:val="24"/>
          <w:szCs w:val="32"/>
        </w:rPr>
        <w:t>1、依据设计施工图纸和技术文件要求，本工程项目的材料、设备、施工必须达到现行中华人民共和国及省、市、行业的一切有关法规、规范的要求，如各标准及规范要求有出入则以较严格者为准。</w:t>
      </w:r>
    </w:p>
    <w:p>
      <w:pPr>
        <w:snapToGrid w:val="0"/>
        <w:spacing w:line="440" w:lineRule="exact"/>
        <w:ind w:firstLine="600" w:firstLineChars="250"/>
        <w:rPr>
          <w:rStyle w:val="43"/>
          <w:rFonts w:ascii="宋体" w:hAnsi="宋体"/>
          <w:sz w:val="24"/>
          <w:szCs w:val="32"/>
        </w:rPr>
      </w:pPr>
      <w:r>
        <w:rPr>
          <w:rStyle w:val="43"/>
          <w:rFonts w:hint="eastAsia" w:ascii="宋体" w:hAnsi="宋体"/>
          <w:sz w:val="24"/>
          <w:szCs w:val="32"/>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43"/>
          <w:rFonts w:ascii="宋体" w:hAnsi="宋体"/>
          <w:sz w:val="24"/>
          <w:szCs w:val="32"/>
        </w:rPr>
        <w:tab/>
      </w:r>
    </w:p>
    <w:p>
      <w:pPr>
        <w:pStyle w:val="22"/>
        <w:ind w:left="420" w:firstLine="420"/>
        <w:jc w:val="both"/>
        <w:rPr>
          <w:rFonts w:ascii="宋体" w:hAnsi="宋体" w:eastAsia="宋体" w:cs="宋体"/>
          <w:sz w:val="24"/>
          <w:szCs w:val="24"/>
        </w:rPr>
      </w:pPr>
      <w:r>
        <w:rPr>
          <w:rFonts w:ascii="宋体" w:hAnsi="宋体" w:eastAsia="宋体" w:cs="宋体"/>
          <w:sz w:val="24"/>
          <w:szCs w:val="24"/>
        </w:rPr>
        <w:t>1. 墙体</w:t>
      </w:r>
      <w:r>
        <w:rPr>
          <w:rFonts w:ascii="宋体" w:hAnsi="宋体" w:eastAsia="宋体" w:cs="宋体"/>
          <w:sz w:val="24"/>
          <w:szCs w:val="24"/>
        </w:rPr>
        <w:br w:type="textWrapping"/>
      </w:r>
      <w:r>
        <w:rPr>
          <w:rFonts w:ascii="宋体" w:hAnsi="宋体" w:eastAsia="宋体" w:cs="宋体"/>
          <w:sz w:val="24"/>
          <w:szCs w:val="24"/>
        </w:rPr>
        <w:t>1.1 本工程标高-0.060防潮层以下墙体做法详见结构施工图。</w:t>
      </w:r>
      <w:r>
        <w:rPr>
          <w:rFonts w:ascii="宋体" w:hAnsi="宋体" w:eastAsia="宋体" w:cs="宋体"/>
          <w:sz w:val="24"/>
          <w:szCs w:val="24"/>
        </w:rPr>
        <w:br w:type="textWrapping"/>
      </w:r>
      <w:r>
        <w:rPr>
          <w:rFonts w:ascii="宋体" w:hAnsi="宋体" w:eastAsia="宋体" w:cs="宋体"/>
          <w:sz w:val="24"/>
          <w:szCs w:val="24"/>
        </w:rPr>
        <w:t>1.2 墙身防潮层：设置于标高-0.060m处，做法为20厚1：2水泥砂浆内掺水泥重量5%防水剂的墙身防潮层（在此标高为钢筋混凝土梁、墙，或下为砌石构造时可不做）。当室内地坪变化处防潮层应重叠300，并在高低差埋土一侧墙身做20厚1:2水泥砂浆防潮层。如埋土一侧为室外，还应刷1.5厚聚氨酯防水涂料或其它防潮材料。</w:t>
      </w:r>
      <w:r>
        <w:rPr>
          <w:rFonts w:ascii="宋体" w:hAnsi="宋体" w:eastAsia="宋体" w:cs="宋体"/>
          <w:sz w:val="24"/>
          <w:szCs w:val="24"/>
        </w:rPr>
        <w:br w:type="textWrapping"/>
      </w:r>
      <w:r>
        <w:rPr>
          <w:rFonts w:ascii="宋体" w:hAnsi="宋体" w:eastAsia="宋体" w:cs="宋体"/>
          <w:sz w:val="24"/>
          <w:szCs w:val="24"/>
        </w:rPr>
        <w:t>1.3 外墙工程：</w:t>
      </w:r>
      <w:r>
        <w:rPr>
          <w:rFonts w:ascii="宋体" w:hAnsi="宋体" w:eastAsia="宋体" w:cs="宋体"/>
          <w:sz w:val="24"/>
          <w:szCs w:val="24"/>
        </w:rPr>
        <w:br w:type="textWrapping"/>
      </w:r>
      <w:r>
        <w:rPr>
          <w:rFonts w:ascii="宋体" w:hAnsi="宋体" w:eastAsia="宋体" w:cs="宋体"/>
          <w:sz w:val="24"/>
          <w:szCs w:val="24"/>
        </w:rPr>
        <w:t>1.3.1 外墙墙体：（详见平面图及图例说明）</w:t>
      </w:r>
    </w:p>
    <w:p>
      <w:pPr>
        <w:pStyle w:val="22"/>
        <w:ind w:left="420" w:firstLine="420"/>
        <w:jc w:val="both"/>
        <w:rPr>
          <w:rFonts w:ascii="宋体" w:hAnsi="宋体" w:eastAsia="宋体" w:cs="宋体"/>
          <w:sz w:val="24"/>
          <w:szCs w:val="24"/>
        </w:rPr>
      </w:pPr>
      <w:r>
        <w:rPr>
          <w:rFonts w:ascii="宋体" w:hAnsi="宋体" w:eastAsia="宋体" w:cs="宋体"/>
          <w:sz w:val="24"/>
          <w:szCs w:val="24"/>
        </w:rPr>
        <w:t>1）车间外墙：</w:t>
      </w:r>
      <w:r>
        <w:rPr>
          <w:rFonts w:ascii="宋体" w:hAnsi="宋体" w:eastAsia="宋体" w:cs="宋体"/>
          <w:sz w:val="24"/>
          <w:szCs w:val="24"/>
        </w:rPr>
        <w:br w:type="textWrapping"/>
      </w:r>
      <w:r>
        <w:rPr>
          <w:rFonts w:ascii="宋体" w:hAnsi="宋体" w:eastAsia="宋体" w:cs="宋体"/>
          <w:sz w:val="24"/>
          <w:szCs w:val="24"/>
        </w:rPr>
        <w:t>●标高4.100以上至顶南北向墙体采用240MM非粘土实心砖墙抗爆墙（实心砖强度≥MU10）；</w:t>
      </w:r>
      <w:r>
        <w:rPr>
          <w:rFonts w:ascii="宋体" w:hAnsi="宋体" w:eastAsia="宋体" w:cs="宋体"/>
          <w:sz w:val="24"/>
          <w:szCs w:val="24"/>
        </w:rPr>
        <w:br w:type="textWrapping"/>
      </w:r>
      <w:r>
        <w:rPr>
          <w:rFonts w:ascii="宋体" w:hAnsi="宋体" w:eastAsia="宋体" w:cs="宋体"/>
          <w:sz w:val="24"/>
          <w:szCs w:val="24"/>
        </w:rPr>
        <w:t>●标高4.100以上至顶东西向墙体采用240mm MU10非粘土多孔砖；</w:t>
      </w:r>
      <w:r>
        <w:rPr>
          <w:rFonts w:ascii="宋体" w:hAnsi="宋体" w:eastAsia="宋体" w:cs="宋体"/>
          <w:sz w:val="24"/>
          <w:szCs w:val="24"/>
        </w:rPr>
        <w:br w:type="textWrapping"/>
      </w:r>
      <w:r>
        <w:rPr>
          <w:rFonts w:ascii="宋体" w:hAnsi="宋体" w:eastAsia="宋体" w:cs="宋体"/>
          <w:sz w:val="24"/>
          <w:szCs w:val="24"/>
        </w:rPr>
        <w:t>1.3.2 外墙材料构造和技术要求：</w:t>
      </w:r>
      <w:r>
        <w:rPr>
          <w:rFonts w:ascii="宋体" w:hAnsi="宋体" w:eastAsia="宋体" w:cs="宋体"/>
          <w:sz w:val="24"/>
          <w:szCs w:val="24"/>
        </w:rPr>
        <w:br w:type="textWrapping"/>
      </w:r>
      <w:r>
        <w:rPr>
          <w:rFonts w:ascii="宋体" w:hAnsi="宋体" w:eastAsia="宋体" w:cs="宋体"/>
          <w:sz w:val="24"/>
          <w:szCs w:val="24"/>
        </w:rPr>
        <w:t>所有墙体用材的干密度、孔隙率、强度等级及对砌筑砂浆的要求详结施说明。</w:t>
      </w:r>
      <w:r>
        <w:rPr>
          <w:rFonts w:ascii="宋体" w:hAnsi="宋体" w:eastAsia="宋体" w:cs="宋体"/>
          <w:sz w:val="24"/>
          <w:szCs w:val="24"/>
        </w:rPr>
        <w:br w:type="textWrapping"/>
      </w:r>
      <w:r>
        <w:rPr>
          <w:rFonts w:ascii="宋体" w:hAnsi="宋体" w:eastAsia="宋体" w:cs="宋体"/>
          <w:sz w:val="24"/>
          <w:szCs w:val="24"/>
        </w:rPr>
        <w:t>1）本工程采用非粘土多孔砖（具体结合当地建材使用情况选择），烧结类：页岩、煤矸石等种类多孔砖，强度等级≥MU10，</w:t>
      </w:r>
      <w:r>
        <w:rPr>
          <w:rFonts w:ascii="宋体" w:hAnsi="宋体" w:eastAsia="宋体" w:cs="宋体"/>
          <w:sz w:val="24"/>
          <w:szCs w:val="24"/>
        </w:rPr>
        <w:br w:type="textWrapping"/>
      </w:r>
      <w:r>
        <w:rPr>
          <w:rFonts w:ascii="宋体" w:hAnsi="宋体" w:eastAsia="宋体" w:cs="宋体"/>
          <w:sz w:val="24"/>
          <w:szCs w:val="24"/>
        </w:rPr>
        <w:t>砌筑砂浆强度等级不应低于M5，多孔砖的规格尺寸、技术性能等应满足《烧结多孔砖和多孔砌块》GB13544-2011。</w:t>
      </w:r>
      <w:r>
        <w:rPr>
          <w:rFonts w:ascii="宋体" w:hAnsi="宋体" w:eastAsia="宋体" w:cs="宋体"/>
          <w:sz w:val="24"/>
          <w:szCs w:val="24"/>
        </w:rPr>
        <w:br w:type="textWrapping"/>
      </w:r>
      <w:r>
        <w:rPr>
          <w:rFonts w:ascii="宋体" w:hAnsi="宋体" w:eastAsia="宋体" w:cs="宋体"/>
          <w:sz w:val="24"/>
          <w:szCs w:val="24"/>
        </w:rPr>
        <w:t>非烧结类：蒸压灰砂、粉煤灰、混凝土等种类多孔砖 ，强度等级≥MU15，砌筑砂浆强度等级不应低于M5(Ms5、Mb5)。非烧</w:t>
      </w:r>
      <w:r>
        <w:rPr>
          <w:rFonts w:ascii="宋体" w:hAnsi="宋体" w:eastAsia="宋体" w:cs="宋体"/>
          <w:sz w:val="24"/>
          <w:szCs w:val="24"/>
        </w:rPr>
        <w:br w:type="textWrapping"/>
      </w:r>
      <w:r>
        <w:rPr>
          <w:rFonts w:ascii="宋体" w:hAnsi="宋体" w:eastAsia="宋体" w:cs="宋体"/>
          <w:sz w:val="24"/>
          <w:szCs w:val="24"/>
        </w:rPr>
        <w:t>结类砖的规格尺寸、技术性能应满足《蒸压灰砂砖》GB11945-1999、《混凝土实心砖》GB/T 21144-2007。符号Ms</w:t>
      </w:r>
      <w:r>
        <w:rPr>
          <w:rFonts w:ascii="宋体" w:hAnsi="宋体" w:eastAsia="宋体" w:cs="宋体"/>
          <w:sz w:val="24"/>
          <w:szCs w:val="24"/>
        </w:rPr>
        <w:br w:type="textWrapping"/>
      </w:r>
      <w:r>
        <w:rPr>
          <w:rFonts w:ascii="宋体" w:hAnsi="宋体" w:eastAsia="宋体" w:cs="宋体"/>
          <w:sz w:val="24"/>
          <w:szCs w:val="24"/>
        </w:rPr>
        <w:t>和Mb分别为蒸压普通砖及混凝土普通砖、多孔砖砌体的专用砌筑砂浆符号，设计及施工中应按规范规定的强度等级采用。</w:t>
      </w:r>
      <w:r>
        <w:rPr>
          <w:rFonts w:ascii="宋体" w:hAnsi="宋体" w:eastAsia="宋体" w:cs="宋体"/>
          <w:sz w:val="24"/>
          <w:szCs w:val="24"/>
        </w:rPr>
        <w:br w:type="textWrapping"/>
      </w:r>
      <w:r>
        <w:rPr>
          <w:rFonts w:ascii="宋体" w:hAnsi="宋体" w:eastAsia="宋体" w:cs="宋体"/>
          <w:sz w:val="24"/>
          <w:szCs w:val="24"/>
        </w:rPr>
        <w:t>2）砌块类：加气混凝土砌块需用专用砂浆砌筑，构造要求参山东省标准图集《蒸压加气混凝土砌块建筑构造》L13J3-3、《蒸压加气混凝土砌块墙体构造》L22J126，加气混凝土砌块的规格尺寸、技术性能等应满足《蒸压加气混凝土砌块》1）车间外墙：</w:t>
      </w:r>
      <w:r>
        <w:rPr>
          <w:rFonts w:ascii="宋体" w:hAnsi="宋体" w:eastAsia="宋体" w:cs="宋体"/>
          <w:sz w:val="24"/>
          <w:szCs w:val="24"/>
        </w:rPr>
        <w:br w:type="textWrapping"/>
      </w:r>
      <w:r>
        <w:rPr>
          <w:rFonts w:ascii="宋体" w:hAnsi="宋体" w:eastAsia="宋体" w:cs="宋体"/>
          <w:sz w:val="24"/>
          <w:szCs w:val="24"/>
        </w:rPr>
        <w:t>●标高4.100以上至顶南北向墙体采用240MM非粘土实心砖墙抗爆墙（实心砖强度≥MU10）；</w:t>
      </w:r>
      <w:r>
        <w:rPr>
          <w:rFonts w:ascii="宋体" w:hAnsi="宋体" w:eastAsia="宋体" w:cs="宋体"/>
          <w:sz w:val="24"/>
          <w:szCs w:val="24"/>
        </w:rPr>
        <w:br w:type="textWrapping"/>
      </w:r>
      <w:r>
        <w:rPr>
          <w:rFonts w:ascii="宋体" w:hAnsi="宋体" w:eastAsia="宋体" w:cs="宋体"/>
          <w:sz w:val="24"/>
          <w:szCs w:val="24"/>
        </w:rPr>
        <w:t>●标高4.100以上至顶东西向墙体采用240mm MU10非粘土多孔砖；</w:t>
      </w:r>
      <w:r>
        <w:rPr>
          <w:rFonts w:ascii="宋体" w:hAnsi="宋体" w:eastAsia="宋体" w:cs="宋体"/>
          <w:sz w:val="24"/>
          <w:szCs w:val="24"/>
        </w:rPr>
        <w:br w:type="textWrapping"/>
      </w:r>
      <w:r>
        <w:rPr>
          <w:rFonts w:ascii="宋体" w:hAnsi="宋体" w:eastAsia="宋体" w:cs="宋体"/>
          <w:sz w:val="24"/>
          <w:szCs w:val="24"/>
        </w:rPr>
        <w:t>1.3.2 外墙材料构造和技术要求：</w:t>
      </w:r>
      <w:r>
        <w:rPr>
          <w:rFonts w:ascii="宋体" w:hAnsi="宋体" w:eastAsia="宋体" w:cs="宋体"/>
          <w:sz w:val="24"/>
          <w:szCs w:val="24"/>
        </w:rPr>
        <w:br w:type="textWrapping"/>
      </w:r>
      <w:r>
        <w:rPr>
          <w:rFonts w:ascii="宋体" w:hAnsi="宋体" w:eastAsia="宋体" w:cs="宋体"/>
          <w:sz w:val="24"/>
          <w:szCs w:val="24"/>
        </w:rPr>
        <w:t>所有墙体用材的干密度、孔隙率、强度等级及对砌筑砂浆的要求详结施说明。</w:t>
      </w:r>
      <w:r>
        <w:rPr>
          <w:rFonts w:ascii="宋体" w:hAnsi="宋体" w:eastAsia="宋体" w:cs="宋体"/>
          <w:sz w:val="24"/>
          <w:szCs w:val="24"/>
        </w:rPr>
        <w:br w:type="textWrapping"/>
      </w:r>
      <w:r>
        <w:rPr>
          <w:rFonts w:ascii="宋体" w:hAnsi="宋体" w:eastAsia="宋体" w:cs="宋体"/>
          <w:sz w:val="24"/>
          <w:szCs w:val="24"/>
        </w:rPr>
        <w:t>1）本工程采用非粘土多孔砖（具体结合当地建材使用情况选择），烧结类：页岩、煤矸石等种类多孔砖，强度等级≥MU10，</w:t>
      </w:r>
      <w:r>
        <w:rPr>
          <w:rFonts w:ascii="宋体" w:hAnsi="宋体" w:eastAsia="宋体" w:cs="宋体"/>
          <w:sz w:val="24"/>
          <w:szCs w:val="24"/>
        </w:rPr>
        <w:br w:type="textWrapping"/>
      </w:r>
      <w:r>
        <w:rPr>
          <w:rFonts w:ascii="宋体" w:hAnsi="宋体" w:eastAsia="宋体" w:cs="宋体"/>
          <w:sz w:val="24"/>
          <w:szCs w:val="24"/>
        </w:rPr>
        <w:t>砌筑砂浆强度等级不应低于M5，多孔砖的规格尺寸、技术性能等应满足《烧结多孔砖和多孔砌块》GB13544-2011。</w:t>
      </w:r>
      <w:r>
        <w:rPr>
          <w:rFonts w:ascii="宋体" w:hAnsi="宋体" w:eastAsia="宋体" w:cs="宋体"/>
          <w:sz w:val="24"/>
          <w:szCs w:val="24"/>
        </w:rPr>
        <w:br w:type="textWrapping"/>
      </w:r>
      <w:r>
        <w:rPr>
          <w:rFonts w:ascii="宋体" w:hAnsi="宋体" w:eastAsia="宋体" w:cs="宋体"/>
          <w:sz w:val="24"/>
          <w:szCs w:val="24"/>
        </w:rPr>
        <w:t>非烧结类：蒸压灰砂、粉煤灰、混凝土等种类多孔砖 ，强度等级≥MU15，砌筑砂浆强度等级不应低于M5(Ms5、Mb5)。非烧</w:t>
      </w:r>
      <w:r>
        <w:rPr>
          <w:rFonts w:ascii="宋体" w:hAnsi="宋体" w:eastAsia="宋体" w:cs="宋体"/>
          <w:sz w:val="24"/>
          <w:szCs w:val="24"/>
        </w:rPr>
        <w:br w:type="textWrapping"/>
      </w:r>
      <w:r>
        <w:rPr>
          <w:rFonts w:ascii="宋体" w:hAnsi="宋体" w:eastAsia="宋体" w:cs="宋体"/>
          <w:sz w:val="24"/>
          <w:szCs w:val="24"/>
        </w:rPr>
        <w:t>结类砖的规格尺寸、技术性能应满足《蒸压灰砂砖》GB11945-1999、《混凝土实心砖》GB/T 21144-2007。符号Ms</w:t>
      </w:r>
      <w:r>
        <w:rPr>
          <w:rFonts w:ascii="宋体" w:hAnsi="宋体" w:eastAsia="宋体" w:cs="宋体"/>
          <w:sz w:val="24"/>
          <w:szCs w:val="24"/>
        </w:rPr>
        <w:br w:type="textWrapping"/>
      </w:r>
      <w:r>
        <w:rPr>
          <w:rFonts w:ascii="宋体" w:hAnsi="宋体" w:eastAsia="宋体" w:cs="宋体"/>
          <w:sz w:val="24"/>
          <w:szCs w:val="24"/>
        </w:rPr>
        <w:t>和Mb分别为蒸压普通砖及混凝土普通砖、多孔砖砌体的专用砌筑砂浆符号，设计及施工中应按规范规定的强度等级采用。</w:t>
      </w:r>
      <w:r>
        <w:rPr>
          <w:rFonts w:ascii="宋体" w:hAnsi="宋体" w:eastAsia="宋体" w:cs="宋体"/>
          <w:sz w:val="24"/>
          <w:szCs w:val="24"/>
        </w:rPr>
        <w:br w:type="textWrapping"/>
      </w:r>
      <w:r>
        <w:rPr>
          <w:rFonts w:ascii="宋体" w:hAnsi="宋体" w:eastAsia="宋体" w:cs="宋体"/>
          <w:sz w:val="24"/>
          <w:szCs w:val="24"/>
        </w:rPr>
        <w:t>2）砌块类：加气混凝土砌块需用专用砂浆砌筑，构造要求参山东省标准图集《蒸压加气混凝土砌块建筑构造》L13J3-3、《蒸压加气混凝土砌块墙体构造》L22J126，加气混凝土砌块的规格尺寸、技术性能等应满足《蒸压加气混凝土砌块》</w:t>
      </w:r>
    </w:p>
    <w:p>
      <w:pPr>
        <w:pStyle w:val="22"/>
        <w:ind w:left="420" w:firstLine="420"/>
        <w:jc w:val="left"/>
        <w:rPr>
          <w:rFonts w:ascii="宋体" w:hAnsi="宋体" w:eastAsia="宋体" w:cs="宋体"/>
          <w:sz w:val="24"/>
          <w:szCs w:val="24"/>
        </w:rPr>
      </w:pPr>
      <w:r>
        <w:rPr>
          <w:rFonts w:ascii="宋体" w:hAnsi="宋体" w:eastAsia="宋体" w:cs="宋体"/>
          <w:sz w:val="24"/>
          <w:szCs w:val="24"/>
        </w:rPr>
        <w:t>4.4 栏杆高度应从楼地面或屋面至栏杆扶手顶面垂直高度计算，如底部有宽度大于或等于0.22m，且高度低于或等于0.45m的可踏部位，应从可踏部位顶面起计算。低于或等于0.45m的可踏部位，应从可踏部位顶面起计算。</w:t>
      </w:r>
      <w:r>
        <w:rPr>
          <w:rFonts w:ascii="宋体" w:hAnsi="宋体" w:eastAsia="宋体" w:cs="宋体"/>
          <w:sz w:val="24"/>
          <w:szCs w:val="24"/>
        </w:rPr>
        <w:br w:type="textWrapping"/>
      </w:r>
      <w:r>
        <w:rPr>
          <w:rFonts w:ascii="宋体" w:hAnsi="宋体" w:eastAsia="宋体" w:cs="宋体"/>
          <w:sz w:val="24"/>
          <w:szCs w:val="24"/>
        </w:rPr>
        <w:t>5 金属构件油漆涂料工程（除铝合金、不锈钢、铜制品外）</w:t>
      </w:r>
      <w:r>
        <w:rPr>
          <w:rFonts w:ascii="宋体" w:hAnsi="宋体" w:eastAsia="宋体" w:cs="宋体"/>
          <w:sz w:val="24"/>
          <w:szCs w:val="24"/>
        </w:rPr>
        <w:br w:type="textWrapping"/>
      </w:r>
      <w:r>
        <w:rPr>
          <w:rFonts w:ascii="宋体" w:hAnsi="宋体" w:eastAsia="宋体" w:cs="宋体"/>
          <w:sz w:val="24"/>
          <w:szCs w:val="24"/>
        </w:rPr>
        <w:t>5.1 油漆除锈：</w:t>
      </w:r>
      <w:r>
        <w:rPr>
          <w:rFonts w:ascii="宋体" w:hAnsi="宋体" w:eastAsia="宋体" w:cs="宋体"/>
          <w:sz w:val="24"/>
          <w:szCs w:val="24"/>
        </w:rPr>
        <w:br w:type="textWrapping"/>
      </w:r>
      <w:r>
        <w:rPr>
          <w:rFonts w:ascii="宋体" w:hAnsi="宋体" w:eastAsia="宋体" w:cs="宋体"/>
          <w:sz w:val="24"/>
          <w:szCs w:val="24"/>
        </w:rPr>
        <w:t>1）本工程除有镀层涂层金属及不锈钢外，其余钢质构件均在除锈后刷防腐涂料，除锈等级不低于国家标准Sa2.5级（机械除锈）或</w:t>
      </w:r>
      <w:r>
        <w:rPr>
          <w:rFonts w:ascii="宋体" w:hAnsi="宋体" w:eastAsia="宋体" w:cs="宋体"/>
          <w:sz w:val="24"/>
          <w:szCs w:val="24"/>
        </w:rPr>
        <w:br w:type="textWrapping"/>
      </w:r>
      <w:r>
        <w:rPr>
          <w:rFonts w:ascii="宋体" w:hAnsi="宋体" w:eastAsia="宋体" w:cs="宋体"/>
          <w:sz w:val="24"/>
          <w:szCs w:val="24"/>
        </w:rPr>
        <w:t>St3.0级（手工除锈）。</w:t>
      </w:r>
      <w:r>
        <w:rPr>
          <w:rFonts w:ascii="宋体" w:hAnsi="宋体" w:eastAsia="宋体" w:cs="宋体"/>
          <w:sz w:val="24"/>
          <w:szCs w:val="24"/>
        </w:rPr>
        <w:br w:type="textWrapping"/>
      </w:r>
      <w:r>
        <w:rPr>
          <w:rFonts w:ascii="宋体" w:hAnsi="宋体" w:eastAsia="宋体" w:cs="宋体"/>
          <w:sz w:val="24"/>
          <w:szCs w:val="24"/>
        </w:rPr>
        <w:t>2）钢结构表面除锈处理后4小时内应进行涂装，超过时限者，须重新除锈处理。</w:t>
      </w:r>
      <w:r>
        <w:rPr>
          <w:rFonts w:ascii="宋体" w:hAnsi="宋体" w:eastAsia="宋体" w:cs="宋体"/>
          <w:sz w:val="24"/>
          <w:szCs w:val="24"/>
        </w:rPr>
        <w:br w:type="textWrapping"/>
      </w:r>
      <w:r>
        <w:rPr>
          <w:rFonts w:ascii="宋体" w:hAnsi="宋体" w:eastAsia="宋体" w:cs="宋体"/>
          <w:sz w:val="24"/>
          <w:szCs w:val="24"/>
        </w:rPr>
        <w:t>5.2 金属构件油漆：</w:t>
      </w:r>
      <w:r>
        <w:rPr>
          <w:rFonts w:ascii="宋体" w:hAnsi="宋体" w:eastAsia="宋体" w:cs="宋体"/>
          <w:sz w:val="24"/>
          <w:szCs w:val="24"/>
        </w:rPr>
        <w:br w:type="textWrapping"/>
      </w:r>
      <w:r>
        <w:rPr>
          <w:rFonts w:ascii="宋体" w:hAnsi="宋体" w:eastAsia="宋体" w:cs="宋体"/>
          <w:sz w:val="24"/>
          <w:szCs w:val="24"/>
        </w:rPr>
        <w:t>1）油漆应以无气式喷漆施工，不得以手工涂刷。</w:t>
      </w:r>
      <w:r>
        <w:rPr>
          <w:rFonts w:ascii="宋体" w:hAnsi="宋体" w:eastAsia="宋体" w:cs="宋体"/>
          <w:sz w:val="24"/>
          <w:szCs w:val="24"/>
        </w:rPr>
        <w:br w:type="textWrapping"/>
      </w:r>
      <w:r>
        <w:rPr>
          <w:rFonts w:ascii="宋体" w:hAnsi="宋体" w:eastAsia="宋体" w:cs="宋体"/>
          <w:sz w:val="24"/>
          <w:szCs w:val="24"/>
        </w:rPr>
        <w:t>2）漆膜如发现有龟裂、起皱、刷纹、垂流粉化、失光或散雾等现象时应将漆膜刮除或以砂纸研磨后，重新补漆。</w:t>
      </w:r>
      <w:r>
        <w:rPr>
          <w:rFonts w:ascii="宋体" w:hAnsi="宋体" w:eastAsia="宋体" w:cs="宋体"/>
          <w:sz w:val="24"/>
          <w:szCs w:val="24"/>
        </w:rPr>
        <w:br w:type="textWrapping"/>
      </w:r>
      <w:r>
        <w:rPr>
          <w:rFonts w:ascii="宋体" w:hAnsi="宋体" w:eastAsia="宋体" w:cs="宋体"/>
          <w:sz w:val="24"/>
          <w:szCs w:val="24"/>
        </w:rPr>
        <w:t>5.3 油漆做法（结构专业图纸另有要求时，以结构图纸要求为准）：</w:t>
      </w:r>
      <w:r>
        <w:rPr>
          <w:rFonts w:ascii="宋体" w:hAnsi="宋体" w:eastAsia="宋体" w:cs="宋体"/>
          <w:sz w:val="24"/>
          <w:szCs w:val="24"/>
        </w:rPr>
        <w:br w:type="textWrapping"/>
      </w:r>
      <w:r>
        <w:rPr>
          <w:rFonts w:ascii="宋体" w:hAnsi="宋体" w:eastAsia="宋体" w:cs="宋体"/>
          <w:sz w:val="24"/>
          <w:szCs w:val="24"/>
        </w:rPr>
        <w:t>5.3.1 不外露钢质构件均表面刷环氧富锌底漆二道，漆膜总厚度≥50μm。采用镀锌钢构件时可不涂漆。</w:t>
      </w:r>
      <w:r>
        <w:rPr>
          <w:rFonts w:ascii="宋体" w:hAnsi="宋体" w:eastAsia="宋体" w:cs="宋体"/>
          <w:sz w:val="24"/>
          <w:szCs w:val="24"/>
        </w:rPr>
        <w:br w:type="textWrapping"/>
      </w:r>
      <w:r>
        <w:rPr>
          <w:rFonts w:ascii="宋体" w:hAnsi="宋体" w:eastAsia="宋体" w:cs="宋体"/>
          <w:sz w:val="24"/>
          <w:szCs w:val="24"/>
        </w:rPr>
        <w:t>5.3.2 室内外露非承重钢构件油漆做法（由内到外）-RAL9002：</w:t>
      </w:r>
      <w:r>
        <w:rPr>
          <w:rFonts w:ascii="宋体" w:hAnsi="宋体" w:eastAsia="宋体" w:cs="宋体"/>
          <w:sz w:val="24"/>
          <w:szCs w:val="24"/>
        </w:rPr>
        <w:br w:type="textWrapping"/>
      </w:r>
      <w:r>
        <w:rPr>
          <w:rFonts w:ascii="宋体" w:hAnsi="宋体" w:eastAsia="宋体" w:cs="宋体"/>
          <w:sz w:val="24"/>
          <w:szCs w:val="24"/>
        </w:rPr>
        <w:t>1）环氧富锌底漆两道，漆膜厚度不小于（60μm)；</w:t>
      </w:r>
      <w:r>
        <w:rPr>
          <w:rFonts w:ascii="宋体" w:hAnsi="宋体" w:eastAsia="宋体" w:cs="宋体"/>
          <w:sz w:val="24"/>
          <w:szCs w:val="24"/>
        </w:rPr>
        <w:br w:type="textWrapping"/>
      </w:r>
      <w:r>
        <w:rPr>
          <w:rFonts w:ascii="宋体" w:hAnsi="宋体" w:eastAsia="宋体" w:cs="宋体"/>
          <w:sz w:val="24"/>
          <w:szCs w:val="24"/>
        </w:rPr>
        <w:t>2）环氧云铁中漆两道，漆膜厚度不小于（50μm)；</w:t>
      </w:r>
      <w:r>
        <w:rPr>
          <w:rFonts w:ascii="宋体" w:hAnsi="宋体" w:eastAsia="宋体" w:cs="宋体"/>
          <w:sz w:val="24"/>
          <w:szCs w:val="24"/>
        </w:rPr>
        <w:br w:type="textWrapping"/>
      </w:r>
      <w:r>
        <w:rPr>
          <w:rFonts w:ascii="宋体" w:hAnsi="宋体" w:eastAsia="宋体" w:cs="宋体"/>
          <w:sz w:val="24"/>
          <w:szCs w:val="24"/>
        </w:rPr>
        <w:t>3）环氧树脂面漆两道，漆膜厚度不小于（50μm)；</w:t>
      </w:r>
      <w:r>
        <w:rPr>
          <w:rFonts w:ascii="宋体" w:hAnsi="宋体" w:eastAsia="宋体" w:cs="宋体"/>
          <w:sz w:val="24"/>
          <w:szCs w:val="24"/>
        </w:rPr>
        <w:br w:type="textWrapping"/>
      </w:r>
      <w:r>
        <w:rPr>
          <w:rFonts w:ascii="宋体" w:hAnsi="宋体" w:eastAsia="宋体" w:cs="宋体"/>
          <w:sz w:val="24"/>
          <w:szCs w:val="24"/>
        </w:rPr>
        <w:t>注：干漆膜总厚度≥160μm，要求防腐年限为10年，并严格按照GB50205-2001的14.2条执行。</w:t>
      </w:r>
      <w:r>
        <w:rPr>
          <w:rFonts w:ascii="宋体" w:hAnsi="宋体" w:eastAsia="宋体" w:cs="宋体"/>
          <w:sz w:val="24"/>
          <w:szCs w:val="24"/>
        </w:rPr>
        <w:br w:type="textWrapping"/>
      </w:r>
      <w:r>
        <w:rPr>
          <w:rFonts w:ascii="宋体" w:hAnsi="宋体" w:eastAsia="宋体" w:cs="宋体"/>
          <w:sz w:val="24"/>
          <w:szCs w:val="24"/>
        </w:rPr>
        <w:t>5.3.3 室外外露非承重钢构件油漆做法（由内到外）-RAL7022：</w:t>
      </w:r>
      <w:r>
        <w:rPr>
          <w:rFonts w:ascii="宋体" w:hAnsi="宋体" w:eastAsia="宋体" w:cs="宋体"/>
          <w:sz w:val="24"/>
          <w:szCs w:val="24"/>
        </w:rPr>
        <w:br w:type="textWrapping"/>
      </w:r>
      <w:r>
        <w:rPr>
          <w:rFonts w:ascii="宋体" w:hAnsi="宋体" w:eastAsia="宋体" w:cs="宋体"/>
          <w:sz w:val="24"/>
          <w:szCs w:val="24"/>
        </w:rPr>
        <w:t>1）环氧富锌底漆两道，漆膜厚度不小于（70μm)；</w:t>
      </w:r>
      <w:r>
        <w:rPr>
          <w:rFonts w:ascii="宋体" w:hAnsi="宋体" w:eastAsia="宋体" w:cs="宋体"/>
          <w:sz w:val="24"/>
          <w:szCs w:val="24"/>
        </w:rPr>
        <w:br w:type="textWrapping"/>
      </w:r>
      <w:r>
        <w:rPr>
          <w:rFonts w:ascii="宋体" w:hAnsi="宋体" w:eastAsia="宋体" w:cs="宋体"/>
          <w:sz w:val="24"/>
          <w:szCs w:val="24"/>
        </w:rPr>
        <w:t>2）环氧云铁中漆两道，漆膜厚度不小于（60μm)；</w:t>
      </w:r>
      <w:r>
        <w:rPr>
          <w:rFonts w:ascii="宋体" w:hAnsi="宋体" w:eastAsia="宋体" w:cs="宋体"/>
          <w:sz w:val="24"/>
          <w:szCs w:val="24"/>
        </w:rPr>
        <w:br w:type="textWrapping"/>
      </w:r>
      <w:r>
        <w:rPr>
          <w:rFonts w:ascii="宋体" w:hAnsi="宋体" w:eastAsia="宋体" w:cs="宋体"/>
          <w:sz w:val="24"/>
          <w:szCs w:val="24"/>
        </w:rPr>
        <w:t>3）氟碳面漆两道，漆膜厚度不小于（70μm)；</w:t>
      </w:r>
      <w:r>
        <w:rPr>
          <w:rFonts w:ascii="宋体" w:hAnsi="宋体" w:eastAsia="宋体" w:cs="宋体"/>
          <w:sz w:val="24"/>
          <w:szCs w:val="24"/>
        </w:rPr>
        <w:br w:type="textWrapping"/>
      </w:r>
      <w:r>
        <w:rPr>
          <w:rFonts w:ascii="宋体" w:hAnsi="宋体" w:eastAsia="宋体" w:cs="宋体"/>
          <w:sz w:val="24"/>
          <w:szCs w:val="24"/>
        </w:rPr>
        <w:t>注：干漆涂膜总厚度≥200μm，要求防腐年限为15年，并按照《钢结构工程施工质量验收规范》（编号GB50205-2001）第</w:t>
      </w:r>
      <w:r>
        <w:rPr>
          <w:rFonts w:ascii="宋体" w:hAnsi="宋体" w:eastAsia="宋体" w:cs="宋体"/>
          <w:sz w:val="24"/>
          <w:szCs w:val="24"/>
        </w:rPr>
        <w:br w:type="textWrapping"/>
      </w:r>
      <w:r>
        <w:rPr>
          <w:rFonts w:ascii="宋体" w:hAnsi="宋体" w:eastAsia="宋体" w:cs="宋体"/>
          <w:sz w:val="24"/>
          <w:szCs w:val="24"/>
        </w:rPr>
        <w:t>14.2条执行。</w:t>
      </w:r>
      <w:r>
        <w:rPr>
          <w:rFonts w:ascii="宋体" w:hAnsi="宋体" w:eastAsia="宋体" w:cs="宋体"/>
          <w:sz w:val="24"/>
          <w:szCs w:val="24"/>
        </w:rPr>
        <w:br w:type="textWrapping"/>
      </w:r>
      <w:r>
        <w:rPr>
          <w:rFonts w:ascii="宋体" w:hAnsi="宋体" w:eastAsia="宋体" w:cs="宋体"/>
          <w:sz w:val="24"/>
          <w:szCs w:val="24"/>
        </w:rPr>
        <w:t>5.4 防火涂料：钢结构的钢柱、钢梁、屋顶承重构件等受力钢构件均喷（涂）防火涂料，达到二级耐火等级。具体如下：</w:t>
      </w:r>
      <w:r>
        <w:rPr>
          <w:rFonts w:ascii="宋体" w:hAnsi="宋体" w:eastAsia="宋体" w:cs="宋体"/>
          <w:sz w:val="24"/>
          <w:szCs w:val="24"/>
        </w:rPr>
        <w:br w:type="textWrapping"/>
      </w:r>
      <w:r>
        <w:rPr>
          <w:rFonts w:ascii="宋体" w:hAnsi="宋体" w:eastAsia="宋体" w:cs="宋体"/>
          <w:sz w:val="24"/>
          <w:szCs w:val="24"/>
        </w:rPr>
        <w:t>1）钢柱及其支撑耐火极限≥2.5h；</w:t>
      </w:r>
      <w:r>
        <w:rPr>
          <w:rFonts w:ascii="宋体" w:hAnsi="宋体" w:eastAsia="宋体" w:cs="宋体"/>
          <w:sz w:val="24"/>
          <w:szCs w:val="24"/>
        </w:rPr>
        <w:br w:type="textWrapping"/>
      </w:r>
      <w:r>
        <w:rPr>
          <w:rFonts w:ascii="宋体" w:hAnsi="宋体" w:eastAsia="宋体" w:cs="宋体"/>
          <w:sz w:val="24"/>
          <w:szCs w:val="24"/>
        </w:rPr>
        <w:t>2）钢梁及其支撑、室外钢梯梁耐火极限≥1.5h；</w:t>
      </w:r>
      <w:r>
        <w:rPr>
          <w:rFonts w:ascii="宋体" w:hAnsi="宋体" w:eastAsia="宋体" w:cs="宋体"/>
          <w:sz w:val="24"/>
          <w:szCs w:val="24"/>
        </w:rPr>
        <w:br w:type="textWrapping"/>
      </w:r>
      <w:r>
        <w:rPr>
          <w:rFonts w:ascii="宋体" w:hAnsi="宋体" w:eastAsia="宋体" w:cs="宋体"/>
          <w:sz w:val="24"/>
          <w:szCs w:val="24"/>
        </w:rPr>
        <w:t>3）防火隔墙上的钢柱和钢梁的耐火极限不小于防火墙耐火极限；</w:t>
      </w:r>
      <w:r>
        <w:rPr>
          <w:rFonts w:ascii="宋体" w:hAnsi="宋体" w:eastAsia="宋体" w:cs="宋体"/>
          <w:sz w:val="24"/>
          <w:szCs w:val="24"/>
        </w:rPr>
        <w:br w:type="textWrapping"/>
      </w:r>
      <w:r>
        <w:rPr>
          <w:rFonts w:ascii="宋体" w:hAnsi="宋体" w:eastAsia="宋体" w:cs="宋体"/>
          <w:sz w:val="24"/>
          <w:szCs w:val="24"/>
        </w:rPr>
        <w:t>4）室内外钢梯钢平台、室内外钢梯梯段、踏步耐火极限≥1.0小时；</w:t>
      </w:r>
      <w:r>
        <w:rPr>
          <w:rFonts w:ascii="宋体" w:hAnsi="宋体" w:eastAsia="宋体" w:cs="宋体"/>
          <w:sz w:val="24"/>
          <w:szCs w:val="24"/>
        </w:rPr>
        <w:br w:type="textWrapping"/>
      </w:r>
      <w:r>
        <w:rPr>
          <w:rFonts w:ascii="宋体" w:hAnsi="宋体" w:eastAsia="宋体" w:cs="宋体"/>
          <w:sz w:val="24"/>
          <w:szCs w:val="24"/>
        </w:rPr>
        <w:t>5）位于防火墙上的钢柱及钢梁，耐火极限应≥3.0h</w:t>
      </w:r>
      <w:r>
        <w:rPr>
          <w:rFonts w:ascii="宋体" w:hAnsi="宋体" w:eastAsia="宋体" w:cs="宋体"/>
          <w:sz w:val="24"/>
          <w:szCs w:val="24"/>
        </w:rPr>
        <w:br w:type="textWrapping"/>
      </w:r>
      <w:r>
        <w:rPr>
          <w:rFonts w:ascii="宋体" w:hAnsi="宋体" w:eastAsia="宋体" w:cs="宋体"/>
          <w:sz w:val="24"/>
          <w:szCs w:val="24"/>
        </w:rPr>
        <w:t>6）防火涂料做法（由外到内）-室内构件：</w:t>
      </w:r>
      <w:r>
        <w:rPr>
          <w:rFonts w:ascii="宋体" w:hAnsi="宋体" w:eastAsia="宋体" w:cs="宋体"/>
          <w:sz w:val="24"/>
          <w:szCs w:val="24"/>
        </w:rPr>
        <w:br w:type="textWrapping"/>
      </w:r>
      <w:r>
        <w:rPr>
          <w:rFonts w:ascii="宋体" w:hAnsi="宋体" w:eastAsia="宋体" w:cs="宋体"/>
          <w:sz w:val="24"/>
          <w:szCs w:val="24"/>
        </w:rPr>
        <w:t>a.乳胶漆内墙涂料两道。颜色灰白色（RAL9002）；</w:t>
      </w:r>
      <w:r>
        <w:rPr>
          <w:rFonts w:ascii="宋体" w:hAnsi="宋体" w:eastAsia="宋体" w:cs="宋体"/>
          <w:sz w:val="24"/>
          <w:szCs w:val="24"/>
        </w:rPr>
        <w:br w:type="textWrapping"/>
      </w:r>
      <w:r>
        <w:rPr>
          <w:rFonts w:ascii="宋体" w:hAnsi="宋体" w:eastAsia="宋体" w:cs="宋体"/>
          <w:sz w:val="24"/>
          <w:szCs w:val="24"/>
        </w:rPr>
        <w:t>b.满刮腻子（腻子与防火涂料配套使用，不能影响防火涂料的技术性能），打磨平整；</w:t>
      </w:r>
      <w:r>
        <w:rPr>
          <w:rFonts w:ascii="宋体" w:hAnsi="宋体" w:eastAsia="宋体" w:cs="宋体"/>
          <w:sz w:val="24"/>
          <w:szCs w:val="24"/>
        </w:rPr>
        <w:br w:type="textWrapping"/>
      </w:r>
      <w:r>
        <w:rPr>
          <w:rFonts w:ascii="宋体" w:hAnsi="宋体" w:eastAsia="宋体" w:cs="宋体"/>
          <w:sz w:val="24"/>
          <w:szCs w:val="24"/>
        </w:rPr>
        <w:t>注：当采用薄型或超薄型防火涂料时，以上两道做法可取消。厚型防火涂料上刷面漆时需做相容性防火测试,防火涂料施工技术要求满</w:t>
      </w:r>
      <w:r>
        <w:rPr>
          <w:rFonts w:ascii="宋体" w:hAnsi="宋体" w:eastAsia="宋体" w:cs="宋体"/>
          <w:sz w:val="24"/>
          <w:szCs w:val="24"/>
        </w:rPr>
        <w:br w:type="textWrapping"/>
      </w:r>
      <w:r>
        <w:rPr>
          <w:rFonts w:ascii="宋体" w:hAnsi="宋体" w:eastAsia="宋体" w:cs="宋体"/>
          <w:sz w:val="24"/>
          <w:szCs w:val="24"/>
        </w:rPr>
        <w:t>足国家标准图集《民用建筑钢结构防火构造》（编号06SG501）的相关要求。</w:t>
      </w:r>
      <w:r>
        <w:rPr>
          <w:rFonts w:ascii="宋体" w:hAnsi="宋体" w:eastAsia="宋体" w:cs="宋体"/>
          <w:sz w:val="24"/>
          <w:szCs w:val="24"/>
        </w:rPr>
        <w:br w:type="textWrapping"/>
      </w:r>
      <w:r>
        <w:rPr>
          <w:rFonts w:ascii="宋体" w:hAnsi="宋体" w:eastAsia="宋体" w:cs="宋体"/>
          <w:sz w:val="24"/>
          <w:szCs w:val="24"/>
        </w:rPr>
        <w:t>c.防火涂料分遍完成，须满足各构件相应耐火极限要求，颜色灰白色（RAL9002）,涂刷厚度按规范或上述耐火极限的要求；</w:t>
      </w:r>
      <w:r>
        <w:rPr>
          <w:rFonts w:ascii="宋体" w:hAnsi="宋体" w:eastAsia="宋体" w:cs="宋体"/>
          <w:sz w:val="24"/>
          <w:szCs w:val="24"/>
        </w:rPr>
        <w:br w:type="textWrapping"/>
      </w:r>
      <w:r>
        <w:rPr>
          <w:rFonts w:ascii="宋体" w:hAnsi="宋体" w:eastAsia="宋体" w:cs="宋体"/>
          <w:sz w:val="24"/>
          <w:szCs w:val="24"/>
        </w:rPr>
        <w:t>d.环氧云铁中漆两道，漆膜厚度不小于（60μm)；</w:t>
      </w:r>
      <w:r>
        <w:rPr>
          <w:rFonts w:ascii="宋体" w:hAnsi="宋体" w:eastAsia="宋体" w:cs="宋体"/>
          <w:sz w:val="24"/>
          <w:szCs w:val="24"/>
        </w:rPr>
        <w:br w:type="textWrapping"/>
      </w:r>
      <w:r>
        <w:rPr>
          <w:rFonts w:ascii="宋体" w:hAnsi="宋体" w:eastAsia="宋体" w:cs="宋体"/>
          <w:sz w:val="24"/>
          <w:szCs w:val="24"/>
        </w:rPr>
        <w:t>e.环氧富锌底漆两道，漆膜厚度不小于（50μm)；</w:t>
      </w:r>
      <w:r>
        <w:rPr>
          <w:rFonts w:ascii="宋体" w:hAnsi="宋体" w:eastAsia="宋体" w:cs="宋体"/>
          <w:sz w:val="24"/>
          <w:szCs w:val="24"/>
        </w:rPr>
        <w:br w:type="textWrapping"/>
      </w:r>
      <w:r>
        <w:rPr>
          <w:rFonts w:ascii="宋体" w:hAnsi="宋体" w:eastAsia="宋体" w:cs="宋体"/>
          <w:sz w:val="24"/>
          <w:szCs w:val="24"/>
        </w:rPr>
        <w:t>f.清理基层，除锈等级不低于Sa2.5或St3.0（结构施工图已注明的除外）；</w:t>
      </w:r>
      <w:r>
        <w:rPr>
          <w:rFonts w:ascii="宋体" w:hAnsi="宋体" w:eastAsia="宋体" w:cs="宋体"/>
          <w:sz w:val="24"/>
          <w:szCs w:val="24"/>
        </w:rPr>
        <w:br w:type="textWrapping"/>
      </w:r>
      <w:r>
        <w:rPr>
          <w:rFonts w:ascii="宋体" w:hAnsi="宋体" w:eastAsia="宋体" w:cs="宋体"/>
          <w:sz w:val="24"/>
          <w:szCs w:val="24"/>
        </w:rPr>
        <w:t>g.钢承重构件。</w:t>
      </w:r>
      <w:r>
        <w:rPr>
          <w:rFonts w:ascii="宋体" w:hAnsi="宋体" w:eastAsia="宋体" w:cs="宋体"/>
          <w:sz w:val="24"/>
          <w:szCs w:val="24"/>
        </w:rPr>
        <w:br w:type="textWrapping"/>
      </w:r>
      <w:r>
        <w:rPr>
          <w:rFonts w:ascii="宋体" w:hAnsi="宋体" w:eastAsia="宋体" w:cs="宋体"/>
          <w:sz w:val="24"/>
          <w:szCs w:val="24"/>
        </w:rPr>
        <w:t>5.5 内装修所采用的油漆涂料详见装修做法一览表。Z型和C型薄壁镀锌檩条不刷油漆，具体做法详见结构施工图；H型钢檩条刷油漆，具体做法如上所述。</w:t>
      </w:r>
      <w:r>
        <w:rPr>
          <w:rFonts w:ascii="宋体" w:hAnsi="宋体" w:eastAsia="宋体" w:cs="宋体"/>
          <w:sz w:val="24"/>
          <w:szCs w:val="24"/>
        </w:rPr>
        <w:br w:type="textWrapping"/>
      </w:r>
      <w:r>
        <w:rPr>
          <w:rFonts w:ascii="宋体" w:hAnsi="宋体" w:eastAsia="宋体" w:cs="宋体"/>
          <w:sz w:val="24"/>
          <w:szCs w:val="24"/>
        </w:rPr>
        <w:t>5.6 预埋铁件、木砖及与墙体接触的木构件均需相应做防锈、防腐处理。可采用烷基氨化合物AAC或季铵铜ACQ类水溶性木材防腐剂防腐，严禁采用沥青、煤焦油类防腐、防潮处理剂。</w:t>
      </w:r>
      <w:r>
        <w:rPr>
          <w:rFonts w:ascii="宋体" w:hAnsi="宋体" w:eastAsia="宋体" w:cs="宋体"/>
          <w:sz w:val="24"/>
          <w:szCs w:val="24"/>
        </w:rPr>
        <w:br w:type="textWrapping"/>
      </w:r>
      <w:r>
        <w:rPr>
          <w:rFonts w:ascii="宋体" w:hAnsi="宋体" w:eastAsia="宋体" w:cs="宋体"/>
          <w:sz w:val="24"/>
          <w:szCs w:val="24"/>
        </w:rPr>
        <w:t>5.7 建筑油漆和涂料的质量应符合相关国家标准规定。各种油漆涂料均由施工单位制作样板，经确认后进行封样，并据此进行验收。</w:t>
      </w:r>
      <w:r>
        <w:rPr>
          <w:rFonts w:ascii="宋体" w:hAnsi="宋体" w:eastAsia="宋体" w:cs="宋体"/>
          <w:sz w:val="24"/>
          <w:szCs w:val="24"/>
        </w:rPr>
        <w:br w:type="textWrapping"/>
      </w:r>
      <w:r>
        <w:rPr>
          <w:rFonts w:ascii="宋体" w:hAnsi="宋体" w:eastAsia="宋体" w:cs="宋体"/>
          <w:sz w:val="24"/>
          <w:szCs w:val="24"/>
        </w:rPr>
        <w:t>5.8 钢结构防火涂料及防火包覆说明：</w:t>
      </w:r>
      <w:r>
        <w:rPr>
          <w:rFonts w:ascii="宋体" w:hAnsi="宋体" w:eastAsia="宋体" w:cs="宋体"/>
          <w:sz w:val="24"/>
          <w:szCs w:val="24"/>
        </w:rPr>
        <w:br w:type="textWrapping"/>
      </w:r>
      <w:r>
        <w:rPr>
          <w:rFonts w:ascii="宋体" w:hAnsi="宋体" w:eastAsia="宋体" w:cs="宋体"/>
          <w:sz w:val="24"/>
          <w:szCs w:val="24"/>
        </w:rPr>
        <w:t>1）本工程为存罐平台，耐火等级为二级，根据《建筑设计防火规范》（GB 50016-2014）第3.1.3条储存物品的火灾危险性类别为甲类。</w:t>
      </w:r>
      <w:r>
        <w:rPr>
          <w:rFonts w:ascii="宋体" w:hAnsi="宋体" w:eastAsia="宋体" w:cs="宋体"/>
          <w:sz w:val="24"/>
          <w:szCs w:val="24"/>
        </w:rPr>
        <w:br w:type="textWrapping"/>
      </w:r>
      <w:r>
        <w:rPr>
          <w:rFonts w:ascii="宋体" w:hAnsi="宋体" w:eastAsia="宋体" w:cs="宋体"/>
          <w:sz w:val="24"/>
          <w:szCs w:val="24"/>
        </w:rPr>
        <w:t xml:space="preserve">2）车间的压型钢板墙架柱，不刷防火涂料。 </w:t>
      </w:r>
      <w:r>
        <w:rPr>
          <w:rFonts w:ascii="宋体" w:hAnsi="宋体" w:eastAsia="宋体" w:cs="宋体"/>
          <w:sz w:val="24"/>
          <w:szCs w:val="24"/>
        </w:rPr>
        <w:br w:type="textWrapping"/>
      </w:r>
      <w:r>
        <w:rPr>
          <w:rFonts w:ascii="宋体" w:hAnsi="宋体" w:eastAsia="宋体" w:cs="宋体"/>
          <w:sz w:val="24"/>
          <w:szCs w:val="24"/>
        </w:rPr>
        <w:t>5.9其他说明：</w:t>
      </w:r>
      <w:r>
        <w:rPr>
          <w:rFonts w:ascii="宋体" w:hAnsi="宋体" w:eastAsia="宋体" w:cs="宋体"/>
          <w:sz w:val="24"/>
          <w:szCs w:val="24"/>
        </w:rPr>
        <w:br w:type="textWrapping"/>
      </w:r>
      <w:r>
        <w:rPr>
          <w:rFonts w:ascii="宋体" w:hAnsi="宋体" w:eastAsia="宋体" w:cs="宋体"/>
          <w:sz w:val="24"/>
          <w:szCs w:val="24"/>
        </w:rPr>
        <w:t>1）防火涂料必须经过国家及地方检测机构检测合格，并得到当地消防部门的认可，确保通过消防验收。</w:t>
      </w:r>
      <w:r>
        <w:rPr>
          <w:rFonts w:ascii="宋体" w:hAnsi="宋体" w:eastAsia="宋体" w:cs="宋体"/>
          <w:sz w:val="24"/>
          <w:szCs w:val="24"/>
        </w:rPr>
        <w:br w:type="textWrapping"/>
      </w:r>
      <w:r>
        <w:rPr>
          <w:rFonts w:ascii="宋体" w:hAnsi="宋体" w:eastAsia="宋体" w:cs="宋体"/>
          <w:sz w:val="24"/>
          <w:szCs w:val="24"/>
        </w:rPr>
        <w:t>2）钢结构构件刷防火涂料做法为：先将其表面清除干净，并将板面及焊缝打磨光滑后，刷防锈底漆两道，再刷防火涂料。</w:t>
      </w:r>
      <w:r>
        <w:rPr>
          <w:rFonts w:ascii="宋体" w:hAnsi="宋体" w:eastAsia="宋体" w:cs="宋体"/>
          <w:sz w:val="24"/>
          <w:szCs w:val="24"/>
        </w:rPr>
        <w:br w:type="textWrapping"/>
      </w:r>
      <w:r>
        <w:rPr>
          <w:rFonts w:ascii="宋体" w:hAnsi="宋体" w:eastAsia="宋体" w:cs="宋体"/>
          <w:sz w:val="24"/>
          <w:szCs w:val="24"/>
        </w:rPr>
        <w:t>3）防火涂料宜选用超薄型，宜选用水性防火涂料；暴露在室外的钢构件采用室外型防火涂料。</w:t>
      </w:r>
      <w:r>
        <w:rPr>
          <w:rFonts w:ascii="宋体" w:hAnsi="宋体" w:eastAsia="宋体" w:cs="宋体"/>
          <w:sz w:val="24"/>
          <w:szCs w:val="24"/>
        </w:rPr>
        <w:br w:type="textWrapping"/>
      </w:r>
      <w:r>
        <w:rPr>
          <w:rFonts w:ascii="宋体" w:hAnsi="宋体" w:eastAsia="宋体" w:cs="宋体"/>
          <w:sz w:val="24"/>
          <w:szCs w:val="24"/>
        </w:rPr>
        <w:t>4）钢结构防火涂料的涂层厚度必须根据其耐火极限的检测数据确定，严禁进行厚度换算，应满足构件耐火极限的要求。</w:t>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t>九. 其他说明</w:t>
      </w:r>
      <w:r>
        <w:rPr>
          <w:rFonts w:ascii="宋体" w:hAnsi="宋体" w:eastAsia="宋体" w:cs="宋体"/>
          <w:sz w:val="24"/>
          <w:szCs w:val="24"/>
        </w:rPr>
        <w:br w:type="textWrapping"/>
      </w:r>
      <w:r>
        <w:rPr>
          <w:rFonts w:ascii="宋体" w:hAnsi="宋体" w:eastAsia="宋体" w:cs="宋体"/>
          <w:sz w:val="24"/>
          <w:szCs w:val="24"/>
        </w:rPr>
        <w:t>1. 总平面布置图见总平面图。</w:t>
      </w:r>
      <w:r>
        <w:rPr>
          <w:rFonts w:ascii="宋体" w:hAnsi="宋体" w:eastAsia="宋体" w:cs="宋体"/>
          <w:sz w:val="24"/>
          <w:szCs w:val="24"/>
        </w:rPr>
        <w:br w:type="textWrapping"/>
      </w:r>
      <w:r>
        <w:rPr>
          <w:rFonts w:ascii="宋体" w:hAnsi="宋体" w:eastAsia="宋体" w:cs="宋体"/>
          <w:sz w:val="24"/>
          <w:szCs w:val="24"/>
        </w:rPr>
        <w:t>2. 本工程施工过程中，凡选用标准图集通用详图，不论采用其局部节点或全部详图，均应按照本图纸要求配合施工。施工前详细了解标准图集中的有关说明。</w:t>
      </w:r>
      <w:r>
        <w:rPr>
          <w:rFonts w:ascii="宋体" w:hAnsi="宋体" w:eastAsia="宋体" w:cs="宋体"/>
          <w:sz w:val="24"/>
          <w:szCs w:val="24"/>
        </w:rPr>
        <w:br w:type="textWrapping"/>
      </w:r>
      <w:r>
        <w:rPr>
          <w:rFonts w:ascii="宋体" w:hAnsi="宋体" w:eastAsia="宋体" w:cs="宋体"/>
          <w:sz w:val="24"/>
          <w:szCs w:val="24"/>
        </w:rPr>
        <w:t>3. 钢结构施工未注明节点做法处参照国标01J925-1、06J925-2、15J201-1、17J925-1、23J909施工。</w:t>
      </w:r>
      <w:r>
        <w:rPr>
          <w:rFonts w:ascii="宋体" w:hAnsi="宋体" w:eastAsia="宋体" w:cs="宋体"/>
          <w:sz w:val="24"/>
          <w:szCs w:val="24"/>
        </w:rPr>
        <w:br w:type="textWrapping"/>
      </w:r>
      <w:r>
        <w:rPr>
          <w:rFonts w:ascii="宋体" w:hAnsi="宋体" w:eastAsia="宋体" w:cs="宋体"/>
          <w:sz w:val="24"/>
          <w:szCs w:val="24"/>
        </w:rPr>
        <w:t>4. 管道井每层用混凝土板做防火分隔，管井门为丙级防火门。</w:t>
      </w:r>
      <w:r>
        <w:rPr>
          <w:rFonts w:ascii="宋体" w:hAnsi="宋体" w:eastAsia="宋体" w:cs="宋体"/>
          <w:sz w:val="24"/>
          <w:szCs w:val="24"/>
        </w:rPr>
        <w:br w:type="textWrapping"/>
      </w:r>
      <w:r>
        <w:rPr>
          <w:rFonts w:ascii="宋体" w:hAnsi="宋体" w:eastAsia="宋体" w:cs="宋体"/>
          <w:sz w:val="24"/>
          <w:szCs w:val="24"/>
        </w:rPr>
        <w:t>5. 两种不同基体交接处、暗埋管线开槽处，应先分别清理、补槽后，再增加镀锌钢丝网抹灰处理，钢丝网搭接宽度不应小于300钢丝网采用∅0.6@20x20热镀锌钢丝网。并进行隐蔽验收。</w:t>
      </w:r>
      <w:r>
        <w:rPr>
          <w:rFonts w:ascii="宋体" w:hAnsi="宋体" w:eastAsia="宋体" w:cs="宋体"/>
          <w:sz w:val="24"/>
          <w:szCs w:val="24"/>
        </w:rPr>
        <w:br w:type="textWrapping"/>
      </w:r>
      <w:r>
        <w:rPr>
          <w:rFonts w:ascii="宋体" w:hAnsi="宋体" w:eastAsia="宋体" w:cs="宋体"/>
          <w:sz w:val="24"/>
          <w:szCs w:val="24"/>
        </w:rPr>
        <w:t>6. 所有门上的把手等五金件样式规格待后定或甲方自定。</w:t>
      </w:r>
      <w:r>
        <w:rPr>
          <w:rFonts w:ascii="宋体" w:hAnsi="宋体" w:eastAsia="宋体" w:cs="宋体"/>
          <w:sz w:val="24"/>
          <w:szCs w:val="24"/>
        </w:rPr>
        <w:br w:type="textWrapping"/>
      </w:r>
      <w:r>
        <w:rPr>
          <w:rFonts w:ascii="宋体" w:hAnsi="宋体" w:eastAsia="宋体" w:cs="宋体"/>
          <w:sz w:val="24"/>
          <w:szCs w:val="24"/>
        </w:rPr>
        <w:t>7. 楼梯间和人流通道处的墙体，应采用钢丝网砂浆面层加强。</w:t>
      </w:r>
      <w:r>
        <w:rPr>
          <w:rFonts w:ascii="宋体" w:hAnsi="宋体" w:eastAsia="宋体" w:cs="宋体"/>
          <w:sz w:val="24"/>
          <w:szCs w:val="24"/>
        </w:rPr>
        <w:br w:type="textWrapping"/>
      </w:r>
      <w:r>
        <w:rPr>
          <w:rFonts w:ascii="宋体" w:hAnsi="宋体" w:eastAsia="宋体" w:cs="宋体"/>
          <w:sz w:val="24"/>
          <w:szCs w:val="24"/>
        </w:rPr>
        <w:t>8. 本工程所有预埋件均需作防腐防锈处理，木构件满涂沥青，金属构配件、埋件及套均刷红丹一度，防锈漆两度，室内管道其表面应以油漆颜色加以区分，垫层内管道应在装修前在地面上画出其位置走向。</w:t>
      </w:r>
      <w:r>
        <w:rPr>
          <w:rFonts w:ascii="宋体" w:hAnsi="宋体" w:eastAsia="宋体" w:cs="宋体"/>
          <w:sz w:val="24"/>
          <w:szCs w:val="24"/>
        </w:rPr>
        <w:br w:type="textWrapping"/>
      </w:r>
      <w:r>
        <w:rPr>
          <w:rFonts w:ascii="宋体" w:hAnsi="宋体" w:eastAsia="宋体" w:cs="宋体"/>
          <w:sz w:val="24"/>
          <w:szCs w:val="24"/>
        </w:rPr>
        <w:t>9. 本工程设计图纸凡未注明处均按现行国家现行规范执行。经业主、设计、监理三方同意情况下，允许按可靠的当地常用做法施工。</w:t>
      </w:r>
      <w:r>
        <w:rPr>
          <w:rFonts w:ascii="宋体" w:hAnsi="宋体" w:eastAsia="宋体" w:cs="宋体"/>
          <w:sz w:val="24"/>
          <w:szCs w:val="24"/>
        </w:rPr>
        <w:br w:type="textWrapping"/>
      </w:r>
      <w:r>
        <w:rPr>
          <w:rFonts w:ascii="宋体" w:hAnsi="宋体" w:eastAsia="宋体" w:cs="宋体"/>
          <w:sz w:val="24"/>
          <w:szCs w:val="24"/>
        </w:rPr>
        <w:t>10. 防火门均根据《建筑设计防火规范》GB50016-2018第6.5.1条的规定做相应的设计。</w:t>
      </w:r>
      <w:r>
        <w:rPr>
          <w:rFonts w:ascii="宋体" w:hAnsi="宋体" w:eastAsia="宋体" w:cs="宋体"/>
          <w:sz w:val="24"/>
          <w:szCs w:val="24"/>
        </w:rPr>
        <w:br w:type="textWrapping"/>
      </w:r>
      <w:r>
        <w:rPr>
          <w:rFonts w:ascii="宋体" w:hAnsi="宋体" w:eastAsia="宋体" w:cs="宋体"/>
          <w:sz w:val="24"/>
          <w:szCs w:val="24"/>
        </w:rPr>
        <w:t>11. 本设计不含室外景观绿化、室内二次装修和立面精装修设计。顾客另行委托的室外景观绿化、室内二次装修和立面精装修设计方案应征求本设计人的意见，以确保室内外设计风格的统一性。</w:t>
      </w:r>
      <w:r>
        <w:rPr>
          <w:rFonts w:ascii="宋体" w:hAnsi="宋体" w:eastAsia="宋体" w:cs="宋体"/>
          <w:sz w:val="24"/>
          <w:szCs w:val="24"/>
        </w:rPr>
        <w:br w:type="textWrapping"/>
      </w:r>
      <w:r>
        <w:rPr>
          <w:rFonts w:ascii="宋体" w:hAnsi="宋体" w:eastAsia="宋体" w:cs="宋体"/>
          <w:sz w:val="24"/>
          <w:szCs w:val="24"/>
        </w:rPr>
        <w:t>12. 本图纸室内装修设计为参考做法，本工程所有涉及内装修的做法及应用范围均应以甲方指定精装二次设计的设计内容为准，具体做法详装修公司所做装修施工图但不应破坏承重体系及违反防火规范。</w:t>
      </w:r>
      <w:r>
        <w:rPr>
          <w:rFonts w:ascii="宋体" w:hAnsi="宋体" w:eastAsia="宋体" w:cs="宋体"/>
          <w:sz w:val="24"/>
          <w:szCs w:val="24"/>
        </w:rPr>
        <w:br w:type="textWrapping"/>
      </w:r>
      <w:r>
        <w:rPr>
          <w:rFonts w:ascii="宋体" w:hAnsi="宋体" w:eastAsia="宋体" w:cs="宋体"/>
          <w:sz w:val="24"/>
          <w:szCs w:val="24"/>
        </w:rPr>
        <w:t>13. 施工中发现问题应及时通知设计人员协商处理，不应明知有误而继续按图施工。由设计人原因引起的变更，由设计人发出《设计变更、修改通知单》。非设计人提出的变更意见，应事先征得设计人同意后出据加盖各方公章的《技术变更核定单》，未经设计人同意而自行修改，设计人将不予认可。</w:t>
      </w:r>
      <w:r>
        <w:rPr>
          <w:rFonts w:ascii="宋体" w:hAnsi="宋体" w:eastAsia="宋体" w:cs="宋体"/>
          <w:sz w:val="24"/>
          <w:szCs w:val="24"/>
        </w:rPr>
        <w:br w:type="textWrapping"/>
      </w:r>
      <w:r>
        <w:rPr>
          <w:rFonts w:ascii="宋体" w:hAnsi="宋体" w:eastAsia="宋体" w:cs="宋体"/>
          <w:sz w:val="24"/>
          <w:szCs w:val="24"/>
        </w:rPr>
        <w:t>14. 施工单位应认真参阅设备，电气施工图，协调与土建施工的关系，做好预埋件、预留孔洞等。</w:t>
      </w:r>
      <w:bookmarkStart w:id="201" w:name="_Toc31859"/>
      <w:bookmarkStart w:id="202" w:name="_Toc162361725"/>
      <w:bookmarkStart w:id="203" w:name="_第四卷"/>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2"/>
        <w:ind w:left="420" w:firstLine="420"/>
        <w:jc w:val="left"/>
        <w:rPr>
          <w:rFonts w:ascii="宋体" w:hAnsi="宋体" w:eastAsia="宋体" w:cs="宋体"/>
          <w:sz w:val="24"/>
          <w:szCs w:val="24"/>
        </w:rPr>
      </w:pPr>
    </w:p>
    <w:p>
      <w:pPr>
        <w:pStyle w:val="2"/>
        <w:jc w:val="center"/>
        <w:outlineLvl w:val="9"/>
        <w:rPr>
          <w:sz w:val="48"/>
          <w:szCs w:val="48"/>
        </w:rPr>
      </w:pPr>
    </w:p>
    <w:p>
      <w:pPr>
        <w:pStyle w:val="2"/>
        <w:jc w:val="center"/>
        <w:outlineLvl w:val="9"/>
        <w:rPr>
          <w:sz w:val="48"/>
          <w:szCs w:val="48"/>
        </w:rPr>
      </w:pPr>
    </w:p>
    <w:p>
      <w:pPr>
        <w:pStyle w:val="2"/>
        <w:jc w:val="center"/>
        <w:rPr>
          <w:sz w:val="48"/>
          <w:szCs w:val="48"/>
        </w:rPr>
      </w:pPr>
      <w:bookmarkStart w:id="204" w:name="_Toc22566"/>
      <w:r>
        <w:rPr>
          <w:sz w:val="48"/>
          <w:szCs w:val="48"/>
        </w:rPr>
        <w:t>第四卷</w:t>
      </w:r>
      <w:bookmarkEnd w:id="201"/>
      <w:bookmarkEnd w:id="202"/>
      <w:bookmarkEnd w:id="204"/>
    </w:p>
    <w:bookmarkEnd w:id="203"/>
    <w:p>
      <w:pPr>
        <w:spacing w:before="120" w:after="120" w:line="480" w:lineRule="exact"/>
        <w:rPr>
          <w:rStyle w:val="43"/>
          <w:rFonts w:ascii="宋体" w:hAnsi="宋体"/>
        </w:rPr>
        <w:sectPr>
          <w:pgSz w:w="11906" w:h="16838"/>
          <w:pgMar w:top="1417" w:right="1417" w:bottom="1418" w:left="1417" w:header="851" w:footer="851" w:gutter="0"/>
          <w:cols w:space="720" w:num="1"/>
          <w:vAlign w:val="center"/>
          <w:docGrid w:linePitch="312" w:charSpace="0"/>
        </w:sectPr>
      </w:pPr>
    </w:p>
    <w:p>
      <w:pPr>
        <w:pStyle w:val="3"/>
        <w:jc w:val="center"/>
        <w:rPr>
          <w:i w:val="0"/>
          <w:iCs w:val="0"/>
          <w:sz w:val="32"/>
          <w:szCs w:val="32"/>
        </w:rPr>
      </w:pPr>
      <w:bookmarkStart w:id="205" w:name="_Toc17817347"/>
      <w:bookmarkStart w:id="206" w:name="_Toc28132"/>
      <w:bookmarkStart w:id="207" w:name="_Toc162361726"/>
      <w:bookmarkStart w:id="208" w:name="_第八章  投标文件格式"/>
      <w:r>
        <w:rPr>
          <w:i w:val="0"/>
          <w:iCs w:val="0"/>
          <w:sz w:val="32"/>
          <w:szCs w:val="32"/>
        </w:rPr>
        <w:t>第八章  投标文件格式</w:t>
      </w:r>
      <w:bookmarkEnd w:id="205"/>
      <w:bookmarkEnd w:id="206"/>
      <w:bookmarkEnd w:id="207"/>
    </w:p>
    <w:bookmarkEnd w:id="208"/>
    <w:p>
      <w:pPr>
        <w:spacing w:before="120" w:after="120" w:line="480" w:lineRule="exact"/>
        <w:rPr>
          <w:rStyle w:val="43"/>
          <w:rFonts w:ascii="宋体" w:hAnsi="宋体"/>
        </w:rPr>
      </w:pPr>
    </w:p>
    <w:p>
      <w:pPr>
        <w:spacing w:before="120" w:after="120" w:line="480" w:lineRule="exact"/>
        <w:rPr>
          <w:rStyle w:val="43"/>
          <w:rFonts w:ascii="宋体" w:hAnsi="宋体"/>
        </w:rPr>
      </w:pPr>
    </w:p>
    <w:p>
      <w:pPr>
        <w:jc w:val="center"/>
        <w:rPr>
          <w:rStyle w:val="43"/>
          <w:rFonts w:ascii="宋体" w:hAnsi="宋体"/>
          <w:sz w:val="28"/>
          <w:szCs w:val="28"/>
          <w:u w:val="single"/>
        </w:rPr>
      </w:pPr>
      <w:r>
        <w:rPr>
          <w:rStyle w:val="43"/>
          <w:rFonts w:ascii="宋体" w:hAnsi="宋体"/>
          <w:sz w:val="28"/>
          <w:szCs w:val="28"/>
        </w:rPr>
        <w:t>（项目名称）</w:t>
      </w:r>
    </w:p>
    <w:p>
      <w:pPr>
        <w:spacing w:before="240"/>
        <w:jc w:val="center"/>
        <w:rPr>
          <w:rStyle w:val="43"/>
          <w:rFonts w:ascii="宋体" w:hAnsi="宋体"/>
          <w:sz w:val="44"/>
          <w:szCs w:val="44"/>
        </w:rPr>
      </w:pPr>
      <w:r>
        <w:rPr>
          <w:rStyle w:val="43"/>
          <w:rFonts w:ascii="宋体" w:hAnsi="宋体"/>
          <w:sz w:val="44"/>
          <w:szCs w:val="44"/>
        </w:rPr>
        <w:t>投  标  文  件</w:t>
      </w: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pStyle w:val="22"/>
        <w:ind w:left="420" w:firstLine="420"/>
      </w:pPr>
    </w:p>
    <w:p>
      <w:pPr>
        <w:pStyle w:val="18"/>
        <w:ind w:left="420"/>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spacing w:line="360" w:lineRule="auto"/>
        <w:jc w:val="center"/>
        <w:rPr>
          <w:rStyle w:val="43"/>
          <w:rFonts w:ascii="宋体" w:hAnsi="宋体"/>
          <w:sz w:val="28"/>
          <w:szCs w:val="28"/>
        </w:rPr>
      </w:pPr>
      <w:r>
        <w:rPr>
          <w:rStyle w:val="43"/>
          <w:rFonts w:ascii="宋体" w:hAnsi="宋体"/>
          <w:sz w:val="28"/>
          <w:szCs w:val="28"/>
        </w:rPr>
        <w:t>投标人：（盖单位公章）</w:t>
      </w:r>
    </w:p>
    <w:p>
      <w:pPr>
        <w:spacing w:line="360" w:lineRule="auto"/>
        <w:ind w:firstLine="980" w:firstLineChars="350"/>
        <w:rPr>
          <w:rStyle w:val="43"/>
          <w:rFonts w:ascii="宋体" w:hAnsi="宋体"/>
          <w:sz w:val="28"/>
          <w:szCs w:val="28"/>
        </w:rPr>
      </w:pPr>
      <w:r>
        <w:rPr>
          <w:rStyle w:val="43"/>
          <w:rFonts w:ascii="宋体" w:hAnsi="宋体"/>
          <w:sz w:val="28"/>
          <w:szCs w:val="28"/>
        </w:rPr>
        <w:t>法定代表人或其委托代理人：（签字或盖章）</w:t>
      </w:r>
    </w:p>
    <w:p>
      <w:pPr>
        <w:jc w:val="center"/>
        <w:rPr>
          <w:rStyle w:val="43"/>
          <w:rFonts w:ascii="宋体" w:hAnsi="宋体"/>
          <w:sz w:val="28"/>
          <w:szCs w:val="28"/>
        </w:rPr>
      </w:pPr>
    </w:p>
    <w:p>
      <w:pPr>
        <w:jc w:val="center"/>
        <w:rPr>
          <w:rStyle w:val="43"/>
          <w:rFonts w:ascii="宋体" w:hAnsi="宋体"/>
          <w:sz w:val="28"/>
          <w:szCs w:val="28"/>
        </w:rPr>
      </w:pPr>
    </w:p>
    <w:p>
      <w:pPr>
        <w:jc w:val="center"/>
        <w:rPr>
          <w:rStyle w:val="43"/>
          <w:rFonts w:ascii="宋体" w:hAnsi="宋体"/>
          <w:sz w:val="28"/>
          <w:szCs w:val="28"/>
        </w:rPr>
      </w:pPr>
      <w:r>
        <w:rPr>
          <w:rStyle w:val="43"/>
          <w:rFonts w:ascii="宋体" w:hAnsi="宋体"/>
          <w:sz w:val="28"/>
          <w:szCs w:val="28"/>
        </w:rPr>
        <w:t>年月日</w:t>
      </w:r>
      <w:r>
        <w:rPr>
          <w:rStyle w:val="43"/>
          <w:rFonts w:ascii="宋体" w:hAnsi="宋体"/>
          <w:sz w:val="28"/>
          <w:szCs w:val="28"/>
        </w:rPr>
        <w:br w:type="page"/>
      </w:r>
    </w:p>
    <w:p>
      <w:pPr>
        <w:jc w:val="center"/>
        <w:rPr>
          <w:rStyle w:val="43"/>
          <w:rFonts w:ascii="宋体" w:hAnsi="宋体"/>
          <w:sz w:val="28"/>
          <w:szCs w:val="28"/>
        </w:rPr>
      </w:pPr>
      <w:r>
        <w:rPr>
          <w:rStyle w:val="43"/>
          <w:rFonts w:ascii="宋体" w:hAnsi="宋体"/>
          <w:sz w:val="28"/>
          <w:szCs w:val="28"/>
        </w:rPr>
        <w:t>目    录</w:t>
      </w:r>
    </w:p>
    <w:p>
      <w:pPr>
        <w:spacing w:line="600" w:lineRule="exact"/>
        <w:rPr>
          <w:rStyle w:val="43"/>
          <w:rFonts w:ascii="宋体" w:hAnsi="宋体"/>
          <w:szCs w:val="21"/>
        </w:rPr>
      </w:pPr>
      <w:r>
        <w:rPr>
          <w:rStyle w:val="43"/>
          <w:rFonts w:ascii="宋体" w:hAnsi="宋体"/>
          <w:szCs w:val="21"/>
        </w:rPr>
        <w:t>一、投标函及投标函附录</w:t>
      </w:r>
    </w:p>
    <w:p>
      <w:pPr>
        <w:spacing w:line="600" w:lineRule="exact"/>
        <w:rPr>
          <w:rStyle w:val="43"/>
          <w:rFonts w:ascii="宋体" w:hAnsi="宋体"/>
          <w:szCs w:val="21"/>
        </w:rPr>
      </w:pPr>
      <w:r>
        <w:rPr>
          <w:rStyle w:val="43"/>
          <w:rFonts w:ascii="宋体" w:hAnsi="宋体"/>
          <w:szCs w:val="21"/>
        </w:rPr>
        <w:t>二、法定代表人身份证明</w:t>
      </w:r>
    </w:p>
    <w:p>
      <w:pPr>
        <w:spacing w:line="600" w:lineRule="exact"/>
        <w:rPr>
          <w:rStyle w:val="43"/>
          <w:rFonts w:ascii="宋体" w:hAnsi="宋体"/>
          <w:szCs w:val="21"/>
        </w:rPr>
      </w:pPr>
      <w:r>
        <w:rPr>
          <w:rStyle w:val="43"/>
          <w:rFonts w:ascii="宋体" w:hAnsi="宋体"/>
          <w:szCs w:val="21"/>
        </w:rPr>
        <w:t>三、授权委托书</w:t>
      </w:r>
    </w:p>
    <w:p>
      <w:pPr>
        <w:spacing w:line="600" w:lineRule="exact"/>
        <w:rPr>
          <w:rStyle w:val="43"/>
          <w:rFonts w:ascii="宋体" w:hAnsi="宋体"/>
          <w:szCs w:val="21"/>
        </w:rPr>
      </w:pPr>
      <w:r>
        <w:rPr>
          <w:rStyle w:val="43"/>
          <w:rFonts w:ascii="宋体" w:hAnsi="宋体"/>
          <w:szCs w:val="21"/>
        </w:rPr>
        <w:t>四、投标保证金</w:t>
      </w:r>
    </w:p>
    <w:p>
      <w:pPr>
        <w:spacing w:line="600" w:lineRule="exact"/>
        <w:rPr>
          <w:rStyle w:val="43"/>
          <w:rFonts w:ascii="宋体" w:hAnsi="宋体"/>
          <w:szCs w:val="21"/>
        </w:rPr>
      </w:pPr>
      <w:r>
        <w:rPr>
          <w:rStyle w:val="43"/>
          <w:rFonts w:ascii="宋体" w:hAnsi="宋体"/>
          <w:szCs w:val="21"/>
        </w:rPr>
        <w:t>五、已标价工程量清单</w:t>
      </w:r>
    </w:p>
    <w:p>
      <w:pPr>
        <w:spacing w:line="600" w:lineRule="exact"/>
        <w:rPr>
          <w:rStyle w:val="43"/>
          <w:rFonts w:ascii="宋体" w:hAnsi="宋体"/>
        </w:rPr>
      </w:pPr>
      <w:r>
        <w:rPr>
          <w:rStyle w:val="43"/>
          <w:rFonts w:hint="eastAsia" w:ascii="宋体" w:hAnsi="宋体"/>
        </w:rPr>
        <w:t>六、施工组织设计</w:t>
      </w:r>
    </w:p>
    <w:p>
      <w:pPr>
        <w:spacing w:line="600" w:lineRule="exact"/>
        <w:rPr>
          <w:rStyle w:val="43"/>
          <w:rFonts w:ascii="宋体" w:hAnsi="宋体"/>
          <w:szCs w:val="21"/>
        </w:rPr>
      </w:pPr>
      <w:r>
        <w:rPr>
          <w:rStyle w:val="43"/>
          <w:rFonts w:hint="eastAsia" w:ascii="宋体" w:hAnsi="宋体"/>
        </w:rPr>
        <w:t>七、甲限乙购</w:t>
      </w:r>
      <w:r>
        <w:rPr>
          <w:rStyle w:val="43"/>
          <w:rFonts w:ascii="宋体" w:hAnsi="宋体"/>
        </w:rPr>
        <w:t>材料（设备）品牌</w:t>
      </w:r>
      <w:r>
        <w:rPr>
          <w:rStyle w:val="43"/>
          <w:rFonts w:hint="eastAsia" w:ascii="宋体" w:hAnsi="宋体"/>
        </w:rPr>
        <w:t>表</w:t>
      </w:r>
    </w:p>
    <w:p>
      <w:pPr>
        <w:spacing w:line="600" w:lineRule="exact"/>
        <w:rPr>
          <w:rStyle w:val="43"/>
          <w:rFonts w:ascii="宋体" w:hAnsi="宋体"/>
          <w:szCs w:val="21"/>
        </w:rPr>
      </w:pPr>
      <w:r>
        <w:rPr>
          <w:rStyle w:val="43"/>
          <w:rFonts w:hint="eastAsia" w:ascii="宋体" w:hAnsi="宋体"/>
          <w:szCs w:val="21"/>
        </w:rPr>
        <w:t>八</w:t>
      </w:r>
      <w:r>
        <w:rPr>
          <w:rStyle w:val="43"/>
          <w:rFonts w:ascii="宋体" w:hAnsi="宋体"/>
          <w:szCs w:val="21"/>
        </w:rPr>
        <w:t>、项目管理机构</w:t>
      </w:r>
    </w:p>
    <w:p>
      <w:pPr>
        <w:spacing w:line="600" w:lineRule="exact"/>
        <w:rPr>
          <w:rStyle w:val="43"/>
          <w:rFonts w:ascii="宋体" w:hAnsi="宋体"/>
          <w:szCs w:val="21"/>
        </w:rPr>
      </w:pPr>
      <w:r>
        <w:rPr>
          <w:rStyle w:val="43"/>
          <w:rFonts w:hint="eastAsia" w:ascii="宋体" w:hAnsi="宋体"/>
          <w:szCs w:val="21"/>
        </w:rPr>
        <w:t>九</w:t>
      </w:r>
      <w:r>
        <w:rPr>
          <w:rStyle w:val="43"/>
          <w:rFonts w:ascii="宋体" w:hAnsi="宋体"/>
          <w:szCs w:val="21"/>
        </w:rPr>
        <w:t>、其他材料</w:t>
      </w:r>
    </w:p>
    <w:p>
      <w:pPr>
        <w:spacing w:line="600" w:lineRule="exact"/>
        <w:rPr>
          <w:rStyle w:val="43"/>
          <w:rFonts w:ascii="宋体" w:hAnsi="宋体"/>
          <w:szCs w:val="21"/>
        </w:rPr>
      </w:pPr>
    </w:p>
    <w:p>
      <w:pPr>
        <w:spacing w:line="600" w:lineRule="exact"/>
        <w:rPr>
          <w:rStyle w:val="43"/>
          <w:rFonts w:ascii="宋体" w:hAnsi="宋体"/>
          <w:szCs w:val="21"/>
        </w:rPr>
      </w:pPr>
    </w:p>
    <w:p>
      <w:pPr>
        <w:spacing w:line="600" w:lineRule="exact"/>
        <w:rPr>
          <w:rStyle w:val="43"/>
          <w:rFonts w:ascii="宋体" w:hAnsi="宋体"/>
          <w:szCs w:val="21"/>
        </w:rPr>
      </w:pPr>
    </w:p>
    <w:p>
      <w:pPr>
        <w:spacing w:line="600" w:lineRule="exact"/>
        <w:rPr>
          <w:rStyle w:val="43"/>
          <w:rFonts w:ascii="宋体" w:hAnsi="宋体"/>
          <w:szCs w:val="21"/>
        </w:rPr>
      </w:pPr>
    </w:p>
    <w:p>
      <w:pPr>
        <w:spacing w:line="600" w:lineRule="exact"/>
        <w:rPr>
          <w:rStyle w:val="43"/>
          <w:rFonts w:ascii="宋体" w:hAnsi="宋体"/>
          <w:szCs w:val="21"/>
        </w:rPr>
      </w:pPr>
    </w:p>
    <w:p>
      <w:pPr>
        <w:spacing w:line="600" w:lineRule="exact"/>
        <w:rPr>
          <w:rStyle w:val="43"/>
          <w:rFonts w:ascii="宋体" w:hAnsi="宋体"/>
          <w:szCs w:val="21"/>
        </w:rPr>
      </w:pPr>
      <w:r>
        <w:rPr>
          <w:rStyle w:val="43"/>
          <w:rFonts w:ascii="宋体" w:hAnsi="宋体"/>
          <w:szCs w:val="21"/>
        </w:rPr>
        <w:br w:type="page"/>
      </w:r>
    </w:p>
    <w:p>
      <w:pPr>
        <w:pStyle w:val="4"/>
        <w:spacing w:before="0" w:after="0" w:line="480" w:lineRule="auto"/>
        <w:jc w:val="center"/>
        <w:rPr>
          <w:sz w:val="30"/>
          <w:szCs w:val="30"/>
        </w:rPr>
      </w:pPr>
      <w:bookmarkStart w:id="209" w:name="_Toc23716"/>
      <w:bookmarkStart w:id="210" w:name="_Toc16063994"/>
      <w:bookmarkStart w:id="211" w:name="_Toc6538"/>
      <w:bookmarkStart w:id="212" w:name="_Toc162361727"/>
      <w:bookmarkStart w:id="213" w:name="_Toc17817348"/>
      <w:bookmarkStart w:id="214" w:name="_一、投标函及投标函附录"/>
      <w:r>
        <w:rPr>
          <w:sz w:val="30"/>
          <w:szCs w:val="30"/>
        </w:rPr>
        <w:t>一、投标函及投标函附录</w:t>
      </w:r>
      <w:bookmarkEnd w:id="209"/>
      <w:bookmarkEnd w:id="210"/>
      <w:bookmarkEnd w:id="211"/>
      <w:bookmarkEnd w:id="212"/>
      <w:bookmarkEnd w:id="213"/>
    </w:p>
    <w:bookmarkEnd w:id="214"/>
    <w:p>
      <w:pPr>
        <w:snapToGrid w:val="0"/>
        <w:spacing w:line="440" w:lineRule="exact"/>
        <w:ind w:firstLine="527" w:firstLineChars="250"/>
        <w:jc w:val="center"/>
        <w:rPr>
          <w:rStyle w:val="43"/>
          <w:rFonts w:ascii="宋体" w:hAnsi="宋体"/>
          <w:b/>
          <w:szCs w:val="21"/>
        </w:rPr>
      </w:pPr>
      <w:bookmarkStart w:id="215" w:name="_Toc16063995"/>
      <w:r>
        <w:rPr>
          <w:rStyle w:val="43"/>
          <w:rFonts w:ascii="宋体" w:hAnsi="宋体"/>
          <w:b/>
          <w:szCs w:val="21"/>
        </w:rPr>
        <w:t>（一）投标函</w:t>
      </w:r>
      <w:bookmarkEnd w:id="215"/>
    </w:p>
    <w:p>
      <w:pPr>
        <w:snapToGrid w:val="0"/>
        <w:spacing w:line="440" w:lineRule="exact"/>
        <w:ind w:firstLine="527" w:firstLineChars="250"/>
        <w:jc w:val="center"/>
        <w:rPr>
          <w:rStyle w:val="43"/>
          <w:rFonts w:ascii="宋体" w:hAnsi="宋体"/>
          <w:b/>
          <w:szCs w:val="21"/>
        </w:rPr>
      </w:pPr>
    </w:p>
    <w:p>
      <w:pPr>
        <w:spacing w:line="480" w:lineRule="exact"/>
        <w:rPr>
          <w:rStyle w:val="43"/>
          <w:rFonts w:ascii="宋体" w:hAnsi="宋体"/>
        </w:rPr>
      </w:pPr>
      <w:r>
        <w:rPr>
          <w:rStyle w:val="43"/>
          <w:rFonts w:ascii="宋体" w:hAnsi="宋体"/>
        </w:rPr>
        <w:t>致：（招标人名称）</w:t>
      </w:r>
    </w:p>
    <w:p>
      <w:pPr>
        <w:spacing w:line="480" w:lineRule="exact"/>
        <w:ind w:firstLine="420" w:firstLineChars="200"/>
        <w:rPr>
          <w:rStyle w:val="43"/>
          <w:rFonts w:ascii="宋体" w:hAnsi="宋体"/>
        </w:rPr>
      </w:pPr>
      <w:r>
        <w:rPr>
          <w:rStyle w:val="43"/>
          <w:rFonts w:ascii="宋体" w:hAnsi="宋体"/>
        </w:rPr>
        <w:t>根据已收到贵方的招标编号为</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的</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pPr>
        <w:spacing w:line="480" w:lineRule="exact"/>
        <w:ind w:firstLine="420" w:firstLineChars="200"/>
        <w:rPr>
          <w:rStyle w:val="43"/>
          <w:rFonts w:ascii="宋体" w:hAnsi="宋体"/>
        </w:rPr>
      </w:pPr>
      <w:r>
        <w:rPr>
          <w:rStyle w:val="43"/>
          <w:rFonts w:ascii="宋体" w:hAnsi="宋体"/>
        </w:rPr>
        <w:t>如果我方中标，我方保证在</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年</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月</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日或按照合同约定的开工日期开始本工程的施工，</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天内竣工，并确保工程质量合格。我方同意本投标函在招标文件规定的提交投标文件截止时间后，在招标文件规定的投标有效期期满前对我方具有约束力，且随时准备接受你方发出的中标通知书。</w:t>
      </w:r>
    </w:p>
    <w:p>
      <w:pPr>
        <w:spacing w:line="480" w:lineRule="exact"/>
        <w:ind w:firstLine="420" w:firstLineChars="200"/>
        <w:rPr>
          <w:rStyle w:val="43"/>
          <w:rFonts w:ascii="宋体" w:hAnsi="宋体"/>
        </w:rPr>
      </w:pPr>
      <w:r>
        <w:rPr>
          <w:rStyle w:val="43"/>
          <w:rFonts w:ascii="宋体" w:hAnsi="宋体"/>
        </w:rPr>
        <w:t>随本投标函递交的投标函附录是本投标函的组成部分，对我方构成约束力。</w:t>
      </w:r>
    </w:p>
    <w:p>
      <w:pPr>
        <w:spacing w:line="480" w:lineRule="exact"/>
        <w:ind w:firstLine="420" w:firstLineChars="200"/>
        <w:rPr>
          <w:rStyle w:val="43"/>
          <w:rFonts w:ascii="宋体" w:hAnsi="宋体"/>
        </w:rPr>
      </w:pPr>
      <w:r>
        <w:rPr>
          <w:rStyle w:val="43"/>
          <w:rFonts w:ascii="宋体" w:hAnsi="宋体"/>
        </w:rPr>
        <w:t>随同本投标函递交投标保证金一份，金额为人民币（大写）：</w:t>
      </w:r>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元（</w:t>
      </w:r>
      <w:bookmarkStart w:id="216" w:name="_Hlk161834918"/>
      <w:r>
        <w:rPr>
          <w:rStyle w:val="43"/>
          <w:rFonts w:hint="eastAsia" w:ascii="宋体" w:hAnsi="宋体"/>
        </w:rPr>
        <w:t>¥</w:t>
      </w:r>
      <w:bookmarkEnd w:id="216"/>
      <w:r>
        <w:rPr>
          <w:rStyle w:val="43"/>
          <w:rFonts w:hint="eastAsia" w:ascii="宋体" w:hAnsi="宋体"/>
          <w:u w:val="single"/>
        </w:rPr>
        <w:t xml:space="preserve"> </w:t>
      </w:r>
      <w:r>
        <w:rPr>
          <w:rStyle w:val="43"/>
          <w:rFonts w:ascii="宋体" w:hAnsi="宋体"/>
          <w:u w:val="single"/>
        </w:rPr>
        <w:t xml:space="preserve">    </w:t>
      </w:r>
      <w:r>
        <w:rPr>
          <w:rStyle w:val="43"/>
          <w:rFonts w:ascii="宋体" w:hAnsi="宋体"/>
        </w:rPr>
        <w:t>元）。</w:t>
      </w:r>
    </w:p>
    <w:p>
      <w:pPr>
        <w:spacing w:line="480" w:lineRule="exact"/>
        <w:ind w:firstLine="420" w:firstLineChars="200"/>
        <w:rPr>
          <w:rStyle w:val="43"/>
          <w:rFonts w:ascii="宋体" w:hAnsi="宋体"/>
        </w:rPr>
      </w:pPr>
      <w:r>
        <w:rPr>
          <w:rStyle w:val="43"/>
          <w:rFonts w:ascii="宋体" w:hAnsi="宋体"/>
        </w:rPr>
        <w:t>在签署协议书之前，你方中标通知书连同本投标函，包括投标函附录，对双方具有约束力。</w:t>
      </w:r>
    </w:p>
    <w:p>
      <w:pPr>
        <w:spacing w:line="480" w:lineRule="exact"/>
        <w:ind w:firstLine="420" w:firstLineChars="200"/>
        <w:rPr>
          <w:rStyle w:val="43"/>
          <w:rFonts w:ascii="宋体" w:hAnsi="宋体"/>
        </w:rPr>
      </w:pPr>
      <w:r>
        <w:rPr>
          <w:rStyle w:val="43"/>
          <w:rFonts w:ascii="宋体" w:hAnsi="宋体"/>
        </w:rPr>
        <w:t>我公司承诺遵守贵公司由于招标人公司政策变化引起的随时终止项目的要求并承担由此带来的一切损失。</w:t>
      </w:r>
    </w:p>
    <w:p>
      <w:pPr>
        <w:pStyle w:val="9"/>
      </w:pPr>
    </w:p>
    <w:p>
      <w:pPr>
        <w:spacing w:line="200" w:lineRule="exact"/>
        <w:ind w:firstLine="420" w:firstLineChars="200"/>
        <w:rPr>
          <w:rStyle w:val="43"/>
          <w:rFonts w:ascii="宋体" w:hAnsi="宋体"/>
        </w:rPr>
      </w:pPr>
    </w:p>
    <w:p>
      <w:pPr>
        <w:spacing w:line="480" w:lineRule="exact"/>
        <w:rPr>
          <w:rStyle w:val="43"/>
          <w:rFonts w:ascii="宋体" w:hAnsi="宋体"/>
        </w:rPr>
      </w:pPr>
      <w:r>
        <w:rPr>
          <w:rStyle w:val="43"/>
          <w:rFonts w:ascii="宋体" w:hAnsi="宋体"/>
        </w:rPr>
        <w:t>投  标  人（盖单位公章）：</w:t>
      </w:r>
    </w:p>
    <w:p>
      <w:pPr>
        <w:spacing w:line="480" w:lineRule="exact"/>
        <w:rPr>
          <w:rStyle w:val="43"/>
          <w:rFonts w:ascii="宋体" w:hAnsi="宋体"/>
        </w:rPr>
      </w:pPr>
      <w:r>
        <w:rPr>
          <w:rStyle w:val="43"/>
          <w:rFonts w:ascii="宋体" w:hAnsi="宋体"/>
        </w:rPr>
        <w:t>法人代表或委托代理人（签字或盖章）：</w:t>
      </w:r>
    </w:p>
    <w:p>
      <w:pPr>
        <w:spacing w:line="480" w:lineRule="exact"/>
        <w:rPr>
          <w:rStyle w:val="43"/>
          <w:rFonts w:ascii="宋体" w:hAnsi="宋体"/>
        </w:rPr>
      </w:pPr>
      <w:r>
        <w:rPr>
          <w:rStyle w:val="43"/>
          <w:rFonts w:ascii="宋体" w:hAnsi="宋体"/>
        </w:rPr>
        <w:t>日  期：年月日</w:t>
      </w:r>
    </w:p>
    <w:p>
      <w:pPr>
        <w:spacing w:line="200" w:lineRule="exact"/>
        <w:ind w:firstLine="420" w:firstLineChars="200"/>
        <w:rPr>
          <w:rStyle w:val="43"/>
          <w:rFonts w:ascii="宋体" w:hAnsi="宋体"/>
        </w:rPr>
      </w:pPr>
    </w:p>
    <w:p>
      <w:pPr>
        <w:spacing w:before="240" w:after="120" w:line="510" w:lineRule="exact"/>
        <w:rPr>
          <w:rStyle w:val="43"/>
          <w:rFonts w:ascii="宋体" w:hAnsi="宋体"/>
          <w:b/>
        </w:rPr>
      </w:pPr>
    </w:p>
    <w:p>
      <w:pPr>
        <w:spacing w:before="120"/>
        <w:jc w:val="center"/>
        <w:rPr>
          <w:rStyle w:val="43"/>
          <w:rFonts w:ascii="宋体" w:hAnsi="宋体"/>
          <w:b/>
          <w:szCs w:val="21"/>
        </w:rPr>
      </w:pPr>
      <w:r>
        <w:rPr>
          <w:rStyle w:val="43"/>
          <w:rFonts w:ascii="宋体" w:hAnsi="宋体"/>
          <w:b/>
          <w:szCs w:val="21"/>
        </w:rPr>
        <w:br w:type="page"/>
      </w:r>
    </w:p>
    <w:p>
      <w:pPr>
        <w:snapToGrid w:val="0"/>
        <w:spacing w:line="440" w:lineRule="exact"/>
        <w:jc w:val="center"/>
        <w:rPr>
          <w:rStyle w:val="43"/>
          <w:rFonts w:ascii="宋体" w:hAnsi="宋体"/>
          <w:b/>
          <w:szCs w:val="21"/>
        </w:rPr>
      </w:pPr>
      <w:bookmarkStart w:id="217" w:name="_Toc16063997"/>
      <w:r>
        <w:rPr>
          <w:rStyle w:val="43"/>
          <w:rFonts w:ascii="宋体" w:hAnsi="宋体"/>
          <w:b/>
          <w:szCs w:val="21"/>
        </w:rPr>
        <w:t>（</w:t>
      </w:r>
      <w:r>
        <w:rPr>
          <w:rStyle w:val="43"/>
          <w:rFonts w:hint="eastAsia" w:ascii="宋体" w:hAnsi="宋体"/>
          <w:b/>
          <w:szCs w:val="21"/>
        </w:rPr>
        <w:t>二</w:t>
      </w:r>
      <w:r>
        <w:rPr>
          <w:rStyle w:val="43"/>
          <w:rFonts w:ascii="宋体" w:hAnsi="宋体"/>
          <w:b/>
          <w:szCs w:val="21"/>
        </w:rPr>
        <w:t>）投标函附录-</w:t>
      </w:r>
      <w:bookmarkEnd w:id="217"/>
      <w:r>
        <w:rPr>
          <w:rStyle w:val="43"/>
          <w:rFonts w:ascii="宋体" w:hAnsi="宋体"/>
          <w:b/>
          <w:szCs w:val="21"/>
        </w:rPr>
        <w:t>1</w:t>
      </w:r>
    </w:p>
    <w:p>
      <w:pPr>
        <w:spacing w:line="360" w:lineRule="auto"/>
        <w:ind w:firstLine="278" w:firstLineChars="99"/>
        <w:jc w:val="center"/>
        <w:rPr>
          <w:rStyle w:val="43"/>
          <w:rFonts w:ascii="宋体" w:hAnsi="宋体"/>
          <w:b/>
          <w:bCs/>
          <w:sz w:val="28"/>
          <w:szCs w:val="28"/>
        </w:rPr>
      </w:pPr>
      <w:r>
        <w:rPr>
          <w:rStyle w:val="43"/>
          <w:rFonts w:ascii="宋体" w:hAnsi="宋体"/>
          <w:b/>
          <w:bCs/>
          <w:sz w:val="28"/>
          <w:szCs w:val="28"/>
        </w:rPr>
        <w:t>工程唱标单（格式）</w:t>
      </w:r>
    </w:p>
    <w:tbl>
      <w:tblPr>
        <w:tblStyle w:val="23"/>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43"/>
                <w:rFonts w:ascii="宋体" w:hAnsi="宋体"/>
                <w:bCs/>
                <w:szCs w:val="21"/>
              </w:rPr>
            </w:pPr>
            <w:r>
              <w:rPr>
                <w:rStyle w:val="43"/>
                <w:rFonts w:ascii="宋体" w:hAnsi="宋体"/>
                <w:bCs/>
                <w:szCs w:val="21"/>
              </w:rPr>
              <w:t xml:space="preserve">投标人：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43"/>
                <w:rFonts w:ascii="宋体" w:hAnsi="宋体"/>
                <w:bCs/>
                <w:szCs w:val="21"/>
              </w:rPr>
            </w:pPr>
            <w:r>
              <w:rPr>
                <w:rStyle w:val="43"/>
                <w:rFonts w:ascii="宋体" w:hAnsi="宋体"/>
                <w:bCs/>
                <w:szCs w:val="21"/>
              </w:rPr>
              <w:t xml:space="preserve">工程名称：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146"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bCs/>
              </w:rPr>
            </w:pPr>
            <w:r>
              <w:rPr>
                <w:rFonts w:hint="eastAsia" w:ascii="宋体" w:hAnsi="宋体" w:cs="宋体"/>
                <w:b/>
                <w:bCs/>
              </w:rPr>
              <w:t>投标总价：</w:t>
            </w:r>
          </w:p>
          <w:p>
            <w:pPr>
              <w:spacing w:line="360" w:lineRule="auto"/>
              <w:ind w:firstLine="420" w:firstLineChars="200"/>
              <w:rPr>
                <w:rFonts w:hint="eastAsia" w:ascii="宋体" w:hAnsi="宋体" w:cs="宋体"/>
              </w:rPr>
            </w:pPr>
            <w:r>
              <w:rPr>
                <w:rFonts w:hint="eastAsia" w:ascii="宋体" w:hAnsi="宋体" w:cs="宋体"/>
              </w:rPr>
              <w:t xml:space="preserve">含税报价：大写：人民币  </w:t>
            </w:r>
            <w:r>
              <w:rPr>
                <w:rFonts w:hint="eastAsia" w:ascii="宋体" w:hAnsi="宋体" w:cs="宋体"/>
                <w:lang w:val="en-US" w:eastAsia="zh-CN"/>
              </w:rPr>
              <w:t xml:space="preserve">  </w:t>
            </w:r>
            <w:r>
              <w:rPr>
                <w:rFonts w:hint="eastAsia" w:ascii="宋体" w:hAnsi="宋体" w:cs="宋体"/>
              </w:rPr>
              <w:t xml:space="preserve">    元（小写：¥      </w:t>
            </w:r>
            <w:r>
              <w:rPr>
                <w:rFonts w:hint="eastAsia" w:ascii="宋体" w:hAnsi="宋体" w:cs="宋体"/>
                <w:lang w:val="en-US" w:eastAsia="zh-CN"/>
              </w:rPr>
              <w:t xml:space="preserve">  </w:t>
            </w:r>
            <w:r>
              <w:rPr>
                <w:rFonts w:hint="eastAsia" w:ascii="宋体" w:hAnsi="宋体" w:cs="宋体"/>
              </w:rPr>
              <w:t>元），含9%增值税</w:t>
            </w:r>
          </w:p>
          <w:p>
            <w:pPr>
              <w:spacing w:line="360" w:lineRule="auto"/>
              <w:ind w:firstLine="420" w:firstLineChars="200"/>
              <w:rPr>
                <w:rFonts w:hint="default" w:ascii="宋体" w:hAnsi="宋体" w:eastAsia="宋体" w:cs="宋体"/>
                <w:lang w:val="en-US" w:eastAsia="zh-CN"/>
              </w:rPr>
            </w:pPr>
            <w:r>
              <w:rPr>
                <w:rFonts w:hint="eastAsia" w:ascii="宋体" w:hAnsi="宋体" w:cs="宋体"/>
                <w:lang w:val="en-US" w:eastAsia="zh-CN"/>
              </w:rPr>
              <w:t>计日工单价：    元/工日        清单外让利：      %</w:t>
            </w:r>
          </w:p>
          <w:p>
            <w:pPr>
              <w:pStyle w:val="9"/>
              <w:ind w:firstLine="420" w:firstLineChars="200"/>
              <w:rPr>
                <w:rFonts w:hint="default" w:ascii="宋体" w:hAnsi="宋体" w:eastAsia="宋体" w:cs="宋体"/>
                <w:sz w:val="21"/>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488"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r>
              <w:rPr>
                <w:rStyle w:val="43"/>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pPr>
              <w:spacing w:line="276" w:lineRule="auto"/>
              <w:rPr>
                <w:rStyle w:val="43"/>
                <w:rFonts w:ascii="宋体" w:hAnsi="宋体"/>
                <w:szCs w:val="21"/>
              </w:rPr>
            </w:pPr>
            <w:r>
              <w:rPr>
                <w:rStyle w:val="43"/>
                <w:rFonts w:ascii="宋体" w:hAnsi="宋体"/>
                <w:szCs w:val="21"/>
              </w:rPr>
              <w:t>计划总工期</w:t>
            </w:r>
            <w:r>
              <w:rPr>
                <w:rStyle w:val="43"/>
                <w:rFonts w:ascii="宋体" w:hAnsi="宋体"/>
                <w:szCs w:val="21"/>
                <w:u w:val="single"/>
              </w:rPr>
              <w:t>：</w:t>
            </w:r>
            <w:r>
              <w:rPr>
                <w:rStyle w:val="43"/>
                <w:rFonts w:hint="eastAsia" w:ascii="宋体" w:hAnsi="宋体"/>
                <w:szCs w:val="21"/>
                <w:u w:val="single"/>
                <w:lang w:val="en-US" w:eastAsia="zh-CN"/>
              </w:rPr>
              <w:t xml:space="preserve">  </w:t>
            </w:r>
            <w:r>
              <w:rPr>
                <w:rStyle w:val="43"/>
                <w:rFonts w:ascii="宋体" w:hAnsi="宋体"/>
                <w:szCs w:val="21"/>
                <w:u w:val="single"/>
              </w:rPr>
              <w:t xml:space="preserve">   </w:t>
            </w:r>
            <w:r>
              <w:rPr>
                <w:rStyle w:val="43"/>
                <w:rFonts w:ascii="宋体" w:hAnsi="宋体"/>
                <w:szCs w:val="21"/>
              </w:rPr>
              <w:t>日历天</w:t>
            </w:r>
            <w:r>
              <w:rPr>
                <w:rStyle w:val="43"/>
                <w:rFonts w:hint="eastAsia" w:ascii="宋体" w:hAnsi="宋体"/>
                <w:szCs w:val="21"/>
              </w:rPr>
              <w:t>（以收到招标人中标通知之日起计算）</w:t>
            </w:r>
            <w:r>
              <w:rPr>
                <w:rStyle w:val="43"/>
                <w:rFonts w:ascii="宋体" w:hAnsi="宋体"/>
                <w:szCs w:val="21"/>
              </w:rPr>
              <w:t>；</w:t>
            </w:r>
          </w:p>
          <w:p>
            <w:pPr>
              <w:spacing w:line="276" w:lineRule="auto"/>
              <w:rPr>
                <w:rStyle w:val="43"/>
                <w:rFonts w:ascii="宋体" w:hAnsi="宋体"/>
                <w:szCs w:val="21"/>
              </w:rPr>
            </w:pPr>
            <w:r>
              <w:rPr>
                <w:rStyle w:val="43"/>
                <w:rFonts w:ascii="宋体" w:hAnsi="宋体"/>
                <w:szCs w:val="21"/>
              </w:rPr>
              <w:t>计划开工日期：202</w:t>
            </w:r>
            <w:r>
              <w:rPr>
                <w:rStyle w:val="43"/>
                <w:rFonts w:hint="eastAsia" w:ascii="宋体" w:hAnsi="宋体"/>
                <w:szCs w:val="21"/>
                <w:lang w:val="en-US" w:eastAsia="zh-CN"/>
              </w:rPr>
              <w:t>5</w:t>
            </w:r>
            <w:r>
              <w:rPr>
                <w:rStyle w:val="43"/>
                <w:rFonts w:ascii="宋体" w:hAnsi="宋体"/>
                <w:szCs w:val="21"/>
              </w:rPr>
              <w:t>年</w:t>
            </w:r>
            <w:r>
              <w:rPr>
                <w:rStyle w:val="43"/>
                <w:rFonts w:hint="eastAsia" w:ascii="宋体" w:hAnsi="宋体"/>
                <w:szCs w:val="21"/>
              </w:rPr>
              <w:t xml:space="preserve"> </w:t>
            </w:r>
            <w:r>
              <w:rPr>
                <w:rStyle w:val="43"/>
                <w:rFonts w:hint="eastAsia" w:ascii="宋体" w:hAnsi="宋体"/>
                <w:szCs w:val="21"/>
                <w:lang w:val="en-US" w:eastAsia="zh-CN"/>
              </w:rPr>
              <w:t xml:space="preserve">  </w:t>
            </w:r>
            <w:r>
              <w:rPr>
                <w:rStyle w:val="43"/>
                <w:rFonts w:ascii="宋体" w:hAnsi="宋体"/>
                <w:szCs w:val="21"/>
              </w:rPr>
              <w:t>月</w:t>
            </w:r>
            <w:r>
              <w:rPr>
                <w:rStyle w:val="43"/>
                <w:rFonts w:hint="eastAsia" w:ascii="宋体" w:hAnsi="宋体"/>
                <w:szCs w:val="21"/>
              </w:rPr>
              <w:t xml:space="preserve"> </w:t>
            </w:r>
            <w:r>
              <w:rPr>
                <w:rStyle w:val="43"/>
                <w:rFonts w:hint="eastAsia" w:ascii="宋体" w:hAnsi="宋体"/>
                <w:szCs w:val="21"/>
                <w:lang w:val="en-US" w:eastAsia="zh-CN"/>
              </w:rPr>
              <w:t xml:space="preserve">  </w:t>
            </w:r>
            <w:r>
              <w:rPr>
                <w:rStyle w:val="43"/>
                <w:rFonts w:ascii="宋体" w:hAnsi="宋体"/>
                <w:szCs w:val="21"/>
              </w:rPr>
              <w:t>日；</w:t>
            </w:r>
          </w:p>
          <w:p>
            <w:r>
              <w:rPr>
                <w:rStyle w:val="43"/>
                <w:rFonts w:ascii="宋体" w:hAnsi="宋体"/>
                <w:szCs w:val="21"/>
              </w:rPr>
              <w:t>计划竣工日期：202</w:t>
            </w:r>
            <w:r>
              <w:rPr>
                <w:rStyle w:val="43"/>
                <w:rFonts w:hint="eastAsia" w:ascii="宋体" w:hAnsi="宋体"/>
                <w:szCs w:val="21"/>
                <w:lang w:val="en-US" w:eastAsia="zh-CN"/>
              </w:rPr>
              <w:t>5</w:t>
            </w:r>
            <w:r>
              <w:rPr>
                <w:rStyle w:val="43"/>
                <w:rFonts w:ascii="宋体" w:hAnsi="宋体"/>
                <w:szCs w:val="21"/>
              </w:rPr>
              <w:t>年</w:t>
            </w:r>
            <w:r>
              <w:rPr>
                <w:rStyle w:val="43"/>
                <w:rFonts w:hint="eastAsia" w:ascii="宋体" w:hAnsi="宋体"/>
                <w:szCs w:val="21"/>
              </w:rPr>
              <w:t xml:space="preserve"> </w:t>
            </w:r>
            <w:r>
              <w:rPr>
                <w:rStyle w:val="43"/>
                <w:rFonts w:hint="eastAsia" w:ascii="宋体" w:hAnsi="宋体"/>
                <w:szCs w:val="21"/>
                <w:lang w:val="en-US" w:eastAsia="zh-CN"/>
              </w:rPr>
              <w:t xml:space="preserve">  </w:t>
            </w:r>
            <w:r>
              <w:rPr>
                <w:rStyle w:val="43"/>
                <w:rFonts w:ascii="宋体" w:hAnsi="宋体"/>
                <w:szCs w:val="21"/>
              </w:rPr>
              <w:t>月</w:t>
            </w:r>
            <w:r>
              <w:rPr>
                <w:rStyle w:val="43"/>
                <w:rFonts w:hint="eastAsia" w:ascii="宋体" w:hAnsi="宋体"/>
                <w:szCs w:val="21"/>
              </w:rPr>
              <w:t xml:space="preserve"> </w:t>
            </w:r>
            <w:r>
              <w:rPr>
                <w:rStyle w:val="43"/>
                <w:rFonts w:hint="eastAsia" w:ascii="宋体" w:hAnsi="宋体"/>
                <w:szCs w:val="21"/>
                <w:lang w:val="en-US" w:eastAsia="zh-CN"/>
              </w:rPr>
              <w:t xml:space="preserve">  </w:t>
            </w:r>
            <w:r>
              <w:rPr>
                <w:rStyle w:val="43"/>
                <w:rFonts w:ascii="宋体" w:hAnsi="宋体"/>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r>
              <w:rPr>
                <w:rStyle w:val="43"/>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r>
              <w:rPr>
                <w:rStyle w:val="43"/>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r>
              <w:rPr>
                <w:rStyle w:val="43"/>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r>
              <w:t>承诺拟派项目班子成员始终在工地现场管理，不擅自更换、不兼职其他工程项目，如确有原因须更换，应事先征得业主同意。</w:t>
            </w:r>
          </w:p>
          <w:p>
            <w:pPr>
              <w:pStyle w:val="22"/>
              <w:ind w:left="0" w:leftChars="0" w:firstLine="0" w:firstLineChars="0"/>
              <w:rPr>
                <w:rStyle w:val="43"/>
                <w:rFonts w:hint="eastAsia" w:ascii="宋体" w:hAnsi="宋体"/>
                <w:b/>
                <w:szCs w:val="21"/>
              </w:rPr>
            </w:pPr>
            <w:r>
              <w:rPr>
                <w:rStyle w:val="43"/>
                <w:rFonts w:hint="eastAsia" w:ascii="宋体" w:hAnsi="宋体"/>
                <w:b/>
                <w:szCs w:val="21"/>
              </w:rPr>
              <w:t>我方</w:t>
            </w:r>
            <w:r>
              <w:rPr>
                <w:rStyle w:val="43"/>
                <w:rFonts w:hint="eastAsia" w:ascii="宋体" w:hAnsi="宋体"/>
                <w:b/>
                <w:szCs w:val="21"/>
                <w:lang w:val="en-US" w:eastAsia="zh-CN"/>
              </w:rPr>
              <w:t>已充分勘察现场，本次</w:t>
            </w:r>
            <w:r>
              <w:rPr>
                <w:rStyle w:val="43"/>
                <w:rFonts w:hint="eastAsia" w:ascii="宋体" w:hAnsi="宋体"/>
                <w:b/>
                <w:szCs w:val="21"/>
              </w:rPr>
              <w:t>报价已充分考虑了招标清单外增加施工内容</w:t>
            </w:r>
            <w:r>
              <w:rPr>
                <w:rStyle w:val="43"/>
                <w:rFonts w:hint="eastAsia" w:ascii="宋体" w:hAnsi="宋体"/>
                <w:b/>
                <w:szCs w:val="21"/>
                <w:lang w:val="en-US" w:eastAsia="zh-CN"/>
              </w:rPr>
              <w:t>及现场条件、环境</w:t>
            </w:r>
            <w:r>
              <w:rPr>
                <w:rStyle w:val="43"/>
                <w:rFonts w:hint="eastAsia" w:ascii="宋体" w:hAnsi="宋体"/>
                <w:b/>
                <w:szCs w:val="21"/>
              </w:rPr>
              <w:t>的风险，我方认可并严格执行招标文件约</w:t>
            </w:r>
            <w:r>
              <w:rPr>
                <w:rStyle w:val="43"/>
                <w:rFonts w:hint="eastAsia" w:ascii="宋体" w:hAnsi="宋体"/>
                <w:b/>
                <w:color w:val="auto"/>
                <w:szCs w:val="21"/>
              </w:rPr>
              <w:t>定</w:t>
            </w:r>
            <w:r>
              <w:rPr>
                <w:rStyle w:val="43"/>
                <w:rFonts w:hint="eastAsia" w:ascii="宋体" w:hAnsi="宋体"/>
                <w:b/>
                <w:color w:val="auto"/>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43"/>
                <w:rFonts w:hint="default" w:ascii="宋体" w:hAnsi="宋体" w:eastAsia="宋体"/>
                <w:bCs/>
                <w:szCs w:val="21"/>
                <w:lang w:val="en-US" w:eastAsia="zh-CN"/>
              </w:rPr>
            </w:pPr>
            <w:r>
              <w:rPr>
                <w:rStyle w:val="43"/>
                <w:rFonts w:ascii="宋体" w:hAnsi="宋体"/>
                <w:bCs/>
                <w:szCs w:val="21"/>
              </w:rPr>
              <w:t>质量</w:t>
            </w:r>
            <w:r>
              <w:rPr>
                <w:rStyle w:val="43"/>
                <w:rFonts w:hint="eastAsia" w:ascii="宋体" w:hAnsi="宋体"/>
                <w:bCs/>
                <w:szCs w:val="21"/>
              </w:rPr>
              <w:t>标准</w:t>
            </w:r>
            <w:r>
              <w:rPr>
                <w:rStyle w:val="43"/>
                <w:rFonts w:ascii="宋体" w:hAnsi="宋体"/>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60"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43"/>
                <w:rFonts w:ascii="宋体" w:hAnsi="宋体"/>
                <w:bCs/>
                <w:szCs w:val="21"/>
              </w:rPr>
            </w:pPr>
            <w:r>
              <w:rPr>
                <w:rStyle w:val="43"/>
                <w:rFonts w:ascii="宋体" w:hAnsi="宋体"/>
                <w:bCs/>
                <w:szCs w:val="21"/>
              </w:rPr>
              <w:t>本投标人完全认同招标文件的各项条款要求。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43"/>
                <w:rFonts w:ascii="宋体" w:hAnsi="宋体"/>
                <w:bCs/>
                <w:szCs w:val="21"/>
              </w:rPr>
            </w:pPr>
            <w:r>
              <w:rPr>
                <w:rStyle w:val="43"/>
                <w:rFonts w:ascii="宋体" w:hAnsi="宋体"/>
                <w:bCs/>
                <w:szCs w:val="21"/>
              </w:rPr>
              <w:t>投标人现场确认（签字）：</w:t>
            </w:r>
          </w:p>
        </w:tc>
      </w:tr>
    </w:tbl>
    <w:p>
      <w:pPr>
        <w:spacing w:line="400" w:lineRule="exact"/>
        <w:ind w:firstLine="209" w:firstLineChars="99"/>
        <w:rPr>
          <w:rStyle w:val="43"/>
          <w:rFonts w:ascii="宋体" w:hAnsi="宋体"/>
          <w:b/>
          <w:bCs/>
          <w:szCs w:val="21"/>
        </w:rPr>
      </w:pPr>
    </w:p>
    <w:p>
      <w:pPr>
        <w:spacing w:line="400" w:lineRule="exact"/>
        <w:ind w:firstLine="209" w:firstLineChars="99"/>
        <w:rPr>
          <w:rStyle w:val="43"/>
          <w:rFonts w:ascii="宋体" w:hAnsi="宋体"/>
          <w:b/>
          <w:bCs/>
          <w:szCs w:val="21"/>
        </w:rPr>
      </w:pPr>
      <w:r>
        <w:rPr>
          <w:rStyle w:val="43"/>
          <w:rFonts w:ascii="宋体" w:hAnsi="宋体"/>
          <w:b/>
          <w:bCs/>
          <w:szCs w:val="21"/>
        </w:rPr>
        <w:t>投标人（盖单位公章）</w:t>
      </w:r>
    </w:p>
    <w:p>
      <w:pPr>
        <w:spacing w:line="400" w:lineRule="exact"/>
        <w:ind w:firstLine="209" w:firstLineChars="99"/>
        <w:rPr>
          <w:rStyle w:val="43"/>
          <w:rFonts w:ascii="宋体" w:hAnsi="宋体"/>
          <w:b/>
          <w:bCs/>
          <w:szCs w:val="21"/>
          <w:u w:val="single"/>
        </w:rPr>
      </w:pPr>
      <w:r>
        <w:rPr>
          <w:rStyle w:val="43"/>
          <w:rFonts w:ascii="宋体" w:hAnsi="宋体"/>
          <w:b/>
          <w:bCs/>
          <w:szCs w:val="21"/>
        </w:rPr>
        <w:t>法定代表人：（盖章）</w:t>
      </w:r>
      <w:r>
        <w:rPr>
          <w:rStyle w:val="43"/>
          <w:rFonts w:ascii="宋体" w:hAnsi="宋体"/>
          <w:b/>
          <w:bCs/>
          <w:szCs w:val="21"/>
          <w:u w:val="single"/>
        </w:rPr>
        <w:t xml:space="preserve">        年      月    日</w:t>
      </w:r>
    </w:p>
    <w:p>
      <w:pPr>
        <w:spacing w:line="400" w:lineRule="exact"/>
        <w:ind w:left="630" w:hanging="630" w:hangingChars="299"/>
        <w:rPr>
          <w:rStyle w:val="43"/>
          <w:rFonts w:ascii="宋体" w:hAnsi="宋体"/>
          <w:b/>
          <w:bCs/>
          <w:szCs w:val="21"/>
        </w:rPr>
      </w:pPr>
    </w:p>
    <w:p>
      <w:pPr>
        <w:spacing w:line="400" w:lineRule="exact"/>
        <w:ind w:firstLine="209" w:firstLineChars="99"/>
        <w:rPr>
          <w:rStyle w:val="43"/>
          <w:rFonts w:ascii="宋体" w:hAnsi="宋体"/>
          <w:b/>
          <w:bCs/>
          <w:szCs w:val="21"/>
        </w:rPr>
      </w:pPr>
      <w:r>
        <w:rPr>
          <w:rStyle w:val="43"/>
          <w:rFonts w:ascii="宋体" w:hAnsi="宋体"/>
          <w:b/>
          <w:bCs/>
          <w:szCs w:val="21"/>
        </w:rPr>
        <w:t>注：1、本唱标单除装订在投标文件中外还应一式两份单独密封递交，各项内容务必填写详细，可以填满，但不允许添加附页。</w:t>
      </w:r>
    </w:p>
    <w:p>
      <w:pPr>
        <w:spacing w:line="400" w:lineRule="exact"/>
        <w:ind w:firstLine="209" w:firstLineChars="99"/>
        <w:rPr>
          <w:rStyle w:val="43"/>
          <w:rFonts w:ascii="宋体" w:hAnsi="宋体"/>
          <w:b/>
          <w:bCs/>
          <w:szCs w:val="21"/>
        </w:rPr>
      </w:pPr>
      <w:r>
        <w:rPr>
          <w:rStyle w:val="43"/>
          <w:rFonts w:ascii="宋体" w:hAnsi="宋体"/>
          <w:b/>
          <w:bCs/>
          <w:szCs w:val="21"/>
        </w:rPr>
        <w:t>2、招标文件要求竞报费率的，不填按0计。</w:t>
      </w:r>
    </w:p>
    <w:p>
      <w:pPr>
        <w:spacing w:line="400" w:lineRule="exact"/>
        <w:ind w:firstLine="209" w:firstLineChars="99"/>
        <w:rPr>
          <w:rStyle w:val="43"/>
          <w:rFonts w:ascii="宋体" w:hAnsi="宋体"/>
          <w:szCs w:val="21"/>
        </w:rPr>
      </w:pPr>
      <w:r>
        <w:rPr>
          <w:rStyle w:val="43"/>
          <w:rFonts w:ascii="宋体" w:hAnsi="宋体"/>
          <w:b/>
          <w:bCs/>
          <w:szCs w:val="21"/>
        </w:rPr>
        <w:t>3、在评标过程中，评定内容的具体数据以单独密封并递交的本表内容为准。</w:t>
      </w:r>
      <w:r>
        <w:rPr>
          <w:rStyle w:val="43"/>
          <w:rFonts w:ascii="宋体" w:hAnsi="宋体"/>
          <w:szCs w:val="21"/>
        </w:rPr>
        <w:br w:type="page"/>
      </w:r>
    </w:p>
    <w:p>
      <w:pPr>
        <w:snapToGrid w:val="0"/>
        <w:spacing w:line="440" w:lineRule="exact"/>
        <w:jc w:val="center"/>
        <w:rPr>
          <w:rStyle w:val="43"/>
          <w:rFonts w:ascii="宋体" w:hAnsi="宋体"/>
          <w:b/>
          <w:szCs w:val="21"/>
        </w:rPr>
      </w:pPr>
      <w:r>
        <w:rPr>
          <w:rStyle w:val="43"/>
          <w:rFonts w:ascii="宋体" w:hAnsi="宋体"/>
          <w:b/>
          <w:szCs w:val="21"/>
        </w:rPr>
        <w:t>（</w:t>
      </w:r>
      <w:r>
        <w:rPr>
          <w:rStyle w:val="43"/>
          <w:rFonts w:hint="eastAsia" w:ascii="宋体" w:hAnsi="宋体"/>
          <w:b/>
          <w:szCs w:val="21"/>
        </w:rPr>
        <w:t>二</w:t>
      </w:r>
      <w:r>
        <w:rPr>
          <w:rStyle w:val="43"/>
          <w:rFonts w:ascii="宋体" w:hAnsi="宋体"/>
          <w:b/>
          <w:szCs w:val="21"/>
        </w:rPr>
        <w:t>）投标函附录-2</w:t>
      </w:r>
    </w:p>
    <w:p>
      <w:pPr>
        <w:snapToGrid w:val="0"/>
        <w:spacing w:line="440" w:lineRule="exact"/>
        <w:ind w:firstLine="527" w:firstLineChars="250"/>
        <w:jc w:val="center"/>
        <w:rPr>
          <w:rStyle w:val="43"/>
          <w:rFonts w:ascii="宋体" w:hAnsi="宋体"/>
          <w:b/>
          <w:szCs w:val="21"/>
        </w:rPr>
      </w:pPr>
    </w:p>
    <w:p>
      <w:pPr>
        <w:jc w:val="center"/>
        <w:rPr>
          <w:rStyle w:val="43"/>
          <w:rFonts w:ascii="宋体" w:hAnsi="宋体"/>
          <w:b/>
          <w:bCs/>
          <w:sz w:val="28"/>
          <w:szCs w:val="28"/>
        </w:rPr>
      </w:pPr>
      <w:r>
        <w:rPr>
          <w:rStyle w:val="43"/>
          <w:rFonts w:ascii="宋体" w:hAnsi="宋体"/>
          <w:b/>
          <w:bCs/>
          <w:sz w:val="28"/>
          <w:szCs w:val="28"/>
        </w:rPr>
        <w:t>投标人拟派现场管理人员配备表</w:t>
      </w:r>
    </w:p>
    <w:p>
      <w:pPr>
        <w:rPr>
          <w:rStyle w:val="43"/>
          <w:rFonts w:ascii="宋体" w:hAnsi="宋体"/>
          <w:bCs/>
          <w:sz w:val="28"/>
          <w:szCs w:val="28"/>
        </w:rPr>
      </w:pPr>
      <w:r>
        <w:rPr>
          <w:rStyle w:val="43"/>
          <w:rFonts w:ascii="宋体" w:hAnsi="宋体"/>
          <w:bCs/>
          <w:sz w:val="28"/>
          <w:szCs w:val="28"/>
        </w:rPr>
        <w:t xml:space="preserve"> 投标单位（单位公章）：</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79"/>
        <w:gridCol w:w="1194"/>
        <w:gridCol w:w="1054"/>
        <w:gridCol w:w="289"/>
        <w:gridCol w:w="1407"/>
        <w:gridCol w:w="230"/>
        <w:gridCol w:w="2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项目编号</w:t>
            </w:r>
          </w:p>
        </w:tc>
        <w:tc>
          <w:tcPr>
            <w:tcW w:w="3870" w:type="pct"/>
            <w:gridSpan w:val="6"/>
            <w:tcBorders>
              <w:top w:val="single" w:color="000000" w:sz="4" w:space="0"/>
              <w:left w:val="single" w:color="000000" w:sz="4" w:space="0"/>
              <w:bottom w:val="single" w:color="000000" w:sz="4" w:space="0"/>
              <w:right w:val="single" w:color="000000" w:sz="4" w:space="0"/>
            </w:tcBorders>
          </w:tcPr>
          <w:p>
            <w:pP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招 标 人</w:t>
            </w:r>
          </w:p>
        </w:tc>
        <w:tc>
          <w:tcPr>
            <w:tcW w:w="3870" w:type="pct"/>
            <w:gridSpan w:val="6"/>
            <w:tcBorders>
              <w:top w:val="single" w:color="000000" w:sz="4" w:space="0"/>
              <w:left w:val="single" w:color="000000" w:sz="4" w:space="0"/>
              <w:bottom w:val="single" w:color="000000" w:sz="4" w:space="0"/>
              <w:right w:val="single" w:color="000000" w:sz="4" w:space="0"/>
            </w:tcBorders>
          </w:tcPr>
          <w:p>
            <w:pP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项目名称</w:t>
            </w:r>
          </w:p>
        </w:tc>
        <w:tc>
          <w:tcPr>
            <w:tcW w:w="3870" w:type="pct"/>
            <w:gridSpan w:val="6"/>
            <w:tcBorders>
              <w:top w:val="single" w:color="000000" w:sz="4" w:space="0"/>
              <w:left w:val="single" w:color="000000" w:sz="4" w:space="0"/>
              <w:bottom w:val="single" w:color="000000" w:sz="4" w:space="0"/>
              <w:right w:val="single" w:color="000000" w:sz="4" w:space="0"/>
            </w:tcBorders>
            <w:vAlign w:val="center"/>
          </w:tcPr>
          <w:p>
            <w:pP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面积/规模</w:t>
            </w:r>
          </w:p>
        </w:tc>
        <w:tc>
          <w:tcPr>
            <w:tcW w:w="1352" w:type="pct"/>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c>
          <w:tcPr>
            <w:tcW w:w="1158" w:type="pct"/>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投标工期</w:t>
            </w:r>
          </w:p>
        </w:tc>
        <w:tc>
          <w:tcPr>
            <w:tcW w:w="1361"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hint="eastAsia" w:ascii="宋体" w:hAnsi="宋体"/>
                <w:bCs/>
                <w:sz w:val="28"/>
                <w:szCs w:val="28"/>
              </w:rPr>
              <w:t>投</w:t>
            </w:r>
            <w:r>
              <w:rPr>
                <w:rStyle w:val="43"/>
                <w:rFonts w:ascii="宋体" w:hAnsi="宋体"/>
                <w:bCs/>
                <w:sz w:val="28"/>
                <w:szCs w:val="28"/>
              </w:rPr>
              <w:t>标价格</w:t>
            </w:r>
          </w:p>
        </w:tc>
        <w:tc>
          <w:tcPr>
            <w:tcW w:w="3870" w:type="pct"/>
            <w:gridSpan w:val="6"/>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序号</w:t>
            </w:r>
          </w:p>
        </w:tc>
        <w:tc>
          <w:tcPr>
            <w:tcW w:w="718" w:type="pct"/>
            <w:tcBorders>
              <w:top w:val="single" w:color="000000" w:sz="4" w:space="0"/>
              <w:left w:val="single" w:color="000000" w:sz="4" w:space="0"/>
              <w:bottom w:val="single" w:color="000000" w:sz="4" w:space="0"/>
              <w:right w:val="single" w:color="auto" w:sz="4" w:space="0"/>
            </w:tcBorders>
            <w:vAlign w:val="center"/>
          </w:tcPr>
          <w:p>
            <w:pPr>
              <w:jc w:val="center"/>
              <w:rPr>
                <w:rStyle w:val="43"/>
                <w:rFonts w:ascii="宋体" w:hAnsi="宋体"/>
                <w:bCs/>
                <w:sz w:val="28"/>
                <w:szCs w:val="28"/>
              </w:rPr>
            </w:pPr>
            <w:r>
              <w:rPr>
                <w:rStyle w:val="43"/>
                <w:rFonts w:ascii="宋体" w:hAnsi="宋体"/>
                <w:bCs/>
                <w:sz w:val="28"/>
                <w:szCs w:val="28"/>
              </w:rPr>
              <w:t>岗位名称</w:t>
            </w:r>
          </w:p>
        </w:tc>
        <w:tc>
          <w:tcPr>
            <w:tcW w:w="808" w:type="pct"/>
            <w:gridSpan w:val="2"/>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r>
              <w:rPr>
                <w:rStyle w:val="43"/>
                <w:rFonts w:ascii="宋体" w:hAnsi="宋体"/>
                <w:bCs/>
                <w:sz w:val="28"/>
                <w:szCs w:val="28"/>
              </w:rPr>
              <w:t>姓名</w:t>
            </w:r>
          </w:p>
        </w:tc>
        <w:tc>
          <w:tcPr>
            <w:tcW w:w="846" w:type="pct"/>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r>
              <w:rPr>
                <w:rStyle w:val="43"/>
                <w:rFonts w:ascii="宋体" w:hAnsi="宋体"/>
                <w:bCs/>
                <w:sz w:val="28"/>
                <w:szCs w:val="28"/>
              </w:rPr>
              <w:t>性  别</w:t>
            </w:r>
          </w:p>
        </w:tc>
        <w:tc>
          <w:tcPr>
            <w:tcW w:w="1498" w:type="pct"/>
            <w:gridSpan w:val="2"/>
            <w:tcBorders>
              <w:top w:val="single" w:color="000000" w:sz="4" w:space="0"/>
              <w:left w:val="single" w:color="auto" w:sz="4" w:space="0"/>
              <w:bottom w:val="single" w:color="000000" w:sz="4" w:space="0"/>
              <w:right w:val="single" w:color="000000" w:sz="4" w:space="0"/>
            </w:tcBorders>
            <w:vAlign w:val="center"/>
          </w:tcPr>
          <w:p>
            <w:pPr>
              <w:jc w:val="center"/>
              <w:rPr>
                <w:rStyle w:val="43"/>
                <w:rFonts w:ascii="宋体" w:hAnsi="宋体"/>
                <w:bCs/>
                <w:sz w:val="28"/>
                <w:szCs w:val="28"/>
              </w:rPr>
            </w:pPr>
            <w:r>
              <w:rPr>
                <w:rStyle w:val="43"/>
                <w:rFonts w:ascii="宋体" w:hAnsi="宋体"/>
                <w:bCs/>
                <w:sz w:val="28"/>
                <w:szCs w:val="28"/>
              </w:rPr>
              <w:t>资格证书编号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pPr>
              <w:jc w:val="center"/>
              <w:rPr>
                <w:rStyle w:val="43"/>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pPr>
              <w:jc w:val="cente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pPr>
              <w:jc w:val="center"/>
              <w:rPr>
                <w:rStyle w:val="43"/>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pPr>
              <w:jc w:val="cente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pPr>
              <w:jc w:val="center"/>
              <w:rPr>
                <w:rStyle w:val="43"/>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pPr>
              <w:jc w:val="center"/>
              <w:rPr>
                <w:rStyle w:val="43"/>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130" w:type="pc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bCs/>
                <w:sz w:val="28"/>
                <w:szCs w:val="28"/>
              </w:rPr>
            </w:pPr>
          </w:p>
        </w:tc>
        <w:tc>
          <w:tcPr>
            <w:tcW w:w="718" w:type="pct"/>
            <w:tcBorders>
              <w:top w:val="single" w:color="000000" w:sz="4" w:space="0"/>
              <w:left w:val="single" w:color="000000" w:sz="4" w:space="0"/>
              <w:bottom w:val="single" w:color="000000" w:sz="4" w:space="0"/>
              <w:right w:val="single" w:color="auto" w:sz="4" w:space="0"/>
            </w:tcBorders>
            <w:vAlign w:val="center"/>
          </w:tcPr>
          <w:p>
            <w:pPr>
              <w:jc w:val="center"/>
              <w:rPr>
                <w:rStyle w:val="43"/>
                <w:rFonts w:ascii="宋体" w:hAnsi="宋体"/>
                <w:bCs/>
                <w:sz w:val="28"/>
                <w:szCs w:val="28"/>
              </w:rPr>
            </w:pPr>
          </w:p>
        </w:tc>
        <w:tc>
          <w:tcPr>
            <w:tcW w:w="808" w:type="pct"/>
            <w:gridSpan w:val="2"/>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846" w:type="pct"/>
            <w:tcBorders>
              <w:top w:val="single" w:color="000000" w:sz="4" w:space="0"/>
              <w:left w:val="single" w:color="auto" w:sz="4" w:space="0"/>
              <w:bottom w:val="single" w:color="000000" w:sz="4" w:space="0"/>
              <w:right w:val="single" w:color="auto" w:sz="4" w:space="0"/>
            </w:tcBorders>
            <w:vAlign w:val="center"/>
          </w:tcPr>
          <w:p>
            <w:pPr>
              <w:jc w:val="center"/>
              <w:rPr>
                <w:rStyle w:val="43"/>
                <w:rFonts w:ascii="宋体" w:hAnsi="宋体"/>
                <w:bCs/>
                <w:sz w:val="28"/>
                <w:szCs w:val="28"/>
              </w:rPr>
            </w:pPr>
          </w:p>
        </w:tc>
        <w:tc>
          <w:tcPr>
            <w:tcW w:w="1498" w:type="pct"/>
            <w:gridSpan w:val="2"/>
            <w:tcBorders>
              <w:top w:val="single" w:color="000000" w:sz="4" w:space="0"/>
              <w:left w:val="single" w:color="auto" w:sz="4" w:space="0"/>
              <w:bottom w:val="single" w:color="000000" w:sz="4" w:space="0"/>
              <w:right w:val="single" w:color="000000" w:sz="4" w:space="0"/>
            </w:tcBorders>
            <w:vAlign w:val="center"/>
          </w:tcPr>
          <w:p>
            <w:pPr>
              <w:jc w:val="center"/>
              <w:rPr>
                <w:rStyle w:val="43"/>
                <w:rFonts w:ascii="宋体" w:hAnsi="宋体"/>
                <w:bCs/>
                <w:sz w:val="28"/>
                <w:szCs w:val="28"/>
              </w:rPr>
            </w:pPr>
          </w:p>
        </w:tc>
      </w:tr>
    </w:tbl>
    <w:p>
      <w:pPr>
        <w:ind w:firstLine="651" w:firstLineChars="310"/>
        <w:rPr>
          <w:rStyle w:val="43"/>
          <w:rFonts w:ascii="宋体" w:hAnsi="宋体"/>
          <w:szCs w:val="21"/>
        </w:rPr>
      </w:pPr>
      <w:r>
        <w:rPr>
          <w:rStyle w:val="43"/>
          <w:rFonts w:ascii="宋体" w:hAnsi="宋体"/>
          <w:szCs w:val="21"/>
        </w:rPr>
        <w:br w:type="page"/>
      </w:r>
    </w:p>
    <w:p>
      <w:pPr>
        <w:snapToGrid w:val="0"/>
        <w:spacing w:line="440" w:lineRule="exact"/>
        <w:jc w:val="center"/>
        <w:rPr>
          <w:rStyle w:val="43"/>
          <w:rFonts w:ascii="宋体" w:hAnsi="宋体"/>
          <w:b/>
          <w:szCs w:val="21"/>
        </w:rPr>
      </w:pPr>
      <w:bookmarkStart w:id="218" w:name="_Toc16063999"/>
      <w:bookmarkStart w:id="219" w:name="_Toc17817349"/>
      <w:bookmarkStart w:id="220" w:name="_Toc27993"/>
      <w:bookmarkStart w:id="221" w:name="_Toc24038"/>
      <w:r>
        <w:rPr>
          <w:rStyle w:val="43"/>
          <w:rFonts w:ascii="宋体" w:hAnsi="宋体"/>
          <w:b/>
          <w:szCs w:val="21"/>
        </w:rPr>
        <w:t>（</w:t>
      </w:r>
      <w:r>
        <w:rPr>
          <w:rStyle w:val="43"/>
          <w:rFonts w:hint="eastAsia" w:ascii="宋体" w:hAnsi="宋体"/>
          <w:b/>
          <w:szCs w:val="21"/>
        </w:rPr>
        <w:t>二</w:t>
      </w:r>
      <w:r>
        <w:rPr>
          <w:rStyle w:val="43"/>
          <w:rFonts w:ascii="宋体" w:hAnsi="宋体"/>
          <w:b/>
          <w:szCs w:val="21"/>
        </w:rPr>
        <w:t>）投标函附录-3</w:t>
      </w:r>
    </w:p>
    <w:p>
      <w:pPr>
        <w:pStyle w:val="9"/>
      </w:pPr>
    </w:p>
    <w:p>
      <w:pPr>
        <w:jc w:val="center"/>
        <w:rPr>
          <w:rStyle w:val="43"/>
          <w:rFonts w:ascii="宋体" w:hAnsi="宋体"/>
          <w:b/>
          <w:bCs/>
          <w:sz w:val="28"/>
          <w:szCs w:val="28"/>
        </w:rPr>
      </w:pPr>
      <w:r>
        <w:rPr>
          <w:rStyle w:val="43"/>
          <w:rFonts w:hint="eastAsia" w:ascii="宋体" w:hAnsi="宋体"/>
          <w:b/>
          <w:bCs/>
          <w:sz w:val="28"/>
          <w:szCs w:val="28"/>
        </w:rPr>
        <w:t>承诺书</w:t>
      </w:r>
    </w:p>
    <w:p>
      <w:pPr>
        <w:spacing w:after="240" w:line="440" w:lineRule="exact"/>
        <w:rPr>
          <w:rStyle w:val="43"/>
          <w:rFonts w:ascii="宋体"/>
        </w:rPr>
      </w:pPr>
      <w:r>
        <w:rPr>
          <w:rStyle w:val="43"/>
          <w:rFonts w:ascii="宋体"/>
          <w:position w:val="-7"/>
        </w:rPr>
        <w:t>————————</w:t>
      </w:r>
      <w:r>
        <w:rPr>
          <w:rStyle w:val="43"/>
          <w:rFonts w:ascii="宋体"/>
        </w:rPr>
        <w:t>（招标人名称）：</w:t>
      </w:r>
    </w:p>
    <w:p>
      <w:pPr>
        <w:spacing w:line="440" w:lineRule="exact"/>
        <w:ind w:firstLine="420" w:firstLineChars="200"/>
        <w:rPr>
          <w:rStyle w:val="43"/>
          <w:rFonts w:ascii="宋体"/>
        </w:rPr>
      </w:pPr>
      <w:r>
        <w:rPr>
          <w:rStyle w:val="43"/>
          <w:rFonts w:hint="eastAsia" w:ascii="宋体"/>
        </w:rPr>
        <w:t>针对</w:t>
      </w:r>
      <w:r>
        <w:rPr>
          <w:rStyle w:val="43"/>
          <w:rFonts w:hint="eastAsia" w:ascii="宋体"/>
          <w:u w:val="single"/>
        </w:rPr>
        <w:t xml:space="preserve">           </w:t>
      </w:r>
      <w:r>
        <w:rPr>
          <w:rStyle w:val="43"/>
          <w:rFonts w:hint="eastAsia" w:ascii="宋体"/>
        </w:rPr>
        <w:t>项目，我方承诺：</w:t>
      </w:r>
    </w:p>
    <w:p>
      <w:pPr>
        <w:spacing w:line="440" w:lineRule="exact"/>
        <w:ind w:firstLine="420" w:firstLineChars="200"/>
        <w:rPr>
          <w:rStyle w:val="43"/>
          <w:rFonts w:ascii="宋体"/>
        </w:rPr>
      </w:pPr>
      <w:r>
        <w:rPr>
          <w:rStyle w:val="43"/>
          <w:rFonts w:hint="eastAsia" w:ascii="宋体"/>
        </w:rPr>
        <w:t>一、</w:t>
      </w:r>
      <w:r>
        <w:rPr>
          <w:rStyle w:val="43"/>
          <w:rFonts w:ascii="宋体"/>
        </w:rPr>
        <w:t>我方拟派往（项目名称）（以下简称“本工程”）的项目经理（项目经理姓名）现阶段没有担任任何在施建设工程项目的项目经理。</w:t>
      </w:r>
    </w:p>
    <w:p>
      <w:pPr>
        <w:spacing w:line="440" w:lineRule="exact"/>
        <w:ind w:firstLine="420" w:firstLineChars="200"/>
        <w:rPr>
          <w:rStyle w:val="43"/>
          <w:rFonts w:ascii="宋体"/>
        </w:rPr>
      </w:pPr>
      <w:r>
        <w:rPr>
          <w:rStyle w:val="43"/>
          <w:rFonts w:hint="eastAsia" w:ascii="宋体"/>
        </w:rPr>
        <w:t>二、中标后现场管理班子均为我单位正式职工，已连续缴纳社保半年以上，确保到岗不少于</w:t>
      </w:r>
      <w:r>
        <w:rPr>
          <w:rStyle w:val="43"/>
          <w:rFonts w:hint="eastAsia" w:ascii="宋体"/>
          <w:u w:val="single"/>
        </w:rPr>
        <w:t xml:space="preserve">    </w:t>
      </w:r>
      <w:r>
        <w:rPr>
          <w:rStyle w:val="43"/>
          <w:rFonts w:hint="eastAsia" w:ascii="宋体"/>
        </w:rPr>
        <w:t>人，每少一人承担</w:t>
      </w:r>
      <w:r>
        <w:rPr>
          <w:rStyle w:val="43"/>
          <w:rFonts w:hint="eastAsia" w:ascii="宋体"/>
          <w:u w:val="single"/>
        </w:rPr>
        <w:t xml:space="preserve"> 1 </w:t>
      </w:r>
      <w:r>
        <w:rPr>
          <w:rStyle w:val="43"/>
          <w:rFonts w:hint="eastAsia" w:ascii="宋体"/>
        </w:rPr>
        <w:t>万元的赔偿且在施工期间未经发包人允许绝不擅自更换；</w:t>
      </w:r>
    </w:p>
    <w:p>
      <w:pPr>
        <w:spacing w:line="440" w:lineRule="exact"/>
        <w:ind w:firstLine="420" w:firstLineChars="200"/>
        <w:rPr>
          <w:rStyle w:val="43"/>
          <w:rFonts w:ascii="宋体"/>
        </w:rPr>
      </w:pPr>
      <w:r>
        <w:rPr>
          <w:rStyle w:val="43"/>
          <w:rFonts w:hint="eastAsia" w:ascii="宋体"/>
        </w:rPr>
        <w:t>三、项目经理现场履职每月不少于25天，每少一天自愿接受考核</w:t>
      </w:r>
      <w:r>
        <w:rPr>
          <w:rStyle w:val="43"/>
          <w:rFonts w:hint="eastAsia" w:ascii="宋体"/>
          <w:u w:val="single"/>
          <w:lang w:val="en-US" w:eastAsia="zh-CN"/>
        </w:rPr>
        <w:t>10</w:t>
      </w:r>
      <w:r>
        <w:rPr>
          <w:rStyle w:val="43"/>
          <w:rFonts w:hint="eastAsia" w:ascii="宋体"/>
          <w:u w:val="single"/>
        </w:rPr>
        <w:t>000</w:t>
      </w:r>
      <w:r>
        <w:rPr>
          <w:rStyle w:val="43"/>
          <w:rFonts w:hint="eastAsia" w:ascii="宋体"/>
        </w:rPr>
        <w:t>元/天。</w:t>
      </w:r>
    </w:p>
    <w:p>
      <w:pPr>
        <w:spacing w:line="440" w:lineRule="exact"/>
        <w:ind w:firstLine="420" w:firstLineChars="200"/>
        <w:rPr>
          <w:rStyle w:val="43"/>
          <w:rFonts w:ascii="宋体"/>
        </w:rPr>
      </w:pPr>
      <w:r>
        <w:rPr>
          <w:rStyle w:val="43"/>
          <w:rFonts w:hint="eastAsia" w:ascii="宋体"/>
        </w:rPr>
        <w:t>四、若我方违背上述承诺，视为工程转包、挂靠行为，除承担合同约定的违约责任外，</w:t>
      </w:r>
      <w:r>
        <w:rPr>
          <w:rStyle w:val="43"/>
          <w:rFonts w:ascii="宋体"/>
        </w:rPr>
        <w:t>并愿意承担因我方就此弄虚作假所引起的一切法律后果。</w:t>
      </w:r>
    </w:p>
    <w:p>
      <w:pPr>
        <w:spacing w:line="440" w:lineRule="exact"/>
        <w:ind w:firstLine="200"/>
        <w:rPr>
          <w:rStyle w:val="43"/>
          <w:rFonts w:ascii="宋体"/>
        </w:rPr>
      </w:pPr>
    </w:p>
    <w:p>
      <w:pPr>
        <w:rPr>
          <w:rStyle w:val="43"/>
          <w:rFonts w:ascii="宋体"/>
        </w:rPr>
      </w:pPr>
    </w:p>
    <w:p>
      <w:pPr>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3780" w:firstLineChars="1800"/>
        <w:rPr>
          <w:rStyle w:val="43"/>
          <w:rFonts w:ascii="宋体"/>
        </w:rPr>
      </w:pPr>
      <w:r>
        <w:rPr>
          <w:rStyle w:val="43"/>
          <w:rFonts w:hint="eastAsia" w:ascii="宋体"/>
        </w:rPr>
        <w:t>公司法律人员或法务部门签字盖章</w:t>
      </w:r>
    </w:p>
    <w:p>
      <w:pPr>
        <w:rPr>
          <w:rStyle w:val="43"/>
          <w:rFonts w:ascii="宋体"/>
        </w:rPr>
      </w:pPr>
    </w:p>
    <w:p>
      <w:pPr>
        <w:ind w:firstLine="3780" w:firstLineChars="1800"/>
        <w:rPr>
          <w:rStyle w:val="43"/>
          <w:rFonts w:ascii="宋体"/>
        </w:rPr>
      </w:pPr>
      <w:r>
        <w:rPr>
          <w:rStyle w:val="43"/>
          <w:rFonts w:hint="eastAsia" w:ascii="宋体"/>
        </w:rPr>
        <w:t xml:space="preserve">投标单位：     （公章）             </w:t>
      </w:r>
    </w:p>
    <w:p>
      <w:pPr>
        <w:rPr>
          <w:rStyle w:val="43"/>
          <w:rFonts w:ascii="宋体"/>
        </w:rPr>
      </w:pPr>
      <w:r>
        <w:rPr>
          <w:rStyle w:val="43"/>
          <w:rFonts w:hint="eastAsia" w:ascii="宋体"/>
        </w:rPr>
        <w:t xml:space="preserve">                                  </w:t>
      </w:r>
    </w:p>
    <w:p>
      <w:pPr>
        <w:ind w:firstLine="3780" w:firstLineChars="1800"/>
        <w:rPr>
          <w:rStyle w:val="43"/>
          <w:rFonts w:ascii="宋体"/>
        </w:rPr>
      </w:pPr>
      <w:r>
        <w:rPr>
          <w:rStyle w:val="43"/>
          <w:rFonts w:hint="eastAsia" w:ascii="宋体"/>
        </w:rPr>
        <w:t>法人签字：</w:t>
      </w:r>
    </w:p>
    <w:p>
      <w:pPr>
        <w:pStyle w:val="22"/>
        <w:ind w:left="420" w:firstLine="420"/>
      </w:pPr>
    </w:p>
    <w:p>
      <w:pPr>
        <w:ind w:firstLine="1680" w:firstLineChars="800"/>
        <w:rPr>
          <w:rStyle w:val="43"/>
          <w:rFonts w:ascii="宋体"/>
        </w:rPr>
      </w:pPr>
      <w:r>
        <w:rPr>
          <w:rStyle w:val="43"/>
          <w:rFonts w:hint="eastAsia" w:ascii="宋体"/>
        </w:rPr>
        <w:t xml:space="preserve">                    日期：</w:t>
      </w:r>
    </w:p>
    <w:p>
      <w:pPr>
        <w:ind w:firstLine="1800"/>
        <w:rPr>
          <w:rStyle w:val="43"/>
          <w:rFonts w:ascii="宋体"/>
        </w:rPr>
      </w:pPr>
    </w:p>
    <w:p>
      <w:pPr>
        <w:ind w:firstLine="1800"/>
        <w:rPr>
          <w:rStyle w:val="43"/>
          <w:rFonts w:ascii="宋体"/>
        </w:rPr>
      </w:pPr>
    </w:p>
    <w:p>
      <w:pPr>
        <w:ind w:firstLine="1800"/>
        <w:rPr>
          <w:rStyle w:val="43"/>
          <w:rFonts w:ascii="宋体"/>
        </w:rPr>
      </w:pPr>
    </w:p>
    <w:p>
      <w:pPr>
        <w:pStyle w:val="9"/>
        <w:jc w:val="center"/>
      </w:pPr>
      <w:r>
        <w:br w:type="page"/>
      </w:r>
    </w:p>
    <w:p>
      <w:pPr>
        <w:pStyle w:val="4"/>
        <w:spacing w:before="0" w:after="0" w:line="480" w:lineRule="auto"/>
        <w:jc w:val="center"/>
        <w:rPr>
          <w:sz w:val="30"/>
          <w:szCs w:val="30"/>
        </w:rPr>
      </w:pPr>
      <w:bookmarkStart w:id="222" w:name="_Toc162361728"/>
      <w:r>
        <w:rPr>
          <w:sz w:val="30"/>
          <w:szCs w:val="30"/>
        </w:rPr>
        <w:t>二、法定代表人身份证明</w:t>
      </w:r>
      <w:bookmarkEnd w:id="218"/>
      <w:bookmarkEnd w:id="219"/>
      <w:bookmarkEnd w:id="220"/>
      <w:bookmarkEnd w:id="221"/>
      <w:bookmarkEnd w:id="222"/>
    </w:p>
    <w:p>
      <w:pPr>
        <w:spacing w:line="500" w:lineRule="exact"/>
        <w:ind w:firstLine="735" w:firstLineChars="350"/>
        <w:rPr>
          <w:rStyle w:val="43"/>
          <w:rFonts w:ascii="宋体" w:hAnsi="宋体"/>
          <w:szCs w:val="21"/>
        </w:rPr>
      </w:pPr>
      <w:r>
        <w:rPr>
          <w:rStyle w:val="43"/>
          <w:rFonts w:ascii="宋体" w:hAnsi="宋体"/>
          <w:szCs w:val="21"/>
        </w:rPr>
        <w:t>投 标 人：</w:t>
      </w:r>
    </w:p>
    <w:p>
      <w:pPr>
        <w:spacing w:line="500" w:lineRule="exact"/>
        <w:ind w:firstLine="735" w:firstLineChars="350"/>
        <w:rPr>
          <w:rStyle w:val="43"/>
          <w:rFonts w:ascii="宋体" w:hAnsi="宋体"/>
          <w:szCs w:val="21"/>
        </w:rPr>
      </w:pPr>
      <w:r>
        <w:rPr>
          <w:rStyle w:val="43"/>
          <w:rFonts w:ascii="宋体" w:hAnsi="宋体"/>
          <w:szCs w:val="21"/>
        </w:rPr>
        <w:t>单位性质：</w:t>
      </w:r>
    </w:p>
    <w:p>
      <w:pPr>
        <w:spacing w:line="500" w:lineRule="exact"/>
        <w:ind w:firstLine="735" w:firstLineChars="350"/>
        <w:rPr>
          <w:rStyle w:val="43"/>
          <w:rFonts w:ascii="宋体" w:hAnsi="宋体"/>
          <w:szCs w:val="21"/>
        </w:rPr>
      </w:pPr>
      <w:r>
        <w:rPr>
          <w:rStyle w:val="43"/>
          <w:rFonts w:ascii="宋体" w:hAnsi="宋体"/>
          <w:szCs w:val="21"/>
        </w:rPr>
        <w:t>地    址：</w:t>
      </w:r>
    </w:p>
    <w:p>
      <w:pPr>
        <w:spacing w:line="500" w:lineRule="exact"/>
        <w:ind w:firstLine="735" w:firstLineChars="350"/>
        <w:rPr>
          <w:rStyle w:val="43"/>
          <w:rFonts w:ascii="宋体" w:hAnsi="宋体"/>
          <w:szCs w:val="21"/>
        </w:rPr>
      </w:pPr>
      <w:r>
        <w:rPr>
          <w:rStyle w:val="43"/>
          <w:rFonts w:ascii="宋体" w:hAnsi="宋体"/>
          <w:szCs w:val="21"/>
        </w:rPr>
        <w:t>成立时间：</w:t>
      </w:r>
      <w:r>
        <w:rPr>
          <w:rStyle w:val="43"/>
          <w:rFonts w:hint="eastAsia" w:ascii="宋体" w:hAnsi="宋体"/>
          <w:szCs w:val="21"/>
        </w:rPr>
        <w:t xml:space="preserve"> </w:t>
      </w:r>
      <w:r>
        <w:rPr>
          <w:rStyle w:val="43"/>
          <w:rFonts w:ascii="宋体" w:hAnsi="宋体"/>
          <w:szCs w:val="21"/>
        </w:rPr>
        <w:t>年</w:t>
      </w:r>
      <w:r>
        <w:rPr>
          <w:rStyle w:val="43"/>
          <w:rFonts w:hint="eastAsia" w:ascii="宋体" w:hAnsi="宋体"/>
          <w:szCs w:val="21"/>
        </w:rPr>
        <w:t xml:space="preserve"> </w:t>
      </w:r>
      <w:r>
        <w:rPr>
          <w:rStyle w:val="43"/>
          <w:rFonts w:ascii="宋体" w:hAnsi="宋体"/>
          <w:szCs w:val="21"/>
        </w:rPr>
        <w:t>月</w:t>
      </w:r>
      <w:r>
        <w:rPr>
          <w:rStyle w:val="43"/>
          <w:rFonts w:hint="eastAsia" w:ascii="宋体" w:hAnsi="宋体"/>
          <w:szCs w:val="21"/>
        </w:rPr>
        <w:t xml:space="preserve"> </w:t>
      </w:r>
      <w:r>
        <w:rPr>
          <w:rStyle w:val="43"/>
          <w:rFonts w:ascii="宋体" w:hAnsi="宋体"/>
          <w:szCs w:val="21"/>
        </w:rPr>
        <w:t xml:space="preserve"> 日</w:t>
      </w:r>
    </w:p>
    <w:p>
      <w:pPr>
        <w:spacing w:line="500" w:lineRule="exact"/>
        <w:ind w:firstLine="735" w:firstLineChars="350"/>
        <w:rPr>
          <w:rStyle w:val="43"/>
          <w:rFonts w:ascii="宋体" w:hAnsi="宋体"/>
          <w:szCs w:val="21"/>
        </w:rPr>
      </w:pPr>
      <w:r>
        <w:rPr>
          <w:rStyle w:val="43"/>
          <w:rFonts w:ascii="宋体" w:hAnsi="宋体"/>
          <w:szCs w:val="21"/>
        </w:rPr>
        <w:t>经营期限：</w:t>
      </w:r>
    </w:p>
    <w:p>
      <w:pPr>
        <w:spacing w:line="500" w:lineRule="exact"/>
        <w:ind w:firstLine="735" w:firstLineChars="350"/>
        <w:rPr>
          <w:rStyle w:val="43"/>
          <w:rFonts w:ascii="宋体" w:hAnsi="宋体"/>
          <w:szCs w:val="21"/>
        </w:rPr>
      </w:pPr>
      <w:r>
        <w:rPr>
          <w:rStyle w:val="43"/>
          <w:rFonts w:ascii="宋体" w:hAnsi="宋体"/>
          <w:szCs w:val="21"/>
        </w:rPr>
        <w:t>姓    名：</w:t>
      </w:r>
      <w:r>
        <w:rPr>
          <w:rStyle w:val="43"/>
          <w:rFonts w:hint="eastAsia" w:ascii="宋体" w:hAnsi="宋体"/>
          <w:szCs w:val="21"/>
        </w:rPr>
        <w:t xml:space="preserve"> </w:t>
      </w:r>
      <w:r>
        <w:rPr>
          <w:rStyle w:val="43"/>
          <w:rFonts w:ascii="宋体" w:hAnsi="宋体"/>
          <w:szCs w:val="21"/>
        </w:rPr>
        <w:t xml:space="preserve">       性    别：</w:t>
      </w:r>
    </w:p>
    <w:p>
      <w:pPr>
        <w:spacing w:line="500" w:lineRule="exact"/>
        <w:ind w:firstLine="735" w:firstLineChars="350"/>
        <w:rPr>
          <w:rStyle w:val="43"/>
          <w:rFonts w:ascii="宋体" w:hAnsi="宋体"/>
          <w:szCs w:val="21"/>
          <w:u w:val="single"/>
        </w:rPr>
      </w:pPr>
      <w:r>
        <w:rPr>
          <w:rStyle w:val="43"/>
          <w:rFonts w:ascii="宋体" w:hAnsi="宋体"/>
          <w:szCs w:val="21"/>
        </w:rPr>
        <w:t>年    龄：</w:t>
      </w:r>
      <w:r>
        <w:rPr>
          <w:rStyle w:val="43"/>
          <w:rFonts w:hint="eastAsia" w:ascii="宋体" w:hAnsi="宋体"/>
          <w:szCs w:val="21"/>
        </w:rPr>
        <w:t xml:space="preserve"> </w:t>
      </w:r>
      <w:r>
        <w:rPr>
          <w:rStyle w:val="43"/>
          <w:rFonts w:ascii="宋体" w:hAnsi="宋体"/>
          <w:szCs w:val="21"/>
        </w:rPr>
        <w:t xml:space="preserve">       职    务：</w:t>
      </w:r>
    </w:p>
    <w:p>
      <w:pPr>
        <w:spacing w:line="500" w:lineRule="exact"/>
        <w:ind w:firstLine="735" w:firstLineChars="350"/>
        <w:rPr>
          <w:rStyle w:val="43"/>
          <w:rFonts w:ascii="宋体" w:hAnsi="宋体"/>
          <w:szCs w:val="21"/>
          <w:u w:val="single"/>
        </w:rPr>
      </w:pPr>
      <w:r>
        <w:rPr>
          <w:rStyle w:val="43"/>
          <w:rFonts w:ascii="宋体" w:hAnsi="宋体"/>
          <w:szCs w:val="21"/>
        </w:rPr>
        <w:t>身份证号:</w:t>
      </w:r>
    </w:p>
    <w:p>
      <w:pPr>
        <w:spacing w:line="500" w:lineRule="exact"/>
        <w:ind w:firstLine="735" w:firstLineChars="350"/>
        <w:rPr>
          <w:rStyle w:val="43"/>
          <w:rFonts w:ascii="宋体" w:hAnsi="宋体"/>
          <w:szCs w:val="21"/>
        </w:rPr>
      </w:pPr>
      <w:r>
        <w:rPr>
          <w:rStyle w:val="43"/>
          <w:rFonts w:ascii="宋体" w:hAnsi="宋体"/>
          <w:szCs w:val="21"/>
        </w:rPr>
        <w:t>系（投标人名称）的法定代表人。</w:t>
      </w:r>
    </w:p>
    <w:p>
      <w:pPr>
        <w:spacing w:line="500" w:lineRule="exact"/>
        <w:ind w:firstLine="735" w:firstLineChars="350"/>
        <w:rPr>
          <w:rStyle w:val="43"/>
          <w:rFonts w:ascii="宋体" w:hAnsi="宋体"/>
          <w:szCs w:val="21"/>
        </w:rPr>
      </w:pPr>
      <w:r>
        <w:rPr>
          <w:rStyle w:val="43"/>
          <w:rFonts w:ascii="宋体" w:hAnsi="宋体"/>
          <w:szCs w:val="21"/>
        </w:rPr>
        <w:t>特此证明。</w:t>
      </w:r>
    </w:p>
    <w:p>
      <w:pPr>
        <w:spacing w:line="500" w:lineRule="exact"/>
        <w:rPr>
          <w:rStyle w:val="43"/>
          <w:rFonts w:ascii="宋体" w:hAnsi="宋体"/>
          <w:szCs w:val="21"/>
        </w:rPr>
      </w:pPr>
    </w:p>
    <w:p>
      <w:pPr>
        <w:spacing w:line="500" w:lineRule="exact"/>
        <w:rPr>
          <w:rStyle w:val="43"/>
          <w:rFonts w:ascii="宋体" w:hAnsi="宋体"/>
          <w:szCs w:val="21"/>
        </w:rPr>
      </w:pPr>
    </w:p>
    <w:p>
      <w:pPr>
        <w:spacing w:line="500" w:lineRule="exact"/>
        <w:jc w:val="right"/>
        <w:rPr>
          <w:rStyle w:val="43"/>
          <w:rFonts w:ascii="宋体" w:hAnsi="宋体"/>
          <w:szCs w:val="21"/>
        </w:rPr>
      </w:pPr>
      <w:r>
        <w:rPr>
          <w:rStyle w:val="43"/>
          <w:rFonts w:ascii="宋体" w:hAnsi="宋体"/>
          <w:szCs w:val="21"/>
        </w:rPr>
        <w:t>投标人：（盖单位公章）</w:t>
      </w:r>
    </w:p>
    <w:p>
      <w:pPr>
        <w:spacing w:line="500" w:lineRule="exact"/>
        <w:jc w:val="right"/>
        <w:rPr>
          <w:rStyle w:val="43"/>
          <w:rFonts w:ascii="宋体" w:hAnsi="宋体"/>
          <w:szCs w:val="21"/>
        </w:rPr>
      </w:pPr>
      <w:r>
        <w:rPr>
          <w:rStyle w:val="43"/>
          <w:rFonts w:ascii="宋体" w:hAnsi="宋体"/>
          <w:szCs w:val="21"/>
        </w:rPr>
        <w:t>年</w:t>
      </w:r>
      <w:r>
        <w:rPr>
          <w:rStyle w:val="43"/>
          <w:rFonts w:hint="eastAsia" w:ascii="宋体" w:hAnsi="宋体"/>
          <w:szCs w:val="21"/>
        </w:rPr>
        <w:t xml:space="preserve"> </w:t>
      </w:r>
      <w:r>
        <w:rPr>
          <w:rStyle w:val="43"/>
          <w:rFonts w:ascii="宋体" w:hAnsi="宋体"/>
          <w:szCs w:val="21"/>
        </w:rPr>
        <w:t xml:space="preserve"> 月</w:t>
      </w:r>
      <w:r>
        <w:rPr>
          <w:rStyle w:val="43"/>
          <w:rFonts w:hint="eastAsia" w:ascii="宋体" w:hAnsi="宋体"/>
          <w:szCs w:val="21"/>
        </w:rPr>
        <w:t xml:space="preserve"> </w:t>
      </w:r>
      <w:r>
        <w:rPr>
          <w:rStyle w:val="43"/>
          <w:rFonts w:ascii="宋体" w:hAnsi="宋体"/>
          <w:szCs w:val="21"/>
        </w:rPr>
        <w:t xml:space="preserve"> 日</w:t>
      </w:r>
    </w:p>
    <w:p>
      <w:pPr>
        <w:pStyle w:val="4"/>
        <w:spacing w:before="0" w:after="0" w:line="480" w:lineRule="auto"/>
        <w:jc w:val="center"/>
        <w:outlineLvl w:val="9"/>
        <w:rPr>
          <w:rStyle w:val="43"/>
          <w:rFonts w:ascii="宋体" w:hAnsi="宋体"/>
          <w:b w:val="0"/>
          <w:bCs w:val="0"/>
          <w:sz w:val="21"/>
          <w:szCs w:val="21"/>
        </w:rPr>
      </w:pPr>
      <w:bookmarkStart w:id="223" w:name="_Toc23544"/>
      <w:bookmarkStart w:id="224" w:name="_Toc17817350"/>
      <w:bookmarkStart w:id="225" w:name="_Toc16064000"/>
      <w:bookmarkStart w:id="226" w:name="_Toc29134"/>
      <w:r>
        <w:rPr>
          <w:rStyle w:val="43"/>
          <w:rFonts w:ascii="宋体" w:hAnsi="宋体"/>
          <w:b w:val="0"/>
          <w:bCs w:val="0"/>
          <w:sz w:val="21"/>
          <w:szCs w:val="21"/>
        </w:rPr>
        <w:br w:type="page"/>
      </w:r>
    </w:p>
    <w:p>
      <w:pPr>
        <w:pStyle w:val="4"/>
        <w:spacing w:before="0" w:after="0" w:line="480" w:lineRule="auto"/>
        <w:jc w:val="center"/>
        <w:rPr>
          <w:sz w:val="30"/>
          <w:szCs w:val="30"/>
        </w:rPr>
      </w:pPr>
      <w:bookmarkStart w:id="227" w:name="_Toc162361729"/>
      <w:r>
        <w:rPr>
          <w:sz w:val="30"/>
          <w:szCs w:val="30"/>
        </w:rPr>
        <w:t>三、授权委托书</w:t>
      </w:r>
      <w:bookmarkEnd w:id="223"/>
      <w:bookmarkEnd w:id="224"/>
      <w:bookmarkEnd w:id="225"/>
      <w:bookmarkEnd w:id="226"/>
      <w:bookmarkEnd w:id="227"/>
    </w:p>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23"/>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16"/>
            </w:pPr>
          </w:p>
          <w:p/>
          <w:p>
            <w:pPr>
              <w:pStyle w:val="16"/>
            </w:pPr>
          </w:p>
        </w:tc>
      </w:tr>
    </w:tbl>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tabs>
          <w:tab w:val="left" w:pos="4395"/>
        </w:tabs>
        <w:snapToGrid w:val="0"/>
        <w:spacing w:line="360" w:lineRule="auto"/>
        <w:ind w:right="240"/>
        <w:jc w:val="left"/>
        <w:rPr>
          <w:rStyle w:val="43"/>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pacing w:line="400" w:lineRule="exact"/>
        <w:ind w:firstLine="3570" w:firstLineChars="1700"/>
        <w:rPr>
          <w:rStyle w:val="43"/>
          <w:rFonts w:ascii="宋体" w:hAnsi="宋体"/>
          <w:szCs w:val="21"/>
        </w:rPr>
      </w:pPr>
      <w:r>
        <w:rPr>
          <w:rStyle w:val="43"/>
          <w:rFonts w:ascii="宋体" w:hAnsi="宋体"/>
          <w:szCs w:val="21"/>
        </w:rPr>
        <w:t>投  标  人：（盖单位公章）</w:t>
      </w:r>
    </w:p>
    <w:p>
      <w:pPr>
        <w:spacing w:line="400" w:lineRule="exact"/>
        <w:ind w:firstLine="3570" w:firstLineChars="1700"/>
        <w:rPr>
          <w:rStyle w:val="43"/>
          <w:rFonts w:ascii="宋体" w:hAnsi="宋体"/>
          <w:szCs w:val="21"/>
        </w:rPr>
      </w:pPr>
      <w:r>
        <w:rPr>
          <w:rStyle w:val="43"/>
          <w:rFonts w:ascii="宋体" w:hAnsi="宋体"/>
          <w:szCs w:val="21"/>
        </w:rPr>
        <w:t>法定代表人：（签字或盖章）</w:t>
      </w:r>
    </w:p>
    <w:p>
      <w:pPr>
        <w:spacing w:line="400" w:lineRule="exact"/>
        <w:ind w:firstLine="3570" w:firstLineChars="1700"/>
        <w:rPr>
          <w:rStyle w:val="43"/>
          <w:rFonts w:ascii="宋体" w:hAnsi="宋体"/>
          <w:szCs w:val="21"/>
          <w:u w:val="single"/>
        </w:rPr>
      </w:pPr>
      <w:r>
        <w:rPr>
          <w:rStyle w:val="43"/>
          <w:rFonts w:ascii="宋体" w:hAnsi="宋体"/>
          <w:szCs w:val="21"/>
        </w:rPr>
        <w:t>身份证号码：</w:t>
      </w:r>
    </w:p>
    <w:p>
      <w:pPr>
        <w:spacing w:line="400" w:lineRule="exact"/>
        <w:ind w:firstLine="3570" w:firstLineChars="1700"/>
        <w:rPr>
          <w:rStyle w:val="43"/>
          <w:rFonts w:ascii="宋体" w:hAnsi="宋体"/>
          <w:szCs w:val="21"/>
        </w:rPr>
      </w:pPr>
      <w:r>
        <w:rPr>
          <w:rStyle w:val="43"/>
          <w:rFonts w:ascii="宋体" w:hAnsi="宋体"/>
          <w:szCs w:val="21"/>
        </w:rPr>
        <w:t>委托代理人：（签字）</w:t>
      </w:r>
    </w:p>
    <w:p>
      <w:pPr>
        <w:spacing w:line="400" w:lineRule="exact"/>
        <w:ind w:firstLine="3570" w:firstLineChars="1700"/>
        <w:rPr>
          <w:rStyle w:val="43"/>
          <w:rFonts w:ascii="宋体" w:hAnsi="宋体"/>
          <w:szCs w:val="21"/>
          <w:u w:val="single"/>
        </w:rPr>
      </w:pPr>
      <w:r>
        <w:rPr>
          <w:rStyle w:val="43"/>
          <w:rFonts w:ascii="宋体" w:hAnsi="宋体"/>
          <w:szCs w:val="21"/>
        </w:rPr>
        <w:t>身份证号码：</w:t>
      </w:r>
    </w:p>
    <w:p>
      <w:pPr>
        <w:spacing w:line="400" w:lineRule="exact"/>
        <w:ind w:firstLine="3542" w:firstLineChars="1687"/>
        <w:rPr>
          <w:rStyle w:val="43"/>
          <w:rFonts w:ascii="宋体" w:hAnsi="宋体"/>
          <w:szCs w:val="21"/>
        </w:rPr>
      </w:pPr>
      <w:r>
        <w:rPr>
          <w:rStyle w:val="43"/>
          <w:rFonts w:hint="eastAsia" w:ascii="宋体" w:hAnsi="宋体"/>
          <w:szCs w:val="21"/>
        </w:rPr>
        <w:t xml:space="preserve">日 </w:t>
      </w:r>
      <w:r>
        <w:rPr>
          <w:rStyle w:val="43"/>
          <w:rFonts w:ascii="宋体" w:hAnsi="宋体"/>
          <w:szCs w:val="21"/>
        </w:rPr>
        <w:t xml:space="preserve">     </w:t>
      </w:r>
      <w:r>
        <w:rPr>
          <w:rStyle w:val="43"/>
          <w:rFonts w:hint="eastAsia" w:ascii="宋体" w:hAnsi="宋体"/>
          <w:szCs w:val="21"/>
        </w:rPr>
        <w:t xml:space="preserve">期： </w:t>
      </w:r>
      <w:r>
        <w:rPr>
          <w:rStyle w:val="43"/>
          <w:rFonts w:ascii="宋体" w:hAnsi="宋体"/>
          <w:szCs w:val="21"/>
        </w:rPr>
        <w:t xml:space="preserve"> 年</w:t>
      </w:r>
      <w:r>
        <w:rPr>
          <w:rStyle w:val="43"/>
          <w:rFonts w:hint="eastAsia" w:ascii="宋体" w:hAnsi="宋体"/>
          <w:szCs w:val="21"/>
        </w:rPr>
        <w:t xml:space="preserve"> </w:t>
      </w:r>
      <w:r>
        <w:rPr>
          <w:rStyle w:val="43"/>
          <w:rFonts w:ascii="宋体" w:hAnsi="宋体"/>
          <w:szCs w:val="21"/>
        </w:rPr>
        <w:t xml:space="preserve"> 月</w:t>
      </w:r>
      <w:r>
        <w:rPr>
          <w:rStyle w:val="43"/>
          <w:rFonts w:hint="eastAsia" w:ascii="宋体" w:hAnsi="宋体"/>
          <w:szCs w:val="21"/>
        </w:rPr>
        <w:t xml:space="preserve"> </w:t>
      </w:r>
      <w:r>
        <w:rPr>
          <w:rStyle w:val="43"/>
          <w:rFonts w:ascii="宋体" w:hAnsi="宋体"/>
          <w:szCs w:val="21"/>
        </w:rPr>
        <w:t xml:space="preserve"> 日</w:t>
      </w:r>
    </w:p>
    <w:p>
      <w:pPr>
        <w:pStyle w:val="51"/>
        <w:spacing w:before="0" w:after="0"/>
        <w:jc w:val="center"/>
        <w:rPr>
          <w:rStyle w:val="43"/>
          <w:rFonts w:ascii="宋体" w:hAnsi="宋体"/>
          <w:sz w:val="28"/>
          <w:szCs w:val="28"/>
        </w:rPr>
      </w:pPr>
      <w:r>
        <w:rPr>
          <w:rStyle w:val="43"/>
          <w:rFonts w:ascii="宋体" w:hAnsi="宋体"/>
          <w:sz w:val="28"/>
          <w:szCs w:val="28"/>
        </w:rPr>
        <w:br w:type="page"/>
      </w:r>
    </w:p>
    <w:p>
      <w:pPr>
        <w:pStyle w:val="4"/>
        <w:spacing w:before="0" w:after="0" w:line="480" w:lineRule="auto"/>
        <w:jc w:val="center"/>
        <w:rPr>
          <w:sz w:val="30"/>
          <w:szCs w:val="30"/>
        </w:rPr>
      </w:pPr>
      <w:bookmarkStart w:id="228" w:name="_Toc162361730"/>
      <w:bookmarkStart w:id="229" w:name="_Toc20930"/>
      <w:bookmarkStart w:id="230" w:name="_Toc6247"/>
      <w:bookmarkStart w:id="231" w:name="_Toc16064001"/>
      <w:bookmarkStart w:id="232" w:name="_Toc17817351"/>
      <w:r>
        <w:rPr>
          <w:sz w:val="30"/>
          <w:szCs w:val="30"/>
        </w:rPr>
        <w:t>四、投标保证金</w:t>
      </w:r>
      <w:bookmarkEnd w:id="228"/>
      <w:bookmarkEnd w:id="229"/>
      <w:bookmarkEnd w:id="230"/>
      <w:bookmarkEnd w:id="231"/>
      <w:bookmarkEnd w:id="232"/>
    </w:p>
    <w:p>
      <w:pPr>
        <w:spacing w:line="460" w:lineRule="exact"/>
        <w:rPr>
          <w:rStyle w:val="43"/>
          <w:rFonts w:ascii="宋体" w:hAnsi="宋体"/>
          <w:sz w:val="28"/>
          <w:szCs w:val="21"/>
        </w:rPr>
      </w:pPr>
      <w:r>
        <w:rPr>
          <w:rStyle w:val="43"/>
          <w:rFonts w:ascii="宋体" w:hAnsi="宋体"/>
          <w:sz w:val="28"/>
          <w:szCs w:val="21"/>
        </w:rPr>
        <w:t>附：1、投标保证金汇款凭证（加盖单位公章）；</w:t>
      </w:r>
    </w:p>
    <w:p>
      <w:pPr>
        <w:rPr>
          <w:rStyle w:val="43"/>
          <w:rFonts w:ascii="宋体" w:hAnsi="宋体"/>
          <w:b/>
        </w:rPr>
      </w:pPr>
      <w:r>
        <w:rPr>
          <w:rStyle w:val="43"/>
          <w:rFonts w:ascii="宋体" w:hAnsi="宋体"/>
          <w:sz w:val="28"/>
          <w:szCs w:val="21"/>
        </w:rPr>
        <w:t xml:space="preserve">    2、投标保证金退还信息（格式）；</w:t>
      </w:r>
    </w:p>
    <w:p>
      <w:pPr>
        <w:spacing w:line="460" w:lineRule="exact"/>
        <w:rPr>
          <w:rStyle w:val="43"/>
          <w:rFonts w:ascii="宋体" w:hAnsi="宋体"/>
          <w:sz w:val="28"/>
          <w:szCs w:val="21"/>
        </w:rPr>
      </w:pPr>
    </w:p>
    <w:p>
      <w:pPr>
        <w:jc w:val="center"/>
        <w:rPr>
          <w:rStyle w:val="43"/>
          <w:rFonts w:ascii="宋体" w:hAnsi="宋体"/>
          <w:b/>
        </w:rPr>
      </w:pPr>
    </w:p>
    <w:p>
      <w:pPr>
        <w:jc w:val="center"/>
        <w:rPr>
          <w:rStyle w:val="43"/>
          <w:rFonts w:ascii="宋体" w:hAnsi="宋体"/>
          <w:b/>
        </w:rPr>
      </w:pPr>
      <w:r>
        <w:rPr>
          <w:rStyle w:val="43"/>
          <w:rFonts w:ascii="宋体" w:hAnsi="宋体"/>
          <w:b/>
        </w:rPr>
        <w:t>投标保证金退还信息</w:t>
      </w:r>
    </w:p>
    <w:p>
      <w:pPr>
        <w:spacing w:line="600" w:lineRule="exact"/>
        <w:rPr>
          <w:rStyle w:val="43"/>
          <w:rFonts w:ascii="宋体" w:hAnsi="宋体"/>
          <w:sz w:val="22"/>
        </w:rPr>
      </w:pPr>
      <w:r>
        <w:rPr>
          <w:rStyle w:val="43"/>
          <w:rFonts w:hint="eastAsia" w:ascii="宋体" w:hAnsi="宋体"/>
          <w:sz w:val="22"/>
          <w:u w:val="single"/>
        </w:rPr>
        <w:t xml:space="preserve">                    </w:t>
      </w:r>
      <w:r>
        <w:rPr>
          <w:rStyle w:val="43"/>
          <w:rFonts w:ascii="宋体" w:hAnsi="宋体"/>
          <w:sz w:val="22"/>
        </w:rPr>
        <w:t>：</w:t>
      </w:r>
    </w:p>
    <w:p>
      <w:pPr>
        <w:spacing w:line="600" w:lineRule="exact"/>
        <w:rPr>
          <w:rStyle w:val="43"/>
          <w:rFonts w:ascii="宋体" w:hAnsi="宋体"/>
          <w:sz w:val="22"/>
        </w:rPr>
      </w:pPr>
      <w:r>
        <w:rPr>
          <w:rStyle w:val="43"/>
          <w:rFonts w:ascii="宋体" w:hAnsi="宋体"/>
          <w:sz w:val="22"/>
        </w:rPr>
        <w:t xml:space="preserve">   请贵公司将</w:t>
      </w:r>
      <w:r>
        <w:rPr>
          <w:rStyle w:val="43"/>
          <w:rFonts w:ascii="宋体" w:hAnsi="宋体"/>
          <w:sz w:val="22"/>
          <w:u w:val="single"/>
        </w:rPr>
        <w:t xml:space="preserve">                  （</w:t>
      </w:r>
      <w:r>
        <w:rPr>
          <w:rStyle w:val="43"/>
          <w:rFonts w:ascii="宋体" w:hAnsi="宋体"/>
          <w:sz w:val="22"/>
        </w:rPr>
        <w:t>项目名称）的投标保证金，退还至我公司以下账户：</w:t>
      </w:r>
    </w:p>
    <w:p>
      <w:pPr>
        <w:spacing w:line="600" w:lineRule="exact"/>
        <w:rPr>
          <w:rStyle w:val="43"/>
          <w:rFonts w:ascii="宋体" w:hAnsi="宋体"/>
          <w:sz w:val="22"/>
          <w:u w:val="single"/>
        </w:rPr>
      </w:pPr>
      <w:r>
        <w:rPr>
          <w:rStyle w:val="43"/>
          <w:rFonts w:ascii="宋体" w:hAnsi="宋体"/>
          <w:sz w:val="22"/>
        </w:rPr>
        <w:t xml:space="preserve">   开户名称： </w:t>
      </w:r>
    </w:p>
    <w:p>
      <w:pPr>
        <w:tabs>
          <w:tab w:val="decimal" w:pos="0"/>
          <w:tab w:val="decimal" w:pos="840"/>
          <w:tab w:val="decimal" w:pos="955"/>
        </w:tabs>
        <w:snapToGrid w:val="0"/>
        <w:spacing w:before="72" w:line="600" w:lineRule="exact"/>
        <w:ind w:firstLine="330" w:firstLineChars="150"/>
        <w:rPr>
          <w:rStyle w:val="43"/>
          <w:rFonts w:ascii="宋体" w:hAnsi="宋体"/>
          <w:sz w:val="22"/>
        </w:rPr>
      </w:pPr>
      <w:r>
        <w:rPr>
          <w:rStyle w:val="43"/>
          <w:rFonts w:ascii="宋体" w:hAnsi="宋体"/>
          <w:sz w:val="22"/>
        </w:rPr>
        <w:t xml:space="preserve">开户银行： </w:t>
      </w:r>
    </w:p>
    <w:p>
      <w:pPr>
        <w:tabs>
          <w:tab w:val="decimal" w:pos="0"/>
          <w:tab w:val="decimal" w:pos="840"/>
          <w:tab w:val="decimal" w:pos="955"/>
        </w:tabs>
        <w:snapToGrid w:val="0"/>
        <w:spacing w:before="72" w:line="600" w:lineRule="exact"/>
        <w:ind w:firstLine="330" w:firstLineChars="150"/>
        <w:rPr>
          <w:rStyle w:val="43"/>
          <w:rFonts w:ascii="宋体" w:hAnsi="宋体"/>
          <w:sz w:val="22"/>
        </w:rPr>
      </w:pPr>
      <w:r>
        <w:rPr>
          <w:rStyle w:val="43"/>
          <w:rFonts w:ascii="宋体" w:hAnsi="宋体"/>
          <w:sz w:val="22"/>
        </w:rPr>
        <w:t>帐    号：</w:t>
      </w:r>
    </w:p>
    <w:p>
      <w:pPr>
        <w:tabs>
          <w:tab w:val="decimal" w:pos="0"/>
          <w:tab w:val="decimal" w:pos="840"/>
          <w:tab w:val="decimal" w:pos="955"/>
        </w:tabs>
        <w:snapToGrid w:val="0"/>
        <w:spacing w:before="72" w:line="600" w:lineRule="exact"/>
        <w:ind w:firstLine="330" w:firstLineChars="150"/>
        <w:rPr>
          <w:rStyle w:val="43"/>
          <w:rFonts w:ascii="宋体" w:hAnsi="宋体"/>
          <w:sz w:val="22"/>
          <w:szCs w:val="22"/>
        </w:rPr>
      </w:pPr>
      <w:r>
        <w:rPr>
          <w:rStyle w:val="43"/>
          <w:rFonts w:hint="eastAsia" w:ascii="宋体" w:hAnsi="宋体"/>
          <w:sz w:val="22"/>
          <w:szCs w:val="22"/>
        </w:rPr>
        <w:t>联 行 号：</w:t>
      </w:r>
    </w:p>
    <w:p>
      <w:pPr>
        <w:spacing w:line="360" w:lineRule="auto"/>
        <w:rPr>
          <w:rStyle w:val="43"/>
          <w:rFonts w:ascii="宋体" w:hAnsi="宋体"/>
          <w:sz w:val="22"/>
        </w:rPr>
      </w:pPr>
    </w:p>
    <w:p>
      <w:pPr>
        <w:spacing w:line="600" w:lineRule="exact"/>
        <w:rPr>
          <w:rStyle w:val="43"/>
          <w:rFonts w:ascii="宋体" w:hAnsi="宋体"/>
          <w:sz w:val="22"/>
        </w:rPr>
      </w:pPr>
      <w:r>
        <w:rPr>
          <w:rStyle w:val="43"/>
          <w:rFonts w:ascii="宋体" w:hAnsi="宋体"/>
          <w:sz w:val="22"/>
        </w:rPr>
        <w:t xml:space="preserve">                     投标单位（盖单位公章）：                  </w:t>
      </w:r>
    </w:p>
    <w:p>
      <w:pPr>
        <w:spacing w:line="600" w:lineRule="exact"/>
        <w:rPr>
          <w:rStyle w:val="43"/>
          <w:rFonts w:ascii="宋体" w:hAnsi="宋体"/>
          <w:sz w:val="22"/>
        </w:rPr>
      </w:pPr>
      <w:r>
        <w:rPr>
          <w:rStyle w:val="43"/>
          <w:rFonts w:ascii="宋体" w:hAnsi="宋体"/>
          <w:sz w:val="22"/>
        </w:rPr>
        <w:t xml:space="preserve">                     日  期：       年   月  日</w:t>
      </w:r>
    </w:p>
    <w:p>
      <w:pPr>
        <w:spacing w:line="460" w:lineRule="exact"/>
        <w:rPr>
          <w:rStyle w:val="43"/>
          <w:rFonts w:ascii="宋体" w:hAnsi="宋体"/>
          <w:b/>
          <w:bCs/>
          <w:szCs w:val="42"/>
        </w:rPr>
      </w:pPr>
      <w:r>
        <w:rPr>
          <w:rStyle w:val="43"/>
          <w:rFonts w:ascii="宋体" w:hAnsi="宋体"/>
          <w:b/>
          <w:bCs/>
          <w:szCs w:val="42"/>
        </w:rPr>
        <w:t>备注：</w:t>
      </w:r>
    </w:p>
    <w:p>
      <w:pPr>
        <w:numPr>
          <w:ilvl w:val="0"/>
          <w:numId w:val="14"/>
        </w:numPr>
        <w:spacing w:line="460" w:lineRule="exact"/>
        <w:rPr>
          <w:rStyle w:val="43"/>
          <w:rFonts w:ascii="宋体" w:hAnsi="宋体"/>
          <w:b/>
          <w:bCs/>
          <w:szCs w:val="42"/>
        </w:rPr>
      </w:pPr>
      <w:r>
        <w:rPr>
          <w:rStyle w:val="43"/>
          <w:rFonts w:ascii="宋体" w:hAnsi="宋体"/>
          <w:b/>
          <w:bCs/>
          <w:szCs w:val="42"/>
        </w:rPr>
        <w:t>以上信息用于退还投标保证金</w:t>
      </w:r>
      <w:r>
        <w:rPr>
          <w:rStyle w:val="43"/>
          <w:rFonts w:hint="eastAsia" w:ascii="宋体" w:hAnsi="宋体"/>
          <w:b/>
          <w:bCs/>
          <w:szCs w:val="42"/>
        </w:rPr>
        <w:t>，缺少以上任意一条信息均无法退还投标保证金</w:t>
      </w:r>
      <w:r>
        <w:rPr>
          <w:rStyle w:val="43"/>
          <w:rFonts w:ascii="宋体" w:hAnsi="宋体"/>
          <w:b/>
          <w:bCs/>
          <w:szCs w:val="42"/>
        </w:rPr>
        <w:t>。</w:t>
      </w:r>
    </w:p>
    <w:p>
      <w:pPr>
        <w:numPr>
          <w:ilvl w:val="0"/>
          <w:numId w:val="14"/>
        </w:numPr>
        <w:spacing w:line="460" w:lineRule="exact"/>
        <w:rPr>
          <w:rStyle w:val="43"/>
          <w:rFonts w:ascii="宋体" w:hAnsi="宋体"/>
          <w:b/>
          <w:bCs/>
          <w:szCs w:val="42"/>
        </w:rPr>
      </w:pPr>
      <w:r>
        <w:rPr>
          <w:rStyle w:val="43"/>
          <w:rFonts w:hint="eastAsia" w:ascii="宋体" w:hAnsi="宋体"/>
          <w:b/>
          <w:bCs/>
          <w:szCs w:val="42"/>
        </w:rPr>
        <w:t>按照招投标法保证金返还相关条款约定，结合我公司财务管理流程等综合因素，保证金退款流程申请成功退款到账时间为：未中标单位自定标之日起最长约60天；中标人的投标保证金，自动转为履约保证金，待本工程按期竣工验收后予以退还，因中标人原因导致工期延误产生的工期违约金直接从投标保证金中扣除。退款方式为无息退款。请各投标单位知悉且视为认同此条款。</w:t>
      </w:r>
    </w:p>
    <w:p>
      <w:pPr>
        <w:spacing w:line="460" w:lineRule="exact"/>
        <w:jc w:val="center"/>
        <w:rPr>
          <w:rStyle w:val="43"/>
          <w:rFonts w:ascii="宋体" w:hAnsi="宋体"/>
          <w:szCs w:val="21"/>
        </w:rPr>
      </w:pPr>
    </w:p>
    <w:p>
      <w:pPr>
        <w:spacing w:line="460" w:lineRule="exact"/>
        <w:jc w:val="right"/>
        <w:rPr>
          <w:rStyle w:val="43"/>
          <w:rFonts w:ascii="宋体" w:hAnsi="宋体"/>
          <w:szCs w:val="21"/>
        </w:rPr>
      </w:pPr>
    </w:p>
    <w:p>
      <w:pPr>
        <w:spacing w:line="460" w:lineRule="exact"/>
        <w:rPr>
          <w:rStyle w:val="43"/>
          <w:rFonts w:ascii="宋体" w:hAnsi="宋体"/>
          <w:szCs w:val="21"/>
        </w:rPr>
      </w:pPr>
    </w:p>
    <w:p>
      <w:pPr>
        <w:pStyle w:val="51"/>
        <w:spacing w:before="0" w:after="0"/>
        <w:jc w:val="center"/>
        <w:rPr>
          <w:rStyle w:val="43"/>
          <w:rFonts w:ascii="宋体" w:hAnsi="宋体"/>
          <w:szCs w:val="21"/>
        </w:rPr>
      </w:pPr>
      <w:r>
        <w:rPr>
          <w:rStyle w:val="43"/>
          <w:rFonts w:ascii="宋体" w:hAnsi="宋体"/>
          <w:szCs w:val="21"/>
        </w:rPr>
        <w:br w:type="page"/>
      </w:r>
    </w:p>
    <w:p>
      <w:pPr>
        <w:pStyle w:val="4"/>
        <w:spacing w:before="0" w:after="0" w:line="480" w:lineRule="auto"/>
        <w:jc w:val="center"/>
        <w:rPr>
          <w:sz w:val="30"/>
          <w:szCs w:val="30"/>
        </w:rPr>
      </w:pPr>
      <w:bookmarkStart w:id="233" w:name="_Toc162361731"/>
      <w:bookmarkStart w:id="234" w:name="_Toc17817352"/>
      <w:bookmarkStart w:id="235" w:name="_Toc27670"/>
      <w:bookmarkStart w:id="236" w:name="_Toc16799"/>
      <w:bookmarkStart w:id="237" w:name="_Toc16064002"/>
      <w:r>
        <w:rPr>
          <w:sz w:val="30"/>
          <w:szCs w:val="30"/>
        </w:rPr>
        <w:t>五、已标价工程量清单</w:t>
      </w:r>
      <w:bookmarkEnd w:id="233"/>
      <w:bookmarkEnd w:id="234"/>
      <w:bookmarkEnd w:id="235"/>
      <w:bookmarkEnd w:id="236"/>
      <w:bookmarkEnd w:id="237"/>
    </w:p>
    <w:p>
      <w:pPr>
        <w:spacing w:line="460" w:lineRule="exact"/>
        <w:rPr>
          <w:rStyle w:val="43"/>
          <w:rFonts w:ascii="宋体" w:hAnsi="宋体"/>
          <w:szCs w:val="21"/>
        </w:rPr>
      </w:pPr>
      <w:r>
        <w:rPr>
          <w:rStyle w:val="43"/>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pPr>
        <w:pStyle w:val="51"/>
        <w:jc w:val="center"/>
        <w:rPr>
          <w:sz w:val="30"/>
          <w:szCs w:val="30"/>
        </w:rPr>
      </w:pPr>
      <w:r>
        <w:rPr>
          <w:rStyle w:val="43"/>
          <w:rFonts w:ascii="宋体" w:hAnsi="宋体"/>
          <w:szCs w:val="21"/>
        </w:rPr>
        <w:br w:type="page"/>
      </w:r>
      <w:bookmarkStart w:id="238" w:name="_Toc16064003"/>
      <w:bookmarkStart w:id="239" w:name="_Toc17817353"/>
    </w:p>
    <w:p>
      <w:pPr>
        <w:pStyle w:val="4"/>
        <w:numPr>
          <w:ilvl w:val="0"/>
          <w:numId w:val="15"/>
        </w:numPr>
        <w:spacing w:before="0" w:after="0" w:line="480" w:lineRule="auto"/>
        <w:jc w:val="center"/>
        <w:rPr>
          <w:sz w:val="30"/>
          <w:szCs w:val="30"/>
        </w:rPr>
      </w:pPr>
      <w:bookmarkStart w:id="240" w:name="_Toc29645"/>
      <w:bookmarkStart w:id="241" w:name="_Toc1777"/>
      <w:bookmarkStart w:id="242" w:name="_Toc162361732"/>
      <w:r>
        <w:rPr>
          <w:sz w:val="30"/>
          <w:szCs w:val="30"/>
        </w:rPr>
        <w:t>施工组织设计</w:t>
      </w:r>
      <w:bookmarkEnd w:id="238"/>
      <w:bookmarkEnd w:id="239"/>
      <w:bookmarkEnd w:id="240"/>
      <w:bookmarkEnd w:id="241"/>
      <w:bookmarkEnd w:id="242"/>
    </w:p>
    <w:p>
      <w:pPr>
        <w:spacing w:line="420" w:lineRule="exact"/>
        <w:ind w:firstLine="420" w:firstLineChars="200"/>
        <w:rPr>
          <w:rFonts w:ascii="宋体"/>
        </w:rPr>
      </w:pPr>
      <w:r>
        <w:rPr>
          <w:rFonts w:hint="eastAsia" w:ascii="宋体"/>
        </w:rPr>
        <w:t>1．投标人应根据招标文件和对现场的勘察情况，采用文字并结合图表形式，参考以下要点及顺序编制本工程的施工组织设计：</w:t>
      </w:r>
    </w:p>
    <w:p>
      <w:pPr>
        <w:spacing w:line="420" w:lineRule="exact"/>
        <w:ind w:firstLine="420" w:firstLineChars="200"/>
        <w:rPr>
          <w:rStyle w:val="43"/>
          <w:rFonts w:ascii="宋体"/>
        </w:rPr>
      </w:pPr>
      <w:r>
        <w:rPr>
          <w:rStyle w:val="43"/>
          <w:rFonts w:ascii="宋体"/>
        </w:rPr>
        <w:t>（1）</w:t>
      </w:r>
      <w:r>
        <w:rPr>
          <w:rFonts w:hint="eastAsia" w:ascii="宋体" w:hAnsi="宋体" w:eastAsia="宋体" w:cs="宋体"/>
          <w:color w:val="auto"/>
        </w:rPr>
        <w:t>施工组织总体方案（对项目特点认知、项目管理机构组建、施工准备、施工总平面布置、施工顺序、施工流水段划分、施工劳务分包、专业分包选择和组织、材料机械组织）</w:t>
      </w:r>
      <w:r>
        <w:rPr>
          <w:rStyle w:val="43"/>
          <w:rFonts w:ascii="宋体"/>
        </w:rPr>
        <w:t>；</w:t>
      </w:r>
    </w:p>
    <w:p>
      <w:pPr>
        <w:spacing w:line="420" w:lineRule="exact"/>
        <w:ind w:firstLine="420" w:firstLineChars="200"/>
        <w:rPr>
          <w:rStyle w:val="43"/>
          <w:rFonts w:ascii="宋体"/>
        </w:rPr>
      </w:pPr>
      <w:r>
        <w:rPr>
          <w:rStyle w:val="43"/>
          <w:rFonts w:ascii="宋体"/>
        </w:rPr>
        <w:t>（2）</w:t>
      </w:r>
      <w:r>
        <w:rPr>
          <w:rFonts w:hint="eastAsia" w:ascii="宋体" w:hAnsi="宋体" w:eastAsia="宋体" w:cs="宋体"/>
          <w:color w:val="auto"/>
          <w:kern w:val="0"/>
          <w:szCs w:val="21"/>
          <w:lang w:bidi="ar"/>
        </w:rPr>
        <w:t>施工进度计划及保证措施（1、要求根据建设单位提供的关键节点，提供施工总进度横道图或网络图计划，施工内容要切合实际、全面；2、列举分析本工程的工期风险点及应对保证措施）。</w:t>
      </w:r>
      <w:r>
        <w:rPr>
          <w:rStyle w:val="43"/>
          <w:rFonts w:ascii="宋体"/>
        </w:rPr>
        <w:t>；</w:t>
      </w:r>
    </w:p>
    <w:p>
      <w:pPr>
        <w:spacing w:line="420" w:lineRule="exact"/>
        <w:ind w:firstLine="420" w:firstLineChars="200"/>
        <w:rPr>
          <w:rStyle w:val="43"/>
          <w:rFonts w:ascii="宋体"/>
        </w:rPr>
      </w:pPr>
      <w:r>
        <w:rPr>
          <w:rStyle w:val="43"/>
          <w:rFonts w:ascii="宋体"/>
        </w:rPr>
        <w:t>（3）</w:t>
      </w:r>
      <w:r>
        <w:rPr>
          <w:rFonts w:hint="eastAsia" w:ascii="宋体" w:hAnsi="宋体" w:eastAsia="宋体" w:cs="宋体"/>
          <w:color w:val="auto"/>
          <w:kern w:val="0"/>
          <w:szCs w:val="21"/>
          <w:lang w:bidi="ar"/>
        </w:rPr>
        <w:t>关键施工技术、工艺及工程实施的重点、难点分析。要求提炼出招标项目的关键施工工艺、施工重难点、危险性较大的专项工程等</w:t>
      </w:r>
      <w:r>
        <w:rPr>
          <w:rStyle w:val="43"/>
          <w:rFonts w:ascii="宋体"/>
        </w:rPr>
        <w:t>；</w:t>
      </w:r>
    </w:p>
    <w:p>
      <w:pPr>
        <w:spacing w:line="420" w:lineRule="exact"/>
        <w:ind w:firstLine="420" w:firstLineChars="200"/>
        <w:rPr>
          <w:rStyle w:val="43"/>
          <w:rFonts w:ascii="宋体"/>
        </w:rPr>
      </w:pPr>
      <w:r>
        <w:rPr>
          <w:rStyle w:val="43"/>
          <w:rFonts w:ascii="宋体"/>
        </w:rPr>
        <w:t>（4）</w:t>
      </w:r>
      <w:r>
        <w:rPr>
          <w:rFonts w:hint="eastAsia" w:ascii="宋体" w:hAnsi="宋体" w:eastAsia="宋体" w:cs="宋体"/>
          <w:color w:val="auto"/>
          <w:kern w:val="0"/>
          <w:szCs w:val="21"/>
          <w:lang w:bidi="ar"/>
        </w:rPr>
        <w:t>质量保证措施。（要求针对性分析本工程容易出现的质量通病、质量控制重点和保证措施）</w:t>
      </w:r>
      <w:r>
        <w:rPr>
          <w:rStyle w:val="43"/>
          <w:rFonts w:ascii="宋体"/>
        </w:rPr>
        <w:t>；</w:t>
      </w:r>
    </w:p>
    <w:p>
      <w:pPr>
        <w:spacing w:line="420" w:lineRule="exact"/>
        <w:ind w:firstLine="420" w:firstLineChars="200"/>
        <w:rPr>
          <w:rStyle w:val="43"/>
          <w:rFonts w:ascii="宋体"/>
        </w:rPr>
      </w:pPr>
      <w:r>
        <w:rPr>
          <w:rStyle w:val="43"/>
          <w:rFonts w:ascii="宋体"/>
        </w:rPr>
        <w:t>（5）</w:t>
      </w:r>
      <w:r>
        <w:rPr>
          <w:rFonts w:hint="eastAsia" w:ascii="宋体" w:hAnsi="宋体" w:eastAsia="宋体" w:cs="宋体"/>
          <w:color w:val="auto"/>
          <w:kern w:val="0"/>
          <w:szCs w:val="21"/>
          <w:lang w:bidi="ar"/>
        </w:rPr>
        <w:t>安全文明施工措施。（要求对安全生产、文明施工、环境保护</w:t>
      </w:r>
      <w:r>
        <w:rPr>
          <w:rFonts w:hint="eastAsia" w:ascii="宋体" w:hAnsi="宋体" w:eastAsia="宋体" w:cs="宋体"/>
          <w:color w:val="auto"/>
          <w:kern w:val="0"/>
          <w:szCs w:val="21"/>
        </w:rPr>
        <w:t>及防尘施工措施</w:t>
      </w:r>
      <w:r>
        <w:rPr>
          <w:rFonts w:hint="eastAsia" w:ascii="宋体" w:hAnsi="宋体" w:eastAsia="宋体" w:cs="宋体"/>
          <w:color w:val="auto"/>
          <w:kern w:val="0"/>
          <w:szCs w:val="21"/>
          <w:lang w:bidi="ar"/>
        </w:rPr>
        <w:t>，制定保证措施和承诺）</w:t>
      </w:r>
      <w:r>
        <w:rPr>
          <w:rStyle w:val="43"/>
          <w:rFonts w:ascii="宋体"/>
        </w:rPr>
        <w:t>；</w:t>
      </w:r>
    </w:p>
    <w:p>
      <w:pPr>
        <w:spacing w:line="420" w:lineRule="exact"/>
        <w:ind w:firstLine="420" w:firstLineChars="200"/>
        <w:rPr>
          <w:rStyle w:val="43"/>
          <w:rFonts w:ascii="宋体"/>
        </w:rPr>
      </w:pPr>
      <w:r>
        <w:rPr>
          <w:rStyle w:val="43"/>
          <w:rFonts w:ascii="宋体"/>
        </w:rPr>
        <w:t>（</w:t>
      </w:r>
      <w:r>
        <w:rPr>
          <w:rStyle w:val="43"/>
          <w:rFonts w:hint="eastAsia" w:ascii="宋体"/>
        </w:rPr>
        <w:t>6</w:t>
      </w:r>
      <w:r>
        <w:rPr>
          <w:rStyle w:val="43"/>
          <w:rFonts w:ascii="宋体"/>
        </w:rPr>
        <w:t>）招标文件规定的其他内容。</w:t>
      </w:r>
    </w:p>
    <w:p>
      <w:pPr>
        <w:spacing w:before="120" w:after="240" w:line="420" w:lineRule="exact"/>
        <w:jc w:val="center"/>
        <w:rPr>
          <w:rStyle w:val="43"/>
          <w:rFonts w:ascii="宋体" w:hAnsi="宋体"/>
          <w:szCs w:val="21"/>
        </w:rPr>
      </w:pPr>
      <w:r>
        <w:rPr>
          <w:rStyle w:val="43"/>
          <w:rFonts w:ascii="宋体" w:hAnsi="宋体"/>
          <w:szCs w:val="21"/>
        </w:rPr>
        <w:br w:type="page"/>
      </w:r>
    </w:p>
    <w:p>
      <w:pPr>
        <w:pStyle w:val="4"/>
        <w:numPr>
          <w:ilvl w:val="0"/>
          <w:numId w:val="15"/>
        </w:numPr>
        <w:spacing w:before="0" w:after="0" w:line="480" w:lineRule="auto"/>
        <w:jc w:val="center"/>
        <w:rPr>
          <w:sz w:val="30"/>
          <w:szCs w:val="30"/>
          <w:highlight w:val="cyan"/>
        </w:rPr>
      </w:pPr>
      <w:bookmarkStart w:id="243" w:name="_Toc162361733"/>
      <w:bookmarkStart w:id="244" w:name="_Toc8712"/>
      <w:bookmarkStart w:id="245" w:name="_Toc24097"/>
      <w:bookmarkStart w:id="246" w:name="_Toc17817354"/>
      <w:bookmarkStart w:id="247" w:name="_Toc12238"/>
      <w:r>
        <w:rPr>
          <w:rFonts w:hint="eastAsia"/>
          <w:sz w:val="30"/>
          <w:szCs w:val="30"/>
          <w:highlight w:val="cyan"/>
        </w:rPr>
        <w:t>甲限乙购</w:t>
      </w:r>
      <w:r>
        <w:rPr>
          <w:sz w:val="30"/>
          <w:szCs w:val="30"/>
          <w:highlight w:val="cyan"/>
        </w:rPr>
        <w:t>材料（设备）品牌</w:t>
      </w:r>
      <w:r>
        <w:rPr>
          <w:rFonts w:hint="eastAsia"/>
          <w:sz w:val="30"/>
          <w:szCs w:val="30"/>
          <w:highlight w:val="cyan"/>
        </w:rPr>
        <w:t>表</w:t>
      </w:r>
      <w:bookmarkEnd w:id="243"/>
      <w:bookmarkEnd w:id="244"/>
    </w:p>
    <w:tbl>
      <w:tblPr>
        <w:tblStyle w:val="23"/>
        <w:tblW w:w="5586" w:type="pct"/>
        <w:tblInd w:w="-323" w:type="dxa"/>
        <w:tblLayout w:type="autofit"/>
        <w:tblCellMar>
          <w:top w:w="0" w:type="dxa"/>
          <w:left w:w="0" w:type="dxa"/>
          <w:bottom w:w="0" w:type="dxa"/>
          <w:right w:w="0" w:type="dxa"/>
        </w:tblCellMar>
      </w:tblPr>
      <w:tblGrid>
        <w:gridCol w:w="829"/>
        <w:gridCol w:w="2087"/>
        <w:gridCol w:w="4487"/>
        <w:gridCol w:w="1910"/>
      </w:tblGrid>
      <w:tr>
        <w:tblPrEx>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1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40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tblPrEx>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b/>
                <w:color w:val="000000" w:themeColor="text1"/>
                <w:sz w:val="28"/>
                <w:szCs w:val="28"/>
                <w:lang w:val="en-US" w:eastAsia="zh-CN" w:bidi="ar"/>
                <w14:textFill>
                  <w14:solidFill>
                    <w14:schemeClr w14:val="tx1"/>
                  </w14:solidFill>
                </w14:textFill>
              </w:rPr>
            </w:pPr>
          </w:p>
        </w:tc>
        <w:tc>
          <w:tcPr>
            <w:tcW w:w="11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left="-62" w:leftChars="-30" w:hanging="1"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p>
        </w:tc>
        <w:tc>
          <w:tcPr>
            <w:tcW w:w="240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left"/>
              <w:textAlignment w:val="center"/>
              <w:rPr>
                <w:rFonts w:ascii="仿宋" w:hAnsi="仿宋" w:eastAsia="仿宋" w:cs="仿宋"/>
                <w:color w:val="000000" w:themeColor="text1"/>
                <w:sz w:val="24"/>
                <w:szCs w:val="24"/>
                <w14:textFill>
                  <w14:solidFill>
                    <w14:schemeClr w14:val="tx1"/>
                  </w14:solidFill>
                </w14:textFill>
              </w:rPr>
            </w:pP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b/>
                <w:color w:val="000000" w:themeColor="text1"/>
                <w:sz w:val="28"/>
                <w:szCs w:val="28"/>
                <w:lang w:val="en-US" w:eastAsia="zh-CN" w:bidi="ar"/>
                <w14:textFill>
                  <w14:solidFill>
                    <w14:schemeClr w14:val="tx1"/>
                  </w14:solidFill>
                </w14:textFill>
              </w:rPr>
            </w:pPr>
          </w:p>
        </w:tc>
        <w:tc>
          <w:tcPr>
            <w:tcW w:w="11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left="-62" w:leftChars="-30" w:hanging="1" w:firstLineChars="0"/>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p>
        </w:tc>
        <w:tc>
          <w:tcPr>
            <w:tcW w:w="240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360" w:lineRule="auto"/>
              <w:ind w:left="-62" w:leftChars="-30" w:hanging="1" w:firstLineChars="0"/>
              <w:jc w:val="left"/>
              <w:textAlignment w:val="center"/>
              <w:rPr>
                <w:rFonts w:ascii="仿宋" w:hAnsi="仿宋" w:eastAsia="仿宋" w:cs="仿宋"/>
                <w:color w:val="000000" w:themeColor="text1"/>
                <w:sz w:val="24"/>
                <w:szCs w:val="24"/>
                <w14:textFill>
                  <w14:solidFill>
                    <w14:schemeClr w14:val="tx1"/>
                  </w14:solidFill>
                </w14:textFill>
              </w:rPr>
            </w:pP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b/>
                <w:color w:val="000000" w:themeColor="text1"/>
                <w:kern w:val="2"/>
                <w:sz w:val="28"/>
                <w:szCs w:val="28"/>
                <w:lang w:val="en-US" w:eastAsia="zh-CN" w:bidi="ar"/>
                <w14:textFill>
                  <w14:solidFill>
                    <w14:schemeClr w14:val="tx1"/>
                  </w14:solidFill>
                </w14:textFill>
              </w:rPr>
            </w:pPr>
          </w:p>
        </w:tc>
        <w:tc>
          <w:tcPr>
            <w:tcW w:w="11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ind w:left="-62" w:leftChars="-30" w:hanging="1" w:firstLineChars="0"/>
              <w:jc w:val="center"/>
              <w:textAlignment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240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line="360" w:lineRule="auto"/>
              <w:jc w:val="left"/>
              <w:textAlignment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tblPrEx>
          <w:tblCellMar>
            <w:top w:w="0" w:type="dxa"/>
            <w:left w:w="0" w:type="dxa"/>
            <w:bottom w:w="0" w:type="dxa"/>
            <w:right w:w="0" w:type="dxa"/>
          </w:tblCellMar>
        </w:tblPrEx>
        <w:trPr>
          <w:trHeight w:val="600" w:hRule="atLeast"/>
        </w:trPr>
        <w:tc>
          <w:tcPr>
            <w:tcW w:w="44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仿宋" w:hAnsi="仿宋" w:eastAsia="仿宋" w:cs="仿宋"/>
                <w:b/>
                <w:color w:val="000000" w:themeColor="text1"/>
                <w:kern w:val="2"/>
                <w:sz w:val="28"/>
                <w:szCs w:val="28"/>
                <w:lang w:val="en-US" w:eastAsia="zh-CN" w:bidi="ar"/>
                <w14:textFill>
                  <w14:solidFill>
                    <w14:schemeClr w14:val="tx1"/>
                  </w14:solidFill>
                </w14:textFill>
              </w:rPr>
            </w:pPr>
          </w:p>
        </w:tc>
        <w:tc>
          <w:tcPr>
            <w:tcW w:w="11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2408"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spacing w:line="360" w:lineRule="auto"/>
              <w:jc w:val="left"/>
              <w:textAlignment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c>
          <w:tcPr>
            <w:tcW w:w="10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pPr>
        <w:jc w:val="both"/>
        <w:rPr>
          <w:rFonts w:hint="eastAsia" w:ascii="仿宋" w:hAnsi="仿宋" w:eastAsia="仿宋" w:cs="仿宋"/>
          <w:b/>
          <w:bCs/>
          <w:sz w:val="28"/>
          <w:szCs w:val="28"/>
        </w:rPr>
      </w:pPr>
    </w:p>
    <w:p>
      <w:pPr>
        <w:jc w:val="center"/>
        <w:rPr>
          <w:rFonts w:hint="eastAsia" w:ascii="仿宋" w:hAnsi="仿宋" w:eastAsia="仿宋" w:cs="仿宋"/>
          <w:b/>
          <w:bCs/>
          <w:sz w:val="28"/>
          <w:szCs w:val="28"/>
          <w:highlight w:val="cyan"/>
        </w:rPr>
      </w:pPr>
      <w:r>
        <w:rPr>
          <w:rFonts w:hint="eastAsia" w:ascii="仿宋" w:hAnsi="仿宋" w:eastAsia="仿宋" w:cs="仿宋"/>
          <w:b/>
          <w:bCs/>
          <w:sz w:val="28"/>
          <w:szCs w:val="28"/>
          <w:highlight w:val="cyan"/>
        </w:rPr>
        <w:t>非甲限、乙购主要材料（设备）品牌表</w:t>
      </w:r>
    </w:p>
    <w:tbl>
      <w:tblPr>
        <w:tblStyle w:val="103"/>
        <w:tblpPr w:leftFromText="180" w:rightFromText="180" w:vertAnchor="text" w:horzAnchor="page" w:tblpXSpec="center" w:tblpY="335"/>
        <w:tblOverlap w:val="never"/>
        <w:tblW w:w="97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3200"/>
        <w:gridCol w:w="2257"/>
        <w:gridCol w:w="1243"/>
        <w:gridCol w:w="1242"/>
        <w:gridCol w:w="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6" w:type="dxa"/>
            <w:vAlign w:val="center"/>
          </w:tcPr>
          <w:p>
            <w:pPr>
              <w:pStyle w:val="104"/>
              <w:spacing w:before="182" w:line="240" w:lineRule="auto"/>
              <w:jc w:val="center"/>
              <w:rPr>
                <w:rFonts w:hint="eastAsia" w:ascii="仿宋" w:hAnsi="仿宋" w:eastAsia="仿宋" w:cs="仿宋"/>
                <w:sz w:val="28"/>
                <w:szCs w:val="28"/>
              </w:rPr>
            </w:pPr>
            <w:r>
              <w:rPr>
                <w:rFonts w:hint="eastAsia" w:ascii="仿宋" w:hAnsi="仿宋" w:eastAsia="仿宋" w:cs="仿宋"/>
                <w:spacing w:val="6"/>
                <w:sz w:val="28"/>
                <w:szCs w:val="28"/>
                <w14:textOutline w14:w="3797" w14:cap="sq" w14:cmpd="sng" w14:algn="ctr">
                  <w14:solidFill>
                    <w14:srgbClr w14:val="000000"/>
                  </w14:solidFill>
                  <w14:prstDash w14:val="solid"/>
                  <w14:bevel/>
                </w14:textOutline>
              </w:rPr>
              <w:t>序号</w:t>
            </w:r>
          </w:p>
        </w:tc>
        <w:tc>
          <w:tcPr>
            <w:tcW w:w="3200" w:type="dxa"/>
            <w:vAlign w:val="center"/>
          </w:tcPr>
          <w:p>
            <w:pPr>
              <w:pStyle w:val="104"/>
              <w:spacing w:before="182" w:line="240" w:lineRule="auto"/>
              <w:jc w:val="center"/>
              <w:rPr>
                <w:rFonts w:hint="eastAsia" w:ascii="仿宋" w:hAnsi="仿宋" w:eastAsia="仿宋" w:cs="仿宋"/>
                <w:sz w:val="28"/>
                <w:szCs w:val="28"/>
              </w:rPr>
            </w:pPr>
            <w:r>
              <w:rPr>
                <w:rFonts w:hint="eastAsia" w:ascii="仿宋" w:hAnsi="仿宋" w:eastAsia="仿宋" w:cs="仿宋"/>
                <w:spacing w:val="9"/>
                <w:sz w:val="28"/>
                <w:szCs w:val="28"/>
                <w14:textOutline w14:w="3797" w14:cap="sq" w14:cmpd="sng" w14:algn="ctr">
                  <w14:solidFill>
                    <w14:srgbClr w14:val="000000"/>
                  </w14:solidFill>
                  <w14:prstDash w14:val="solid"/>
                  <w14:bevel/>
                </w14:textOutline>
              </w:rPr>
              <w:t>材料（设备）名称</w:t>
            </w:r>
          </w:p>
        </w:tc>
        <w:tc>
          <w:tcPr>
            <w:tcW w:w="2257"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3"/>
                <w:sz w:val="28"/>
                <w:szCs w:val="28"/>
                <w14:textOutline w14:w="3797" w14:cap="sq" w14:cmpd="sng" w14:algn="ctr">
                  <w14:solidFill>
                    <w14:srgbClr w14:val="000000"/>
                  </w14:solidFill>
                  <w14:prstDash w14:val="solid"/>
                  <w14:bevel/>
                </w14:textOutline>
              </w:rPr>
              <w:t>品牌</w:t>
            </w:r>
          </w:p>
        </w:tc>
        <w:tc>
          <w:tcPr>
            <w:tcW w:w="1243"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6"/>
                <w:sz w:val="28"/>
                <w:szCs w:val="28"/>
                <w14:textOutline w14:w="3797" w14:cap="sq" w14:cmpd="sng" w14:algn="ctr">
                  <w14:solidFill>
                    <w14:srgbClr w14:val="000000"/>
                  </w14:solidFill>
                  <w14:prstDash w14:val="solid"/>
                  <w14:bevel/>
                </w14:textOutline>
              </w:rPr>
              <w:t>产地</w:t>
            </w:r>
          </w:p>
        </w:tc>
        <w:tc>
          <w:tcPr>
            <w:tcW w:w="1242" w:type="dxa"/>
            <w:vAlign w:val="center"/>
          </w:tcPr>
          <w:p>
            <w:pPr>
              <w:pStyle w:val="104"/>
              <w:spacing w:before="183" w:line="240" w:lineRule="auto"/>
              <w:jc w:val="center"/>
              <w:rPr>
                <w:rFonts w:hint="eastAsia" w:ascii="仿宋" w:hAnsi="仿宋" w:eastAsia="仿宋" w:cs="仿宋"/>
                <w:sz w:val="28"/>
                <w:szCs w:val="28"/>
              </w:rPr>
            </w:pPr>
            <w:r>
              <w:rPr>
                <w:rFonts w:hint="eastAsia" w:ascii="仿宋" w:hAnsi="仿宋" w:eastAsia="仿宋" w:cs="仿宋"/>
                <w:spacing w:val="5"/>
                <w:sz w:val="28"/>
                <w:szCs w:val="28"/>
                <w14:textOutline w14:w="3797" w14:cap="sq" w14:cmpd="sng" w14:algn="ctr">
                  <w14:solidFill>
                    <w14:srgbClr w14:val="000000"/>
                  </w14:solidFill>
                  <w14:prstDash w14:val="solid"/>
                  <w14:bevel/>
                </w14:textOutline>
              </w:rPr>
              <w:t>等级</w:t>
            </w:r>
          </w:p>
        </w:tc>
        <w:tc>
          <w:tcPr>
            <w:tcW w:w="966" w:type="dxa"/>
            <w:vAlign w:val="center"/>
          </w:tcPr>
          <w:p>
            <w:pPr>
              <w:pStyle w:val="104"/>
              <w:spacing w:before="183" w:line="240" w:lineRule="auto"/>
              <w:jc w:val="center"/>
              <w:rPr>
                <w:rFonts w:hint="default" w:ascii="仿宋" w:hAnsi="仿宋" w:eastAsia="仿宋" w:cs="仿宋"/>
                <w:spacing w:val="5"/>
                <w:sz w:val="28"/>
                <w:szCs w:val="28"/>
                <w:lang w:val="en-US" w:eastAsia="zh-CN"/>
                <w14:textOutline w14:w="3797" w14:cap="sq" w14:cmpd="sng" w14:algn="ctr">
                  <w14:solidFill>
                    <w14:srgbClr w14:val="000000"/>
                  </w14:solidFill>
                  <w14:prstDash w14:val="solid"/>
                  <w14:bevel/>
                </w14:textOutline>
              </w:rPr>
            </w:pPr>
            <w:r>
              <w:rPr>
                <w:rFonts w:hint="eastAsia" w:ascii="仿宋" w:hAnsi="仿宋" w:eastAsia="仿宋" w:cs="仿宋"/>
                <w:spacing w:val="5"/>
                <w:sz w:val="28"/>
                <w:szCs w:val="28"/>
                <w:lang w:val="en-US" w:eastAsia="zh-CN"/>
                <w14:textOutline w14:w="3797" w14:cap="sq" w14:cmpd="sng" w14:algn="ctr">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6"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3200"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2257" w:type="dxa"/>
            <w:vAlign w:val="center"/>
          </w:tcPr>
          <w:p>
            <w:pPr>
              <w:pStyle w:val="104"/>
              <w:tabs>
                <w:tab w:val="left" w:pos="1050"/>
              </w:tabs>
              <w:spacing w:before="38" w:line="240" w:lineRule="auto"/>
              <w:ind w:right="104" w:rightChars="0"/>
              <w:jc w:val="center"/>
              <w:rPr>
                <w:rFonts w:hint="eastAsia" w:ascii="仿宋" w:hAnsi="仿宋" w:eastAsia="仿宋" w:cs="仿宋"/>
                <w:kern w:val="2"/>
                <w:sz w:val="24"/>
                <w:szCs w:val="24"/>
                <w:lang w:val="en-US" w:eastAsia="zh-CN" w:bidi="ar-SA"/>
              </w:rPr>
            </w:pPr>
          </w:p>
        </w:tc>
        <w:tc>
          <w:tcPr>
            <w:tcW w:w="1243"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c>
          <w:tcPr>
            <w:tcW w:w="1242" w:type="dxa"/>
            <w:vAlign w:val="center"/>
          </w:tcPr>
          <w:p>
            <w:pPr>
              <w:spacing w:before="194" w:line="240" w:lineRule="auto"/>
              <w:jc w:val="center"/>
              <w:rPr>
                <w:rFonts w:hint="eastAsia" w:ascii="仿宋" w:hAnsi="仿宋" w:eastAsia="仿宋" w:cs="仿宋"/>
                <w:kern w:val="2"/>
                <w:sz w:val="24"/>
                <w:szCs w:val="24"/>
                <w:lang w:val="en-US" w:eastAsia="zh-CN" w:bidi="ar-SA"/>
              </w:rPr>
            </w:pPr>
          </w:p>
        </w:tc>
        <w:tc>
          <w:tcPr>
            <w:tcW w:w="966"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6"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3200"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2257"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c>
          <w:tcPr>
            <w:tcW w:w="1243" w:type="dxa"/>
            <w:vAlign w:val="center"/>
          </w:tcPr>
          <w:p>
            <w:pPr>
              <w:pStyle w:val="104"/>
              <w:tabs>
                <w:tab w:val="left" w:pos="1050"/>
              </w:tabs>
              <w:spacing w:before="38" w:line="240" w:lineRule="auto"/>
              <w:ind w:left="216" w:leftChars="0" w:right="163" w:rightChars="0" w:hanging="141" w:firstLineChars="0"/>
              <w:jc w:val="center"/>
              <w:rPr>
                <w:rFonts w:hint="eastAsia" w:ascii="仿宋" w:hAnsi="仿宋" w:eastAsia="仿宋" w:cs="仿宋"/>
                <w:kern w:val="2"/>
                <w:sz w:val="24"/>
                <w:szCs w:val="24"/>
                <w:lang w:val="en-US" w:eastAsia="zh-CN" w:bidi="ar-SA"/>
              </w:rPr>
            </w:pPr>
          </w:p>
        </w:tc>
        <w:tc>
          <w:tcPr>
            <w:tcW w:w="1242" w:type="dxa"/>
            <w:vAlign w:val="center"/>
          </w:tcPr>
          <w:p>
            <w:pPr>
              <w:spacing w:before="195" w:line="240" w:lineRule="auto"/>
              <w:jc w:val="center"/>
              <w:rPr>
                <w:rFonts w:hint="eastAsia" w:ascii="仿宋" w:hAnsi="仿宋" w:eastAsia="仿宋" w:cs="仿宋"/>
                <w:kern w:val="2"/>
                <w:sz w:val="24"/>
                <w:szCs w:val="24"/>
                <w:lang w:val="en-US" w:eastAsia="zh-CN" w:bidi="ar-SA"/>
              </w:rPr>
            </w:pPr>
          </w:p>
        </w:tc>
        <w:tc>
          <w:tcPr>
            <w:tcW w:w="966" w:type="dxa"/>
            <w:vAlign w:val="center"/>
          </w:tcPr>
          <w:p>
            <w:pPr>
              <w:pStyle w:val="104"/>
              <w:tabs>
                <w:tab w:val="left" w:pos="1050"/>
              </w:tabs>
              <w:spacing w:before="195" w:line="240" w:lineRule="auto"/>
              <w:jc w:val="center"/>
              <w:rPr>
                <w:rFonts w:hint="eastAsia" w:ascii="仿宋" w:hAnsi="仿宋" w:eastAsia="仿宋" w:cs="仿宋"/>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6"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3200" w:type="dxa"/>
            <w:vAlign w:val="center"/>
          </w:tcPr>
          <w:p>
            <w:pPr>
              <w:spacing w:line="240" w:lineRule="auto"/>
              <w:jc w:val="center"/>
              <w:textAlignment w:val="center"/>
              <w:rPr>
                <w:rFonts w:hint="eastAsia" w:ascii="宋体" w:hAnsi="宋体" w:eastAsia="宋体" w:cs="宋体"/>
                <w:kern w:val="2"/>
                <w:sz w:val="24"/>
                <w:szCs w:val="24"/>
                <w:lang w:val="en-US" w:eastAsia="zh-CN" w:bidi="ar-SA"/>
              </w:rPr>
            </w:pPr>
          </w:p>
        </w:tc>
        <w:tc>
          <w:tcPr>
            <w:tcW w:w="2257" w:type="dxa"/>
            <w:vAlign w:val="center"/>
          </w:tcPr>
          <w:p>
            <w:pPr>
              <w:pStyle w:val="104"/>
              <w:tabs>
                <w:tab w:val="left" w:pos="1050"/>
              </w:tabs>
              <w:spacing w:before="194" w:line="240" w:lineRule="auto"/>
              <w:jc w:val="center"/>
              <w:rPr>
                <w:rFonts w:hint="eastAsia" w:ascii="仿宋" w:hAnsi="仿宋" w:eastAsia="仿宋" w:cs="仿宋"/>
                <w:kern w:val="2"/>
                <w:sz w:val="24"/>
                <w:szCs w:val="24"/>
                <w:lang w:val="en-US" w:eastAsia="zh-CN" w:bidi="ar-SA"/>
              </w:rPr>
            </w:pPr>
          </w:p>
        </w:tc>
        <w:tc>
          <w:tcPr>
            <w:tcW w:w="1243" w:type="dxa"/>
            <w:vAlign w:val="center"/>
          </w:tcPr>
          <w:p>
            <w:pPr>
              <w:pStyle w:val="104"/>
              <w:tabs>
                <w:tab w:val="left" w:pos="1050"/>
              </w:tabs>
              <w:spacing w:before="38" w:line="240" w:lineRule="auto"/>
              <w:ind w:left="216" w:leftChars="0" w:right="163" w:rightChars="0" w:hanging="141" w:firstLineChars="0"/>
              <w:jc w:val="center"/>
              <w:rPr>
                <w:rFonts w:hint="eastAsia" w:ascii="仿宋" w:hAnsi="仿宋" w:eastAsia="仿宋" w:cs="仿宋"/>
                <w:kern w:val="2"/>
                <w:sz w:val="24"/>
                <w:szCs w:val="24"/>
                <w:lang w:val="en-US" w:eastAsia="zh-CN" w:bidi="ar-SA"/>
              </w:rPr>
            </w:pPr>
          </w:p>
        </w:tc>
        <w:tc>
          <w:tcPr>
            <w:tcW w:w="1242" w:type="dxa"/>
            <w:vAlign w:val="center"/>
          </w:tcPr>
          <w:p>
            <w:pPr>
              <w:spacing w:before="195" w:line="240" w:lineRule="auto"/>
              <w:jc w:val="center"/>
              <w:rPr>
                <w:rFonts w:hint="eastAsia" w:ascii="仿宋" w:hAnsi="仿宋" w:eastAsia="仿宋" w:cs="仿宋"/>
                <w:kern w:val="2"/>
                <w:sz w:val="24"/>
                <w:szCs w:val="24"/>
                <w:lang w:val="en-US" w:eastAsia="zh-CN" w:bidi="ar-SA"/>
              </w:rPr>
            </w:pPr>
          </w:p>
        </w:tc>
        <w:tc>
          <w:tcPr>
            <w:tcW w:w="966" w:type="dxa"/>
            <w:vAlign w:val="center"/>
          </w:tcPr>
          <w:p>
            <w:pPr>
              <w:pStyle w:val="104"/>
              <w:tabs>
                <w:tab w:val="left" w:pos="1050"/>
              </w:tabs>
              <w:spacing w:before="195" w:line="240" w:lineRule="auto"/>
              <w:jc w:val="center"/>
              <w:rPr>
                <w:rFonts w:hint="eastAsia" w:ascii="仿宋" w:hAnsi="仿宋" w:eastAsia="仿宋" w:cs="仿宋"/>
                <w:kern w:val="2"/>
                <w:sz w:val="24"/>
                <w:szCs w:val="24"/>
                <w:lang w:val="en-US" w:eastAsia="zh-CN" w:bidi="ar-SA"/>
              </w:rPr>
            </w:pPr>
          </w:p>
        </w:tc>
      </w:tr>
    </w:tbl>
    <w:p>
      <w:pPr>
        <w:rPr>
          <w:rStyle w:val="43"/>
          <w:rFonts w:ascii="宋体" w:hAnsi="宋体"/>
          <w:sz w:val="28"/>
          <w:szCs w:val="28"/>
        </w:rPr>
      </w:pPr>
    </w:p>
    <w:p>
      <w:pPr>
        <w:rPr>
          <w:rStyle w:val="43"/>
          <w:rFonts w:ascii="宋体" w:hAnsi="宋体"/>
          <w:sz w:val="28"/>
          <w:szCs w:val="28"/>
        </w:rPr>
      </w:pPr>
      <w:r>
        <w:rPr>
          <w:rStyle w:val="43"/>
          <w:rFonts w:ascii="宋体" w:hAnsi="宋体"/>
          <w:sz w:val="28"/>
          <w:szCs w:val="28"/>
        </w:rPr>
        <w:br w:type="page"/>
      </w:r>
    </w:p>
    <w:p>
      <w:pPr>
        <w:pStyle w:val="4"/>
        <w:numPr>
          <w:ilvl w:val="0"/>
          <w:numId w:val="15"/>
        </w:numPr>
        <w:spacing w:before="0" w:after="0" w:line="480" w:lineRule="auto"/>
        <w:jc w:val="center"/>
        <w:rPr>
          <w:sz w:val="30"/>
          <w:szCs w:val="30"/>
        </w:rPr>
      </w:pPr>
      <w:bookmarkStart w:id="248" w:name="_Toc162361734"/>
      <w:r>
        <w:rPr>
          <w:rFonts w:hint="eastAsia"/>
          <w:sz w:val="30"/>
          <w:szCs w:val="30"/>
        </w:rPr>
        <w:t>项目管理机构</w:t>
      </w:r>
      <w:bookmarkEnd w:id="245"/>
      <w:bookmarkEnd w:id="246"/>
      <w:bookmarkEnd w:id="247"/>
      <w:bookmarkEnd w:id="248"/>
    </w:p>
    <w:p>
      <w:pPr>
        <w:snapToGrid w:val="0"/>
        <w:spacing w:line="440" w:lineRule="exact"/>
        <w:jc w:val="center"/>
        <w:rPr>
          <w:rStyle w:val="43"/>
          <w:rFonts w:ascii="宋体" w:hAnsi="宋体"/>
          <w:b/>
          <w:szCs w:val="21"/>
        </w:rPr>
      </w:pPr>
      <w:bookmarkStart w:id="249" w:name="_Toc16064004"/>
      <w:r>
        <w:rPr>
          <w:rStyle w:val="43"/>
          <w:rFonts w:ascii="宋体" w:hAnsi="宋体"/>
          <w:b/>
          <w:szCs w:val="21"/>
        </w:rPr>
        <w:t>（一）项目管理机构组成表</w:t>
      </w:r>
      <w:bookmarkEnd w:id="249"/>
    </w:p>
    <w:p>
      <w:pPr>
        <w:snapToGrid w:val="0"/>
        <w:spacing w:line="440" w:lineRule="exact"/>
        <w:ind w:firstLine="527" w:firstLineChars="250"/>
        <w:jc w:val="center"/>
        <w:rPr>
          <w:rStyle w:val="43"/>
          <w:rFonts w:ascii="宋体" w:hAnsi="宋体"/>
          <w:b/>
          <w:szCs w:val="21"/>
        </w:rPr>
      </w:pPr>
    </w:p>
    <w:tbl>
      <w:tblPr>
        <w:tblStyle w:val="23"/>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bl>
    <w:p>
      <w:pPr>
        <w:spacing w:before="120" w:after="240" w:line="420" w:lineRule="exact"/>
        <w:jc w:val="center"/>
        <w:rPr>
          <w:rStyle w:val="43"/>
          <w:rFonts w:ascii="宋体" w:hAnsi="宋体"/>
          <w:b/>
        </w:rPr>
      </w:pPr>
    </w:p>
    <w:p>
      <w:pPr>
        <w:spacing w:before="120" w:after="240" w:line="420" w:lineRule="exact"/>
        <w:jc w:val="center"/>
        <w:rPr>
          <w:rStyle w:val="43"/>
          <w:rFonts w:ascii="宋体" w:hAnsi="宋体"/>
          <w:b/>
        </w:rPr>
      </w:pPr>
    </w:p>
    <w:p>
      <w:pPr>
        <w:spacing w:before="120" w:after="240" w:line="420" w:lineRule="exact"/>
        <w:jc w:val="center"/>
        <w:rPr>
          <w:rStyle w:val="43"/>
          <w:rFonts w:ascii="宋体" w:hAnsi="宋体"/>
          <w:b/>
        </w:rPr>
      </w:pPr>
      <w:r>
        <w:rPr>
          <w:rStyle w:val="43"/>
          <w:rFonts w:ascii="宋体" w:hAnsi="宋体"/>
          <w:b/>
        </w:rPr>
        <w:br w:type="page"/>
      </w:r>
    </w:p>
    <w:p>
      <w:pPr>
        <w:snapToGrid w:val="0"/>
        <w:spacing w:line="440" w:lineRule="exact"/>
        <w:ind w:firstLine="527" w:firstLineChars="250"/>
        <w:jc w:val="center"/>
        <w:rPr>
          <w:rStyle w:val="43"/>
          <w:rFonts w:ascii="宋体" w:hAnsi="宋体"/>
          <w:b/>
          <w:szCs w:val="21"/>
        </w:rPr>
      </w:pPr>
      <w:r>
        <w:rPr>
          <w:rStyle w:val="43"/>
          <w:rFonts w:ascii="宋体" w:hAnsi="宋体"/>
          <w:b/>
          <w:szCs w:val="21"/>
        </w:rPr>
        <w:t>（二）主要人员简历表</w:t>
      </w:r>
    </w:p>
    <w:p>
      <w:pPr>
        <w:snapToGrid w:val="0"/>
        <w:spacing w:line="440" w:lineRule="exact"/>
        <w:ind w:firstLine="527" w:firstLineChars="250"/>
        <w:jc w:val="center"/>
        <w:rPr>
          <w:rStyle w:val="43"/>
          <w:rFonts w:ascii="宋体" w:hAnsi="宋体"/>
          <w:b/>
          <w:szCs w:val="21"/>
        </w:rPr>
      </w:pPr>
    </w:p>
    <w:p>
      <w:pPr>
        <w:spacing w:line="420" w:lineRule="exact"/>
        <w:outlineLvl w:val="0"/>
        <w:rPr>
          <w:rStyle w:val="43"/>
          <w:rFonts w:ascii="宋体" w:hAnsi="宋体"/>
          <w:szCs w:val="21"/>
        </w:rPr>
      </w:pPr>
      <w:bookmarkStart w:id="250" w:name="_Toc5783"/>
      <w:r>
        <w:rPr>
          <w:rStyle w:val="43"/>
          <w:rFonts w:ascii="宋体" w:hAnsi="宋体"/>
          <w:szCs w:val="21"/>
        </w:rPr>
        <w:t>附1：项目经理简历表</w:t>
      </w:r>
      <w:bookmarkEnd w:id="250"/>
    </w:p>
    <w:p>
      <w:pPr>
        <w:spacing w:line="420" w:lineRule="exact"/>
        <w:ind w:firstLine="359" w:firstLineChars="171"/>
        <w:rPr>
          <w:rStyle w:val="43"/>
          <w:rFonts w:ascii="宋体" w:hAnsi="宋体"/>
          <w:szCs w:val="21"/>
        </w:rPr>
      </w:pPr>
      <w:r>
        <w:rPr>
          <w:rStyle w:val="43"/>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23"/>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bookmarkStart w:id="251" w:name="_Hlk161835703"/>
            <w:r>
              <w:rPr>
                <w:rStyle w:val="43"/>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注册建造师执业资格</w:t>
            </w:r>
            <w:r>
              <w:rPr>
                <w:rStyle w:val="43"/>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bookmarkEnd w:id="251"/>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pPr>
              <w:ind w:firstLine="840" w:firstLineChars="400"/>
              <w:rPr>
                <w:rStyle w:val="43"/>
                <w:rFonts w:ascii="宋体" w:hAnsi="宋体"/>
                <w:szCs w:val="21"/>
              </w:rPr>
            </w:pPr>
            <w:r>
              <w:rPr>
                <w:rStyle w:val="43"/>
                <w:rFonts w:ascii="宋体" w:hAnsi="宋体"/>
                <w:szCs w:val="21"/>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bl>
    <w:p>
      <w:pPr>
        <w:spacing w:line="420" w:lineRule="exact"/>
        <w:ind w:firstLine="420" w:firstLineChars="200"/>
        <w:rPr>
          <w:rStyle w:val="43"/>
          <w:rFonts w:ascii="宋体" w:hAnsi="宋体"/>
          <w:szCs w:val="21"/>
        </w:rPr>
      </w:pPr>
      <w:r>
        <w:rPr>
          <w:rStyle w:val="43"/>
          <w:rFonts w:ascii="宋体" w:hAnsi="宋体"/>
          <w:bCs/>
          <w:szCs w:val="21"/>
        </w:rPr>
        <w:t>注：评分细则加分的项目经理业绩须同时附在本表中。</w:t>
      </w:r>
      <w:r>
        <w:rPr>
          <w:rStyle w:val="43"/>
          <w:rFonts w:ascii="宋体" w:hAnsi="宋体"/>
          <w:szCs w:val="21"/>
        </w:rPr>
        <w:br w:type="page"/>
      </w:r>
    </w:p>
    <w:p>
      <w:pPr>
        <w:outlineLvl w:val="0"/>
        <w:rPr>
          <w:rStyle w:val="43"/>
          <w:rFonts w:ascii="宋体" w:hAnsi="宋体"/>
          <w:szCs w:val="21"/>
        </w:rPr>
      </w:pPr>
      <w:bookmarkStart w:id="252" w:name="_Toc22358"/>
      <w:r>
        <w:rPr>
          <w:rStyle w:val="43"/>
          <w:rFonts w:ascii="宋体" w:hAnsi="宋体"/>
          <w:szCs w:val="21"/>
        </w:rPr>
        <w:t>附2：承诺书</w:t>
      </w:r>
      <w:bookmarkEnd w:id="252"/>
    </w:p>
    <w:p>
      <w:pPr>
        <w:spacing w:line="440" w:lineRule="exact"/>
        <w:jc w:val="center"/>
        <w:rPr>
          <w:rStyle w:val="43"/>
          <w:rFonts w:ascii="宋体" w:hAnsi="宋体"/>
          <w:szCs w:val="21"/>
        </w:rPr>
      </w:pPr>
    </w:p>
    <w:p>
      <w:pPr>
        <w:spacing w:line="440" w:lineRule="exact"/>
        <w:jc w:val="right"/>
        <w:rPr>
          <w:rStyle w:val="43"/>
          <w:rFonts w:ascii="宋体"/>
        </w:rPr>
      </w:pPr>
    </w:p>
    <w:p>
      <w:pPr>
        <w:jc w:val="center"/>
        <w:rPr>
          <w:rStyle w:val="43"/>
          <w:rFonts w:ascii="宋体"/>
          <w:sz w:val="28"/>
          <w:szCs w:val="28"/>
        </w:rPr>
      </w:pPr>
      <w:r>
        <w:rPr>
          <w:rStyle w:val="43"/>
          <w:rFonts w:hint="eastAsia" w:ascii="宋体"/>
          <w:sz w:val="28"/>
          <w:szCs w:val="28"/>
        </w:rPr>
        <w:t>承诺书</w:t>
      </w:r>
    </w:p>
    <w:p>
      <w:pPr>
        <w:spacing w:after="240" w:line="440" w:lineRule="exact"/>
        <w:ind w:firstLine="420" w:firstLineChars="200"/>
        <w:rPr>
          <w:rStyle w:val="43"/>
          <w:rFonts w:ascii="宋体"/>
        </w:rPr>
      </w:pPr>
      <w:r>
        <w:rPr>
          <w:rStyle w:val="43"/>
          <w:rFonts w:ascii="宋体"/>
          <w:position w:val="-7"/>
        </w:rPr>
        <w:t>————————</w:t>
      </w:r>
      <w:r>
        <w:rPr>
          <w:rStyle w:val="43"/>
          <w:rFonts w:ascii="宋体"/>
        </w:rPr>
        <w:t>（招标人名称）：</w:t>
      </w:r>
    </w:p>
    <w:p>
      <w:pPr>
        <w:spacing w:line="440" w:lineRule="exact"/>
        <w:ind w:firstLine="420" w:firstLineChars="200"/>
        <w:rPr>
          <w:rStyle w:val="43"/>
          <w:rFonts w:ascii="宋体"/>
        </w:rPr>
      </w:pPr>
      <w:r>
        <w:rPr>
          <w:rStyle w:val="43"/>
          <w:rFonts w:hint="eastAsia" w:ascii="宋体"/>
        </w:rPr>
        <w:t>针对</w:t>
      </w:r>
      <w:r>
        <w:rPr>
          <w:rStyle w:val="43"/>
          <w:rFonts w:hint="eastAsia" w:ascii="宋体"/>
          <w:u w:val="single"/>
        </w:rPr>
        <w:t xml:space="preserve">           </w:t>
      </w:r>
      <w:r>
        <w:rPr>
          <w:rStyle w:val="43"/>
          <w:rFonts w:hint="eastAsia" w:ascii="宋体"/>
        </w:rPr>
        <w:t>项目，我方承诺：</w:t>
      </w:r>
    </w:p>
    <w:p>
      <w:pPr>
        <w:spacing w:line="440" w:lineRule="exact"/>
        <w:ind w:firstLine="420" w:firstLineChars="200"/>
        <w:rPr>
          <w:rStyle w:val="43"/>
          <w:rFonts w:ascii="宋体"/>
        </w:rPr>
      </w:pPr>
      <w:r>
        <w:rPr>
          <w:rStyle w:val="43"/>
          <w:rFonts w:hint="eastAsia" w:ascii="宋体"/>
        </w:rPr>
        <w:t>一、</w:t>
      </w:r>
      <w:r>
        <w:rPr>
          <w:rStyle w:val="43"/>
          <w:rFonts w:ascii="宋体"/>
        </w:rPr>
        <w:t>我方拟派往</w:t>
      </w:r>
      <w:r>
        <w:rPr>
          <w:rStyle w:val="43"/>
          <w:rFonts w:ascii="宋体"/>
          <w:u w:val="single"/>
        </w:rPr>
        <w:t>（项目名称）</w:t>
      </w:r>
      <w:r>
        <w:rPr>
          <w:rStyle w:val="43"/>
          <w:rFonts w:ascii="宋体"/>
        </w:rPr>
        <w:t>（以下简称“本工程”）的项目经理</w:t>
      </w:r>
      <w:r>
        <w:rPr>
          <w:rStyle w:val="43"/>
          <w:rFonts w:ascii="宋体"/>
          <w:u w:val="single"/>
        </w:rPr>
        <w:t>（项目经理姓名）</w:t>
      </w:r>
      <w:r>
        <w:rPr>
          <w:rStyle w:val="43"/>
          <w:rFonts w:ascii="宋体"/>
        </w:rPr>
        <w:t>现阶段没有担任任何在施建设工程项目的项目经理。</w:t>
      </w:r>
    </w:p>
    <w:p>
      <w:pPr>
        <w:spacing w:line="440" w:lineRule="exact"/>
        <w:ind w:firstLine="420" w:firstLineChars="200"/>
        <w:rPr>
          <w:rStyle w:val="43"/>
          <w:rFonts w:ascii="宋体"/>
        </w:rPr>
      </w:pPr>
      <w:r>
        <w:rPr>
          <w:rStyle w:val="43"/>
          <w:rFonts w:hint="eastAsia" w:ascii="宋体"/>
        </w:rPr>
        <w:t>二、中标后现场管理班子均为我单位正式职工，已连续缴纳社保半年以上，确保到岗不少于</w:t>
      </w:r>
      <w:r>
        <w:rPr>
          <w:rStyle w:val="43"/>
          <w:rFonts w:hint="eastAsia" w:ascii="宋体"/>
          <w:u w:val="single"/>
        </w:rPr>
        <w:t xml:space="preserve">   </w:t>
      </w:r>
      <w:r>
        <w:rPr>
          <w:rStyle w:val="43"/>
          <w:rFonts w:hint="eastAsia" w:ascii="宋体"/>
        </w:rPr>
        <w:t>人，每少一人承担</w:t>
      </w:r>
      <w:r>
        <w:rPr>
          <w:rStyle w:val="43"/>
          <w:rFonts w:hint="eastAsia" w:ascii="宋体"/>
          <w:u w:val="single"/>
        </w:rPr>
        <w:t xml:space="preserve"> 1 </w:t>
      </w:r>
      <w:r>
        <w:rPr>
          <w:rStyle w:val="43"/>
          <w:rFonts w:hint="eastAsia" w:ascii="宋体"/>
        </w:rPr>
        <w:t>万元的赔偿且在施工期间未经发包人允许绝不擅自更换；</w:t>
      </w:r>
    </w:p>
    <w:p>
      <w:pPr>
        <w:spacing w:line="440" w:lineRule="exact"/>
        <w:ind w:firstLine="420" w:firstLineChars="200"/>
        <w:rPr>
          <w:rStyle w:val="43"/>
          <w:rFonts w:ascii="宋体"/>
        </w:rPr>
      </w:pPr>
      <w:r>
        <w:rPr>
          <w:rStyle w:val="43"/>
          <w:rFonts w:hint="eastAsia" w:ascii="宋体"/>
        </w:rPr>
        <w:t>三、项目经理现场履职每月不少于25天，每少一天自愿接受考核</w:t>
      </w:r>
      <w:r>
        <w:rPr>
          <w:rStyle w:val="43"/>
          <w:rFonts w:hint="eastAsia" w:ascii="宋体"/>
          <w:u w:val="single"/>
          <w:lang w:val="en-US" w:eastAsia="zh-CN"/>
        </w:rPr>
        <w:t>10</w:t>
      </w:r>
      <w:r>
        <w:rPr>
          <w:rStyle w:val="43"/>
          <w:rFonts w:hint="eastAsia" w:ascii="宋体"/>
          <w:u w:val="single"/>
        </w:rPr>
        <w:t>000</w:t>
      </w:r>
      <w:r>
        <w:rPr>
          <w:rStyle w:val="43"/>
          <w:rFonts w:hint="eastAsia" w:ascii="宋体"/>
        </w:rPr>
        <w:t>元/天。</w:t>
      </w:r>
    </w:p>
    <w:p>
      <w:pPr>
        <w:spacing w:line="440" w:lineRule="exact"/>
        <w:ind w:firstLine="420" w:firstLineChars="200"/>
        <w:rPr>
          <w:rStyle w:val="43"/>
          <w:rFonts w:ascii="宋体"/>
        </w:rPr>
      </w:pPr>
      <w:r>
        <w:rPr>
          <w:rStyle w:val="43"/>
          <w:rFonts w:hint="eastAsia" w:ascii="宋体"/>
        </w:rPr>
        <w:t>四、若我方违背上述承诺，视为工程转包、挂靠行为，除承担合同约定的违约责任外，</w:t>
      </w:r>
      <w:r>
        <w:rPr>
          <w:rStyle w:val="43"/>
          <w:rFonts w:ascii="宋体"/>
        </w:rPr>
        <w:t>并愿意承担因我方就此弄虚作假所引起的一切法律后果。</w:t>
      </w:r>
    </w:p>
    <w:p>
      <w:pPr>
        <w:spacing w:line="440" w:lineRule="exact"/>
        <w:ind w:firstLine="200"/>
        <w:rPr>
          <w:rStyle w:val="43"/>
          <w:rFonts w:ascii="宋体"/>
        </w:rPr>
      </w:pPr>
    </w:p>
    <w:p>
      <w:pPr>
        <w:rPr>
          <w:rStyle w:val="43"/>
          <w:rFonts w:ascii="宋体"/>
        </w:rPr>
      </w:pPr>
    </w:p>
    <w:p>
      <w:pPr>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1800"/>
        <w:rPr>
          <w:rStyle w:val="43"/>
          <w:rFonts w:ascii="宋体"/>
        </w:rPr>
      </w:pPr>
    </w:p>
    <w:p>
      <w:pPr>
        <w:ind w:firstLine="3780" w:firstLineChars="1800"/>
        <w:rPr>
          <w:rStyle w:val="43"/>
          <w:rFonts w:ascii="宋体"/>
        </w:rPr>
      </w:pPr>
      <w:r>
        <w:rPr>
          <w:rStyle w:val="43"/>
          <w:rFonts w:hint="eastAsia" w:ascii="宋体"/>
        </w:rPr>
        <w:t>公司法律人员或法务部门签字盖章</w:t>
      </w:r>
    </w:p>
    <w:p>
      <w:pPr>
        <w:rPr>
          <w:rStyle w:val="43"/>
          <w:rFonts w:ascii="宋体"/>
        </w:rPr>
      </w:pPr>
    </w:p>
    <w:p>
      <w:pPr>
        <w:ind w:firstLine="3780" w:firstLineChars="1800"/>
        <w:rPr>
          <w:rStyle w:val="43"/>
          <w:rFonts w:ascii="宋体"/>
        </w:rPr>
      </w:pPr>
      <w:r>
        <w:rPr>
          <w:rStyle w:val="43"/>
          <w:rFonts w:hint="eastAsia" w:ascii="宋体"/>
        </w:rPr>
        <w:t xml:space="preserve">投标单位：     （公章）             </w:t>
      </w:r>
    </w:p>
    <w:p>
      <w:pPr>
        <w:rPr>
          <w:rStyle w:val="43"/>
          <w:rFonts w:ascii="宋体"/>
        </w:rPr>
      </w:pPr>
      <w:r>
        <w:rPr>
          <w:rStyle w:val="43"/>
          <w:rFonts w:hint="eastAsia" w:ascii="宋体"/>
        </w:rPr>
        <w:t xml:space="preserve">                                  </w:t>
      </w:r>
    </w:p>
    <w:p>
      <w:pPr>
        <w:ind w:firstLine="3780" w:firstLineChars="1800"/>
        <w:rPr>
          <w:rStyle w:val="43"/>
          <w:rFonts w:ascii="宋体"/>
        </w:rPr>
      </w:pPr>
      <w:r>
        <w:rPr>
          <w:rStyle w:val="43"/>
          <w:rFonts w:hint="eastAsia" w:ascii="宋体"/>
        </w:rPr>
        <w:t>法人签字：</w:t>
      </w:r>
    </w:p>
    <w:p>
      <w:pPr>
        <w:pStyle w:val="22"/>
        <w:ind w:left="420" w:firstLine="420"/>
      </w:pPr>
    </w:p>
    <w:p>
      <w:pPr>
        <w:ind w:firstLine="1680" w:firstLineChars="800"/>
        <w:rPr>
          <w:rStyle w:val="43"/>
          <w:rFonts w:ascii="宋体"/>
        </w:rPr>
      </w:pPr>
      <w:r>
        <w:rPr>
          <w:rStyle w:val="43"/>
          <w:rFonts w:hint="eastAsia" w:ascii="宋体"/>
        </w:rPr>
        <w:t xml:space="preserve">                    日期：</w:t>
      </w:r>
    </w:p>
    <w:p>
      <w:pPr>
        <w:spacing w:line="500" w:lineRule="exact"/>
        <w:jc w:val="center"/>
        <w:rPr>
          <w:rStyle w:val="43"/>
          <w:rFonts w:ascii="宋体"/>
          <w:b/>
        </w:rPr>
      </w:pPr>
    </w:p>
    <w:p>
      <w:pPr>
        <w:spacing w:line="500" w:lineRule="exact"/>
        <w:jc w:val="center"/>
        <w:rPr>
          <w:rStyle w:val="43"/>
          <w:rFonts w:ascii="宋体"/>
          <w:b/>
        </w:rPr>
      </w:pPr>
    </w:p>
    <w:p>
      <w:bookmarkStart w:id="253" w:name="_Toc6584"/>
      <w:r>
        <w:br w:type="page"/>
      </w:r>
    </w:p>
    <w:p>
      <w:pPr>
        <w:pStyle w:val="4"/>
        <w:numPr>
          <w:ilvl w:val="0"/>
          <w:numId w:val="15"/>
        </w:numPr>
        <w:spacing w:before="0" w:after="0" w:line="480" w:lineRule="auto"/>
        <w:jc w:val="center"/>
        <w:rPr>
          <w:sz w:val="30"/>
          <w:szCs w:val="30"/>
        </w:rPr>
      </w:pPr>
      <w:bookmarkStart w:id="254" w:name="_Toc13419"/>
      <w:bookmarkStart w:id="255" w:name="_Toc162361735"/>
      <w:r>
        <w:rPr>
          <w:sz w:val="30"/>
          <w:szCs w:val="30"/>
        </w:rPr>
        <w:t>其他材料</w:t>
      </w:r>
      <w:bookmarkEnd w:id="253"/>
      <w:bookmarkEnd w:id="254"/>
      <w:bookmarkEnd w:id="255"/>
    </w:p>
    <w:p>
      <w:pPr>
        <w:spacing w:line="500" w:lineRule="exact"/>
        <w:jc w:val="center"/>
        <w:rPr>
          <w:rStyle w:val="43"/>
          <w:rFonts w:ascii="宋体" w:hAnsi="宋体"/>
          <w:b/>
          <w:szCs w:val="21"/>
        </w:rPr>
      </w:pPr>
      <w:r>
        <w:rPr>
          <w:rStyle w:val="43"/>
          <w:rFonts w:ascii="宋体" w:hAnsi="宋体"/>
          <w:b/>
          <w:szCs w:val="21"/>
        </w:rPr>
        <w:t>（格式自行设定）</w:t>
      </w:r>
    </w:p>
    <w:p>
      <w:pPr>
        <w:rPr>
          <w:rStyle w:val="43"/>
          <w:rFonts w:ascii="宋体" w:hAnsi="宋体"/>
        </w:rPr>
      </w:pPr>
    </w:p>
    <w:p>
      <w:pPr>
        <w:rPr>
          <w:rStyle w:val="43"/>
          <w:rFonts w:ascii="宋体" w:hAnsi="宋体"/>
        </w:rPr>
      </w:pPr>
    </w:p>
    <w:p>
      <w:pPr>
        <w:spacing w:line="360" w:lineRule="auto"/>
        <w:rPr>
          <w:rStyle w:val="43"/>
          <w:rFonts w:ascii="宋体" w:hAnsi="宋体"/>
        </w:rPr>
      </w:pPr>
      <w:r>
        <w:rPr>
          <w:rStyle w:val="43"/>
          <w:rFonts w:ascii="宋体" w:hAnsi="宋体"/>
        </w:rPr>
        <w:t>备注：对于招标文件要求的内容，招标文件有固定格式的执行固定格式，没有格式的自行设计格式。</w:t>
      </w:r>
    </w:p>
    <w:p>
      <w:pPr>
        <w:rPr>
          <w:rStyle w:val="43"/>
          <w:rFonts w:ascii="宋体" w:hAnsi="宋体"/>
        </w:rPr>
      </w:pPr>
      <w:r>
        <w:rPr>
          <w:rStyle w:val="43"/>
          <w:rFonts w:ascii="宋体" w:hAnsi="宋体"/>
        </w:rPr>
        <w:br w:type="page"/>
      </w:r>
    </w:p>
    <w:p>
      <w:pPr>
        <w:pStyle w:val="3"/>
        <w:jc w:val="center"/>
        <w:outlineLvl w:val="0"/>
        <w:rPr>
          <w:i w:val="0"/>
          <w:iCs w:val="0"/>
          <w:sz w:val="32"/>
          <w:szCs w:val="32"/>
        </w:rPr>
      </w:pPr>
      <w:bookmarkStart w:id="256" w:name="_Toc26194"/>
      <w:bookmarkStart w:id="257" w:name="_Toc17817356"/>
      <w:bookmarkStart w:id="258" w:name="_Toc162361736"/>
      <w:bookmarkStart w:id="259" w:name="_Toc22263"/>
      <w:bookmarkStart w:id="260" w:name="_Toc6830"/>
      <w:bookmarkStart w:id="261" w:name="_第九章  资格审查文件"/>
      <w:r>
        <w:rPr>
          <w:i w:val="0"/>
          <w:iCs w:val="0"/>
          <w:sz w:val="32"/>
          <w:szCs w:val="32"/>
        </w:rPr>
        <w:t>第九章  资格审查文件</w:t>
      </w:r>
      <w:bookmarkEnd w:id="256"/>
      <w:bookmarkEnd w:id="257"/>
      <w:bookmarkEnd w:id="258"/>
      <w:bookmarkEnd w:id="259"/>
      <w:bookmarkEnd w:id="260"/>
    </w:p>
    <w:bookmarkEnd w:id="261"/>
    <w:p/>
    <w:p/>
    <w:p>
      <w:pPr>
        <w:jc w:val="center"/>
        <w:rPr>
          <w:rStyle w:val="43"/>
          <w:rFonts w:ascii="宋体" w:hAnsi="宋体"/>
          <w:sz w:val="28"/>
          <w:szCs w:val="28"/>
        </w:rPr>
      </w:pPr>
      <w:r>
        <w:rPr>
          <w:rStyle w:val="43"/>
          <w:rFonts w:ascii="宋体" w:hAnsi="宋体"/>
          <w:sz w:val="28"/>
          <w:szCs w:val="28"/>
        </w:rPr>
        <w:t>（项目名称）</w:t>
      </w:r>
    </w:p>
    <w:p>
      <w:pPr>
        <w:spacing w:before="240"/>
        <w:jc w:val="center"/>
        <w:rPr>
          <w:rStyle w:val="43"/>
          <w:rFonts w:ascii="宋体" w:hAnsi="宋体"/>
          <w:sz w:val="44"/>
          <w:szCs w:val="44"/>
        </w:rPr>
      </w:pPr>
    </w:p>
    <w:p>
      <w:pPr>
        <w:spacing w:before="240"/>
        <w:jc w:val="center"/>
        <w:rPr>
          <w:rStyle w:val="43"/>
          <w:rFonts w:ascii="宋体" w:hAnsi="宋体"/>
          <w:sz w:val="44"/>
          <w:szCs w:val="44"/>
        </w:rPr>
      </w:pPr>
    </w:p>
    <w:p>
      <w:pPr>
        <w:spacing w:before="240"/>
        <w:jc w:val="center"/>
        <w:rPr>
          <w:rStyle w:val="43"/>
          <w:rFonts w:ascii="宋体" w:hAnsi="宋体"/>
          <w:sz w:val="44"/>
          <w:szCs w:val="44"/>
        </w:rPr>
      </w:pPr>
      <w:r>
        <w:rPr>
          <w:rStyle w:val="43"/>
          <w:rFonts w:ascii="宋体" w:hAnsi="宋体"/>
          <w:sz w:val="44"/>
          <w:szCs w:val="44"/>
        </w:rPr>
        <w:t>资格审查文件</w:t>
      </w: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jc w:val="center"/>
        <w:rPr>
          <w:rStyle w:val="43"/>
          <w:rFonts w:ascii="宋体" w:hAnsi="宋体"/>
          <w:sz w:val="32"/>
          <w:szCs w:val="32"/>
        </w:rPr>
      </w:pPr>
    </w:p>
    <w:p>
      <w:pPr>
        <w:spacing w:line="360" w:lineRule="auto"/>
        <w:jc w:val="center"/>
        <w:rPr>
          <w:rStyle w:val="43"/>
          <w:rFonts w:ascii="宋体" w:hAnsi="宋体"/>
          <w:sz w:val="28"/>
          <w:szCs w:val="28"/>
        </w:rPr>
      </w:pPr>
      <w:r>
        <w:rPr>
          <w:rStyle w:val="43"/>
          <w:rFonts w:ascii="宋体" w:hAnsi="宋体"/>
          <w:sz w:val="28"/>
          <w:szCs w:val="28"/>
        </w:rPr>
        <w:t>投标人：（盖单位公章）</w:t>
      </w:r>
    </w:p>
    <w:p>
      <w:pPr>
        <w:spacing w:line="360" w:lineRule="auto"/>
        <w:ind w:firstLine="420" w:firstLineChars="150"/>
        <w:jc w:val="center"/>
        <w:rPr>
          <w:rStyle w:val="43"/>
          <w:rFonts w:ascii="宋体" w:hAnsi="宋体"/>
          <w:sz w:val="28"/>
          <w:szCs w:val="28"/>
        </w:rPr>
      </w:pPr>
      <w:r>
        <w:rPr>
          <w:rStyle w:val="43"/>
          <w:rFonts w:ascii="宋体" w:hAnsi="宋体"/>
          <w:sz w:val="28"/>
          <w:szCs w:val="28"/>
        </w:rPr>
        <w:t>法定代表人：（签字或盖章）</w:t>
      </w:r>
    </w:p>
    <w:p>
      <w:pPr>
        <w:jc w:val="center"/>
        <w:rPr>
          <w:rStyle w:val="43"/>
          <w:rFonts w:ascii="宋体" w:hAnsi="宋体"/>
          <w:sz w:val="28"/>
          <w:szCs w:val="28"/>
        </w:rPr>
      </w:pPr>
    </w:p>
    <w:p>
      <w:pPr>
        <w:spacing w:before="120" w:after="240" w:line="440" w:lineRule="exact"/>
        <w:jc w:val="center"/>
        <w:rPr>
          <w:rStyle w:val="43"/>
          <w:rFonts w:ascii="宋体" w:hAnsi="宋体"/>
          <w:sz w:val="28"/>
          <w:szCs w:val="28"/>
        </w:rPr>
      </w:pPr>
      <w:r>
        <w:rPr>
          <w:rStyle w:val="43"/>
          <w:rFonts w:ascii="宋体" w:hAnsi="宋体"/>
          <w:sz w:val="28"/>
          <w:szCs w:val="28"/>
        </w:rPr>
        <w:t>年</w:t>
      </w:r>
      <w:r>
        <w:rPr>
          <w:rStyle w:val="43"/>
          <w:rFonts w:hint="eastAsia" w:ascii="宋体" w:hAnsi="宋体"/>
          <w:sz w:val="28"/>
          <w:szCs w:val="28"/>
        </w:rPr>
        <w:t xml:space="preserve"> </w:t>
      </w:r>
      <w:r>
        <w:rPr>
          <w:rStyle w:val="43"/>
          <w:rFonts w:ascii="宋体" w:hAnsi="宋体"/>
          <w:sz w:val="28"/>
          <w:szCs w:val="28"/>
        </w:rPr>
        <w:t>月</w:t>
      </w:r>
      <w:r>
        <w:rPr>
          <w:rStyle w:val="43"/>
          <w:rFonts w:hint="eastAsia" w:ascii="宋体" w:hAnsi="宋体"/>
          <w:sz w:val="28"/>
          <w:szCs w:val="28"/>
        </w:rPr>
        <w:t xml:space="preserve"> </w:t>
      </w:r>
      <w:r>
        <w:rPr>
          <w:rStyle w:val="43"/>
          <w:rFonts w:ascii="宋体" w:hAnsi="宋体"/>
          <w:sz w:val="28"/>
          <w:szCs w:val="28"/>
        </w:rPr>
        <w:t>日</w:t>
      </w:r>
      <w:r>
        <w:rPr>
          <w:rStyle w:val="43"/>
          <w:rFonts w:ascii="宋体" w:hAnsi="宋体"/>
          <w:sz w:val="28"/>
          <w:szCs w:val="28"/>
        </w:rPr>
        <w:br w:type="page"/>
      </w:r>
    </w:p>
    <w:p>
      <w:pPr>
        <w:pStyle w:val="52"/>
        <w:numPr>
          <w:ilvl w:val="0"/>
          <w:numId w:val="16"/>
        </w:numPr>
        <w:snapToGrid w:val="0"/>
        <w:spacing w:line="440" w:lineRule="exact"/>
        <w:ind w:firstLineChars="0"/>
        <w:jc w:val="center"/>
        <w:rPr>
          <w:rStyle w:val="43"/>
          <w:rFonts w:ascii="宋体" w:hAnsi="宋体"/>
          <w:b/>
          <w:szCs w:val="21"/>
        </w:rPr>
      </w:pPr>
      <w:bookmarkStart w:id="262" w:name="_Toc16064005"/>
      <w:r>
        <w:rPr>
          <w:rStyle w:val="43"/>
          <w:rFonts w:ascii="宋体" w:hAnsi="宋体"/>
          <w:b/>
          <w:szCs w:val="21"/>
        </w:rPr>
        <w:t>投标人基本情况表</w:t>
      </w:r>
      <w:bookmarkEnd w:id="262"/>
    </w:p>
    <w:p>
      <w:pPr>
        <w:pStyle w:val="52"/>
        <w:snapToGrid w:val="0"/>
        <w:spacing w:line="440" w:lineRule="exact"/>
        <w:ind w:left="1367" w:firstLine="0" w:firstLineChars="0"/>
        <w:rPr>
          <w:rStyle w:val="43"/>
          <w:rFonts w:ascii="宋体" w:hAnsi="宋体"/>
          <w:b/>
          <w:szCs w:val="21"/>
        </w:rPr>
      </w:pPr>
    </w:p>
    <w:tbl>
      <w:tblPr>
        <w:tblStyle w:val="23"/>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r>
    </w:tbl>
    <w:p>
      <w:pPr>
        <w:spacing w:line="440" w:lineRule="exact"/>
        <w:rPr>
          <w:rStyle w:val="43"/>
          <w:rFonts w:ascii="宋体" w:hAnsi="宋体"/>
          <w:szCs w:val="21"/>
        </w:rPr>
      </w:pPr>
      <w:r>
        <w:rPr>
          <w:rStyle w:val="43"/>
          <w:rFonts w:ascii="宋体" w:hAnsi="宋体"/>
          <w:szCs w:val="21"/>
        </w:rPr>
        <w:t>备注：本表后应附企业法人营业执照、企业资质证书副本、安全生产许可证等材料的复印件。</w:t>
      </w:r>
    </w:p>
    <w:p>
      <w:pPr>
        <w:spacing w:before="120" w:after="240" w:line="440" w:lineRule="exact"/>
        <w:jc w:val="center"/>
        <w:rPr>
          <w:rStyle w:val="43"/>
          <w:rFonts w:ascii="宋体" w:hAnsi="宋体"/>
          <w:szCs w:val="21"/>
          <w:shd w:val="pct10" w:color="auto" w:fill="FFFFFF"/>
        </w:rPr>
      </w:pPr>
      <w:r>
        <w:rPr>
          <w:rStyle w:val="43"/>
          <w:rFonts w:ascii="宋体" w:hAnsi="宋体"/>
          <w:szCs w:val="21"/>
          <w:shd w:val="pct10" w:color="auto" w:fill="FFFFFF"/>
        </w:rPr>
        <w:br w:type="page"/>
      </w:r>
    </w:p>
    <w:p>
      <w:pPr>
        <w:pStyle w:val="52"/>
        <w:numPr>
          <w:ilvl w:val="0"/>
          <w:numId w:val="16"/>
        </w:numPr>
        <w:snapToGrid w:val="0"/>
        <w:spacing w:line="440" w:lineRule="exact"/>
        <w:ind w:firstLineChars="0"/>
        <w:jc w:val="center"/>
        <w:rPr>
          <w:rStyle w:val="43"/>
          <w:rFonts w:ascii="宋体" w:hAnsi="宋体"/>
          <w:b/>
          <w:szCs w:val="21"/>
        </w:rPr>
      </w:pPr>
      <w:bookmarkStart w:id="263" w:name="_Toc16064006"/>
      <w:r>
        <w:rPr>
          <w:rStyle w:val="43"/>
          <w:rFonts w:hint="eastAsia" w:ascii="宋体" w:hAnsi="宋体"/>
          <w:b/>
          <w:szCs w:val="21"/>
          <w:lang w:val="en-US" w:eastAsia="zh-CN"/>
        </w:rPr>
        <w:t>近三</w:t>
      </w:r>
      <w:r>
        <w:rPr>
          <w:rStyle w:val="43"/>
          <w:rFonts w:ascii="宋体" w:hAnsi="宋体"/>
          <w:b/>
          <w:szCs w:val="21"/>
        </w:rPr>
        <w:t>年财务状况：</w:t>
      </w:r>
      <w:bookmarkEnd w:id="263"/>
    </w:p>
    <w:p>
      <w:pPr>
        <w:spacing w:line="440" w:lineRule="exact"/>
        <w:ind w:firstLine="420" w:firstLineChars="200"/>
        <w:rPr>
          <w:rStyle w:val="43"/>
          <w:rFonts w:ascii="宋体" w:hAnsi="宋体"/>
        </w:rPr>
      </w:pPr>
      <w:r>
        <w:rPr>
          <w:rStyle w:val="43"/>
          <w:rFonts w:ascii="宋体" w:hAnsi="宋体"/>
        </w:rPr>
        <w:t>附：</w:t>
      </w:r>
      <w:r>
        <w:rPr>
          <w:rStyle w:val="43"/>
          <w:rFonts w:hint="eastAsia" w:ascii="宋体" w:hAnsi="宋体"/>
        </w:rPr>
        <w:t>投标人提供经会计师事务所审计且出具无保留意见的近三年的财务审计报告，对应年度（202</w:t>
      </w:r>
      <w:r>
        <w:rPr>
          <w:rStyle w:val="43"/>
          <w:rFonts w:hint="eastAsia" w:ascii="宋体" w:hAnsi="宋体"/>
          <w:lang w:val="en-US" w:eastAsia="zh-CN"/>
        </w:rPr>
        <w:t>1</w:t>
      </w:r>
      <w:r>
        <w:rPr>
          <w:rStyle w:val="43"/>
          <w:rFonts w:hint="eastAsia" w:ascii="宋体" w:hAnsi="宋体"/>
        </w:rPr>
        <w:t>-202</w:t>
      </w:r>
      <w:r>
        <w:rPr>
          <w:rStyle w:val="43"/>
          <w:rFonts w:hint="eastAsia" w:ascii="宋体" w:hAnsi="宋体"/>
          <w:lang w:val="en-US" w:eastAsia="zh-CN"/>
        </w:rPr>
        <w:t>3年，若2023年未出报告可往前推一年</w:t>
      </w:r>
      <w:r>
        <w:rPr>
          <w:rStyle w:val="43"/>
          <w:rFonts w:hint="eastAsia" w:ascii="宋体" w:hAnsi="宋体"/>
        </w:rPr>
        <w:t>）企业财务审计报告扫描件盖章附后。并加盖公章，包括但不限于报告页、经审计的资产负债表、利润表、现金流量表及报表附注。</w:t>
      </w:r>
    </w:p>
    <w:p>
      <w:pPr>
        <w:spacing w:line="440" w:lineRule="exact"/>
        <w:ind w:firstLine="420" w:firstLineChars="200"/>
        <w:rPr>
          <w:rStyle w:val="43"/>
          <w:rFonts w:ascii="宋体" w:hAnsi="宋体"/>
        </w:rPr>
      </w:pPr>
      <w:r>
        <w:rPr>
          <w:rStyle w:val="43"/>
          <w:rFonts w:hint="eastAsia" w:ascii="宋体" w:hAnsi="宋体"/>
        </w:rPr>
        <w:t>如投标人公司没有经审计的财务报告，可提供加盖公章的近三年财务报表，包括但不限于资产负债表、利润表、现金流量表。</w:t>
      </w:r>
    </w:p>
    <w:p>
      <w:pPr>
        <w:spacing w:line="440" w:lineRule="exact"/>
        <w:ind w:firstLine="420" w:firstLineChars="200"/>
        <w:rPr>
          <w:rStyle w:val="43"/>
          <w:rFonts w:ascii="宋体" w:hAnsi="宋体"/>
        </w:rPr>
      </w:pPr>
      <w:r>
        <w:rPr>
          <w:rStyle w:val="43"/>
          <w:rFonts w:hint="eastAsia" w:ascii="宋体" w:hAnsi="宋体"/>
        </w:rPr>
        <w:t>应提供中文版本的审计报告或财务报表。</w:t>
      </w:r>
    </w:p>
    <w:tbl>
      <w:tblPr>
        <w:tblStyle w:val="2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pPr>
              <w:spacing w:line="440" w:lineRule="exact"/>
              <w:jc w:val="center"/>
              <w:rPr>
                <w:rStyle w:val="43"/>
                <w:rFonts w:ascii="宋体" w:hAnsi="宋体"/>
              </w:rPr>
            </w:pPr>
            <w:r>
              <w:rPr>
                <w:rStyle w:val="43"/>
                <w:rFonts w:hint="eastAsia" w:ascii="宋体" w:hAns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注册资金（万元）</w:t>
            </w:r>
          </w:p>
        </w:tc>
        <w:tc>
          <w:tcPr>
            <w:tcW w:w="6966" w:type="dxa"/>
            <w:gridSpan w:val="3"/>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ascii="宋体" w:hAnsi="宋体"/>
              </w:rPr>
              <w:t>实收资金（万元）</w:t>
            </w:r>
          </w:p>
        </w:tc>
        <w:tc>
          <w:tcPr>
            <w:tcW w:w="6966" w:type="dxa"/>
            <w:gridSpan w:val="3"/>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年度资产情况</w:t>
            </w:r>
          </w:p>
        </w:tc>
        <w:tc>
          <w:tcPr>
            <w:tcW w:w="2322" w:type="dxa"/>
          </w:tcPr>
          <w:p>
            <w:pPr>
              <w:spacing w:line="440" w:lineRule="exact"/>
              <w:jc w:val="center"/>
              <w:rPr>
                <w:rStyle w:val="43"/>
                <w:rFonts w:ascii="宋体" w:hAnsi="宋体"/>
              </w:rPr>
            </w:pPr>
            <w:r>
              <w:rPr>
                <w:rStyle w:val="43"/>
                <w:rFonts w:hint="eastAsia" w:ascii="宋体" w:hAnsi="宋体"/>
              </w:rPr>
              <w:t>202</w:t>
            </w:r>
            <w:r>
              <w:rPr>
                <w:rStyle w:val="43"/>
                <w:rFonts w:hint="eastAsia" w:ascii="宋体" w:hAnsi="宋体"/>
                <w:lang w:val="en-US" w:eastAsia="zh-CN"/>
              </w:rPr>
              <w:t>1</w:t>
            </w:r>
            <w:r>
              <w:rPr>
                <w:rStyle w:val="43"/>
                <w:rFonts w:hint="eastAsia" w:ascii="宋体" w:hAnsi="宋体"/>
              </w:rPr>
              <w:t>年</w:t>
            </w:r>
          </w:p>
        </w:tc>
        <w:tc>
          <w:tcPr>
            <w:tcW w:w="2322" w:type="dxa"/>
          </w:tcPr>
          <w:p>
            <w:pPr>
              <w:spacing w:line="440" w:lineRule="exact"/>
              <w:jc w:val="center"/>
              <w:rPr>
                <w:rStyle w:val="43"/>
                <w:rFonts w:ascii="宋体" w:hAnsi="宋体"/>
              </w:rPr>
            </w:pPr>
            <w:r>
              <w:rPr>
                <w:rStyle w:val="43"/>
                <w:rFonts w:hint="eastAsia" w:ascii="宋体" w:hAnsi="宋体"/>
              </w:rPr>
              <w:t>202</w:t>
            </w:r>
            <w:r>
              <w:rPr>
                <w:rStyle w:val="43"/>
                <w:rFonts w:hint="eastAsia" w:ascii="宋体" w:hAnsi="宋体"/>
                <w:lang w:val="en-US" w:eastAsia="zh-CN"/>
              </w:rPr>
              <w:t>2</w:t>
            </w:r>
            <w:r>
              <w:rPr>
                <w:rStyle w:val="43"/>
                <w:rFonts w:hint="eastAsia" w:ascii="宋体" w:hAnsi="宋体"/>
              </w:rPr>
              <w:t>年</w:t>
            </w:r>
          </w:p>
        </w:tc>
        <w:tc>
          <w:tcPr>
            <w:tcW w:w="2322" w:type="dxa"/>
          </w:tcPr>
          <w:p>
            <w:pPr>
              <w:spacing w:line="440" w:lineRule="exact"/>
              <w:jc w:val="center"/>
              <w:rPr>
                <w:rStyle w:val="43"/>
                <w:rFonts w:ascii="宋体" w:hAnsi="宋体"/>
              </w:rPr>
            </w:pPr>
            <w:r>
              <w:rPr>
                <w:rStyle w:val="43"/>
                <w:rFonts w:hint="eastAsia" w:ascii="宋体" w:hAnsi="宋体"/>
              </w:rPr>
              <w:t>202</w:t>
            </w:r>
            <w:r>
              <w:rPr>
                <w:rStyle w:val="43"/>
                <w:rFonts w:hint="eastAsia" w:ascii="宋体" w:hAnsi="宋体"/>
                <w:lang w:val="en-US" w:eastAsia="zh-CN"/>
              </w:rPr>
              <w:t>3</w:t>
            </w:r>
            <w:r>
              <w:rPr>
                <w:rStyle w:val="43"/>
                <w:rFonts w:hint="eastAsia" w:ascii="宋体" w:hAns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流动资产（万元）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非流动资产（万元）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营业收入（万元）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年底资产总值（万元）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年底负债总值（万元）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ascii="宋体" w:hAnsi="宋体"/>
              </w:rPr>
              <w:t>资产负债率</w:t>
            </w:r>
            <w:r>
              <w:rPr>
                <w:rStyle w:val="43"/>
                <w:rFonts w:hint="eastAsia" w:ascii="宋体" w:hAnsi="宋体"/>
              </w:rPr>
              <w:t>（**.**%）</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净利润（万元）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43"/>
                <w:rFonts w:ascii="宋体" w:hAnsi="宋体"/>
              </w:rPr>
            </w:pPr>
            <w:r>
              <w:rPr>
                <w:rStyle w:val="43"/>
                <w:rFonts w:hint="eastAsia" w:ascii="宋体" w:hAnsi="宋体"/>
              </w:rPr>
              <w:t>未分配利润（万元）</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43"/>
                <w:rFonts w:hint="eastAsia" w:ascii="宋体" w:hAnsi="宋体"/>
              </w:rPr>
              <w:t>营运</w:t>
            </w:r>
            <w:r>
              <w:rPr>
                <w:rStyle w:val="43"/>
                <w:rFonts w:ascii="宋体" w:hAnsi="宋体"/>
              </w:rPr>
              <w:t>资</w:t>
            </w:r>
            <w:r>
              <w:rPr>
                <w:rStyle w:val="43"/>
                <w:rFonts w:hint="eastAsia" w:ascii="宋体" w:hAnsi="宋体"/>
              </w:rPr>
              <w:t>金</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43"/>
                <w:rFonts w:hint="eastAsia" w:ascii="宋体" w:hAnsi="宋体"/>
              </w:rPr>
              <w:t>（本年营业收入-上年营业收入）÷上年营业收入</w:t>
            </w: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c>
          <w:tcPr>
            <w:tcW w:w="2322" w:type="dxa"/>
          </w:tcPr>
          <w:p>
            <w:pPr>
              <w:spacing w:line="440" w:lineRule="exact"/>
              <w:jc w:val="center"/>
              <w:rPr>
                <w:rStyle w:val="43"/>
                <w:rFonts w:ascii="宋体" w:hAnsi="宋体"/>
              </w:rPr>
            </w:pPr>
          </w:p>
        </w:tc>
      </w:tr>
    </w:tbl>
    <w:p>
      <w:pPr>
        <w:spacing w:line="440" w:lineRule="exact"/>
        <w:rPr>
          <w:rStyle w:val="43"/>
          <w:rFonts w:ascii="宋体" w:hAnsi="宋体"/>
        </w:rPr>
      </w:pPr>
    </w:p>
    <w:p>
      <w:pPr>
        <w:pStyle w:val="22"/>
        <w:ind w:left="420" w:firstLine="420"/>
      </w:pPr>
      <w:r>
        <w:br w:type="page"/>
      </w:r>
    </w:p>
    <w:p>
      <w:pPr>
        <w:pStyle w:val="52"/>
        <w:numPr>
          <w:ilvl w:val="0"/>
          <w:numId w:val="16"/>
        </w:numPr>
        <w:snapToGrid w:val="0"/>
        <w:spacing w:line="440" w:lineRule="exact"/>
        <w:ind w:firstLineChars="0"/>
        <w:jc w:val="center"/>
        <w:rPr>
          <w:rStyle w:val="43"/>
          <w:rFonts w:ascii="宋体" w:hAnsi="宋体"/>
          <w:b/>
          <w:szCs w:val="21"/>
        </w:rPr>
      </w:pPr>
      <w:bookmarkStart w:id="264" w:name="_Toc16064007"/>
      <w:r>
        <w:rPr>
          <w:rStyle w:val="43"/>
          <w:rFonts w:ascii="宋体" w:hAnsi="宋体"/>
          <w:b/>
          <w:szCs w:val="21"/>
        </w:rPr>
        <w:t>拟派项目部主要管理人员：</w:t>
      </w:r>
      <w:bookmarkEnd w:id="264"/>
    </w:p>
    <w:p>
      <w:pPr>
        <w:pStyle w:val="52"/>
        <w:snapToGrid w:val="0"/>
        <w:spacing w:line="440" w:lineRule="exact"/>
        <w:ind w:left="1367" w:firstLine="0" w:firstLineChars="0"/>
        <w:rPr>
          <w:rStyle w:val="43"/>
          <w:rFonts w:ascii="宋体" w:hAnsi="宋体"/>
          <w:b/>
          <w:szCs w:val="21"/>
        </w:rPr>
      </w:pPr>
    </w:p>
    <w:p>
      <w:pPr>
        <w:spacing w:line="440" w:lineRule="exact"/>
        <w:rPr>
          <w:rStyle w:val="43"/>
          <w:rFonts w:ascii="宋体" w:hAnsi="宋体"/>
        </w:rPr>
      </w:pPr>
      <w:r>
        <w:rPr>
          <w:rStyle w:val="43"/>
          <w:rFonts w:ascii="宋体" w:hAnsi="宋体"/>
        </w:rPr>
        <w:t xml:space="preserve">   附：拟派项目经理的注册建造师执业资格证及安全生产考核合格B证复印件； </w:t>
      </w:r>
    </w:p>
    <w:p>
      <w:pPr>
        <w:spacing w:line="440" w:lineRule="exact"/>
        <w:rPr>
          <w:rStyle w:val="43"/>
          <w:rFonts w:ascii="宋体" w:hAnsi="宋体"/>
        </w:rPr>
      </w:pPr>
      <w:r>
        <w:rPr>
          <w:rStyle w:val="43"/>
          <w:rFonts w:ascii="宋体" w:hAnsi="宋体"/>
        </w:rPr>
        <w:t xml:space="preserve">       </w:t>
      </w:r>
    </w:p>
    <w:p>
      <w:pPr>
        <w:spacing w:line="440" w:lineRule="exact"/>
        <w:ind w:left="630" w:hanging="630" w:hangingChars="300"/>
        <w:rPr>
          <w:rStyle w:val="43"/>
          <w:rFonts w:ascii="宋体" w:hAnsi="宋体"/>
          <w:szCs w:val="21"/>
          <w:shd w:val="pct10" w:color="auto" w:fill="FFFFFF"/>
        </w:rPr>
      </w:pPr>
    </w:p>
    <w:p>
      <w:pPr>
        <w:pStyle w:val="22"/>
        <w:ind w:left="420" w:firstLine="420"/>
      </w:pPr>
    </w:p>
    <w:p>
      <w:pPr>
        <w:pStyle w:val="18"/>
        <w:ind w:left="420"/>
      </w:pPr>
    </w:p>
    <w:p>
      <w:pPr>
        <w:pStyle w:val="52"/>
        <w:numPr>
          <w:ilvl w:val="0"/>
          <w:numId w:val="16"/>
        </w:numPr>
        <w:snapToGrid w:val="0"/>
        <w:spacing w:line="440" w:lineRule="exact"/>
        <w:ind w:firstLineChars="0"/>
        <w:jc w:val="center"/>
        <w:rPr>
          <w:rStyle w:val="43"/>
          <w:rFonts w:ascii="宋体" w:hAnsi="宋体"/>
          <w:b/>
          <w:szCs w:val="21"/>
        </w:rPr>
      </w:pPr>
      <w:bookmarkStart w:id="265" w:name="_Toc16064008"/>
      <w:r>
        <w:rPr>
          <w:rStyle w:val="43"/>
          <w:rFonts w:ascii="宋体" w:hAnsi="宋体"/>
          <w:b/>
          <w:szCs w:val="21"/>
        </w:rPr>
        <w:t>近三年承担的类似工程情况表</w:t>
      </w:r>
      <w:bookmarkEnd w:id="265"/>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2"/>
        <w:gridCol w:w="602"/>
        <w:gridCol w:w="729"/>
        <w:gridCol w:w="1239"/>
        <w:gridCol w:w="602"/>
        <w:gridCol w:w="939"/>
        <w:gridCol w:w="602"/>
        <w:gridCol w:w="602"/>
        <w:gridCol w:w="729"/>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总监理工程师及电话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7"/>
              </w:num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r>
              <w:rPr>
                <w:rStyle w:val="43"/>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43"/>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43"/>
                <w:rFonts w:ascii="宋体" w:hAnsi="宋体"/>
                <w:szCs w:val="21"/>
              </w:rPr>
            </w:pPr>
          </w:p>
        </w:tc>
      </w:tr>
    </w:tbl>
    <w:p>
      <w:pPr>
        <w:pStyle w:val="52"/>
        <w:snapToGrid w:val="0"/>
        <w:spacing w:line="440" w:lineRule="exact"/>
        <w:ind w:left="1367" w:firstLine="0" w:firstLineChars="0"/>
        <w:rPr>
          <w:rStyle w:val="43"/>
          <w:rFonts w:ascii="宋体" w:hAnsi="宋体"/>
          <w:b/>
          <w:szCs w:val="21"/>
        </w:rPr>
      </w:pPr>
    </w:p>
    <w:p>
      <w:pPr>
        <w:spacing w:line="440" w:lineRule="exact"/>
        <w:ind w:left="630" w:hanging="630" w:hangingChars="300"/>
        <w:rPr>
          <w:rStyle w:val="43"/>
          <w:rFonts w:ascii="宋体" w:hAnsi="宋体"/>
          <w:szCs w:val="21"/>
        </w:rPr>
      </w:pPr>
      <w:r>
        <w:rPr>
          <w:rStyle w:val="43"/>
          <w:rFonts w:ascii="宋体" w:hAnsi="宋体"/>
          <w:szCs w:val="21"/>
        </w:rPr>
        <w:t>备注：1.近三年指20</w:t>
      </w:r>
      <w:r>
        <w:rPr>
          <w:rStyle w:val="43"/>
          <w:rFonts w:hint="eastAsia" w:ascii="宋体" w:hAnsi="宋体"/>
          <w:szCs w:val="21"/>
        </w:rPr>
        <w:t>2</w:t>
      </w:r>
      <w:r>
        <w:rPr>
          <w:rStyle w:val="43"/>
          <w:rFonts w:ascii="宋体" w:hAnsi="宋体"/>
          <w:szCs w:val="21"/>
        </w:rPr>
        <w:t>1年</w:t>
      </w:r>
      <w:r>
        <w:rPr>
          <w:rStyle w:val="43"/>
          <w:rFonts w:hint="eastAsia" w:ascii="宋体" w:hAnsi="宋体"/>
          <w:szCs w:val="21"/>
          <w:lang w:val="en-US" w:eastAsia="zh-CN"/>
        </w:rPr>
        <w:t>9</w:t>
      </w:r>
      <w:r>
        <w:rPr>
          <w:rStyle w:val="43"/>
          <w:rFonts w:ascii="宋体" w:hAnsi="宋体"/>
          <w:szCs w:val="21"/>
        </w:rPr>
        <w:t>月1日至开标之日（以合同签订时间为准），类似工程：详见投标人须知前附表；</w:t>
      </w:r>
    </w:p>
    <w:p>
      <w:pPr>
        <w:spacing w:line="440" w:lineRule="exact"/>
        <w:ind w:left="630" w:leftChars="300"/>
        <w:rPr>
          <w:rStyle w:val="43"/>
          <w:rFonts w:ascii="宋体" w:hAnsi="宋体"/>
          <w:szCs w:val="21"/>
        </w:rPr>
      </w:pPr>
      <w:r>
        <w:rPr>
          <w:rStyle w:val="43"/>
          <w:rFonts w:ascii="宋体" w:hAnsi="宋体"/>
          <w:szCs w:val="21"/>
        </w:rPr>
        <w:t>2.</w:t>
      </w:r>
      <w:r>
        <w:rPr>
          <w:rStyle w:val="43"/>
          <w:rFonts w:ascii="宋体" w:hAnsi="宋体"/>
          <w:bCs/>
          <w:szCs w:val="21"/>
        </w:rPr>
        <w:t>评分细则中加分的企业业绩</w:t>
      </w:r>
      <w:r>
        <w:rPr>
          <w:rStyle w:val="43"/>
          <w:rFonts w:hint="eastAsia" w:ascii="宋体" w:hAnsi="宋体"/>
          <w:bCs/>
          <w:szCs w:val="21"/>
        </w:rPr>
        <w:t>、</w:t>
      </w:r>
      <w:r>
        <w:rPr>
          <w:rStyle w:val="43"/>
          <w:rFonts w:ascii="宋体" w:hAnsi="宋体"/>
          <w:bCs/>
          <w:szCs w:val="21"/>
        </w:rPr>
        <w:t>项目经理业绩须同时附在本表中，</w:t>
      </w:r>
      <w:r>
        <w:rPr>
          <w:rStyle w:val="43"/>
          <w:rFonts w:ascii="宋体" w:hAnsi="宋体"/>
          <w:szCs w:val="21"/>
        </w:rPr>
        <w:t>本表后附合同协议书的复印件。</w:t>
      </w:r>
      <w:r>
        <w:rPr>
          <w:rStyle w:val="43"/>
          <w:rFonts w:ascii="宋体" w:hAnsi="宋体"/>
          <w:szCs w:val="21"/>
        </w:rPr>
        <w:br w:type="page"/>
      </w:r>
    </w:p>
    <w:p>
      <w:pPr>
        <w:pStyle w:val="52"/>
        <w:numPr>
          <w:ilvl w:val="0"/>
          <w:numId w:val="16"/>
        </w:numPr>
        <w:snapToGrid w:val="0"/>
        <w:spacing w:line="440" w:lineRule="exact"/>
        <w:ind w:firstLineChars="0"/>
        <w:jc w:val="center"/>
        <w:rPr>
          <w:rStyle w:val="43"/>
          <w:rFonts w:ascii="宋体" w:hAnsi="宋体"/>
          <w:b/>
          <w:szCs w:val="21"/>
        </w:rPr>
      </w:pPr>
      <w:bookmarkStart w:id="266" w:name="_Toc16064009"/>
      <w:r>
        <w:rPr>
          <w:rStyle w:val="43"/>
          <w:rFonts w:ascii="宋体" w:hAnsi="宋体"/>
          <w:b/>
          <w:szCs w:val="21"/>
        </w:rPr>
        <w:t>无不良行为记录证明材料</w:t>
      </w:r>
      <w:bookmarkEnd w:id="266"/>
    </w:p>
    <w:p>
      <w:pPr>
        <w:spacing w:before="120" w:after="240" w:line="440" w:lineRule="exact"/>
        <w:ind w:firstLine="420" w:firstLineChars="200"/>
        <w:rPr>
          <w:rStyle w:val="43"/>
          <w:rFonts w:ascii="宋体" w:hAnsi="宋体"/>
        </w:rPr>
      </w:pPr>
      <w:r>
        <w:rPr>
          <w:rStyle w:val="43"/>
          <w:rFonts w:ascii="宋体" w:hAnsi="宋体"/>
        </w:rPr>
        <w:t>须附“中国裁判文书网”行贿犯罪档案查询结果截图及其他无不良行为记录证明材料。</w:t>
      </w:r>
    </w:p>
    <w:p>
      <w:pPr>
        <w:spacing w:before="120" w:after="240" w:line="440" w:lineRule="exact"/>
        <w:ind w:firstLine="420" w:firstLineChars="200"/>
        <w:rPr>
          <w:rStyle w:val="43"/>
          <w:rFonts w:ascii="宋体" w:hAnsi="宋体"/>
        </w:rPr>
      </w:pPr>
    </w:p>
    <w:p>
      <w:pPr>
        <w:pStyle w:val="52"/>
        <w:numPr>
          <w:ilvl w:val="0"/>
          <w:numId w:val="16"/>
        </w:numPr>
        <w:snapToGrid w:val="0"/>
        <w:spacing w:line="440" w:lineRule="exact"/>
        <w:ind w:firstLineChars="0"/>
        <w:jc w:val="center"/>
        <w:rPr>
          <w:rStyle w:val="43"/>
          <w:rFonts w:ascii="宋体" w:hAnsi="宋体"/>
          <w:b/>
          <w:szCs w:val="21"/>
        </w:rPr>
      </w:pPr>
      <w:bookmarkStart w:id="267" w:name="_Toc16064010"/>
      <w:r>
        <w:rPr>
          <w:rStyle w:val="43"/>
          <w:rFonts w:ascii="宋体" w:hAnsi="宋体"/>
          <w:b/>
          <w:szCs w:val="21"/>
        </w:rPr>
        <w:t>近三年（20</w:t>
      </w:r>
      <w:r>
        <w:rPr>
          <w:rStyle w:val="43"/>
          <w:rFonts w:hint="eastAsia" w:ascii="宋体" w:hAnsi="宋体"/>
          <w:b/>
          <w:szCs w:val="21"/>
        </w:rPr>
        <w:t>2</w:t>
      </w:r>
      <w:r>
        <w:rPr>
          <w:rStyle w:val="43"/>
          <w:rFonts w:ascii="宋体" w:hAnsi="宋体"/>
          <w:b/>
          <w:szCs w:val="21"/>
        </w:rPr>
        <w:t>1年</w:t>
      </w:r>
      <w:r>
        <w:rPr>
          <w:rStyle w:val="43"/>
          <w:rFonts w:hint="eastAsia" w:ascii="宋体" w:hAnsi="宋体"/>
          <w:b/>
          <w:szCs w:val="21"/>
          <w:lang w:val="en-US" w:eastAsia="zh-CN"/>
        </w:rPr>
        <w:t>9</w:t>
      </w:r>
      <w:r>
        <w:rPr>
          <w:rStyle w:val="43"/>
          <w:rFonts w:ascii="宋体" w:hAnsi="宋体"/>
          <w:b/>
          <w:szCs w:val="21"/>
        </w:rPr>
        <w:t>月1日至开标之日）发生的诉讼及仲裁情况（应说明相关情况并附法院或仲裁机构作出的判决、仲裁等有关法律文书的复印件）</w:t>
      </w:r>
      <w:bookmarkEnd w:id="267"/>
    </w:p>
    <w:p>
      <w:pPr>
        <w:spacing w:line="440" w:lineRule="exact"/>
        <w:ind w:firstLine="433" w:firstLineChars="196"/>
        <w:rPr>
          <w:rStyle w:val="43"/>
          <w:rFonts w:ascii="宋体" w:hAnsi="宋体"/>
          <w:b/>
          <w:sz w:val="22"/>
          <w:szCs w:val="28"/>
        </w:rPr>
      </w:pPr>
    </w:p>
    <w:p>
      <w:pPr>
        <w:spacing w:line="440" w:lineRule="exact"/>
        <w:ind w:firstLine="433" w:firstLineChars="196"/>
      </w:pPr>
      <w:r>
        <w:rPr>
          <w:rStyle w:val="43"/>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43"/>
          <w:rFonts w:ascii="宋体" w:hAnsi="宋体"/>
          <w:b/>
          <w:sz w:val="22"/>
          <w:szCs w:val="28"/>
          <w:u w:val="single"/>
        </w:rPr>
        <w:t>其中第（一）、（二）、（三）、（五）条为必备条件,若无则资格后审不合格,第（四）、（六）项内容若无应注明“无”,若资格审查文件中无第（四）、（六）项内容且未在资格后审文件中注明的,则视为不合格，不参与下一步评审。</w:t>
      </w:r>
    </w:p>
    <w:p/>
    <w:p>
      <w:pPr>
        <w:rPr>
          <w:rFonts w:hint="eastAsia" w:ascii="宋体" w:hAnsi="Times New Roman" w:eastAsia="宋体" w:cs="Times New Roman"/>
          <w:b/>
          <w:iCs/>
        </w:rPr>
      </w:pPr>
      <w:r>
        <w:rPr>
          <w:rFonts w:hint="eastAsia" w:ascii="宋体" w:hAnsi="Times New Roman" w:eastAsia="宋体" w:cs="Times New Roman"/>
          <w:b/>
          <w:iCs/>
        </w:rPr>
        <w:br w:type="page"/>
      </w:r>
    </w:p>
    <w:p>
      <w:pPr>
        <w:pStyle w:val="2"/>
        <w:tabs>
          <w:tab w:val="right" w:leader="dot" w:pos="9061"/>
        </w:tabs>
        <w:jc w:val="center"/>
        <w:rPr>
          <w:rFonts w:hint="eastAsia" w:ascii="宋体" w:hAnsi="Times New Roman" w:eastAsia="宋体" w:cs="Times New Roman"/>
          <w:b/>
          <w:iCs/>
        </w:rPr>
      </w:pPr>
      <w:bookmarkStart w:id="268" w:name="_Toc13669"/>
      <w:r>
        <w:rPr>
          <w:rFonts w:hint="eastAsia" w:ascii="宋体" w:hAnsi="Times New Roman" w:eastAsia="宋体" w:cs="Times New Roman"/>
          <w:b/>
          <w:iCs/>
        </w:rPr>
        <w:t>第</w:t>
      </w:r>
      <w:r>
        <w:rPr>
          <w:rFonts w:hint="eastAsia" w:ascii="宋体" w:cs="Times New Roman"/>
          <w:b/>
          <w:iCs/>
          <w:lang w:val="en-US" w:eastAsia="zh-CN"/>
        </w:rPr>
        <w:t>十</w:t>
      </w:r>
      <w:r>
        <w:rPr>
          <w:rFonts w:hint="eastAsia" w:ascii="宋体" w:hAnsi="Times New Roman" w:eastAsia="宋体" w:cs="Times New Roman"/>
          <w:b/>
          <w:iCs/>
        </w:rPr>
        <w:t>章</w:t>
      </w:r>
      <w:bookmarkEnd w:id="268"/>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p>
      <w:pPr>
        <w:ind w:firstLine="420"/>
        <w:jc w:val="center"/>
        <w:rPr>
          <w:u w:val="single"/>
        </w:rPr>
      </w:pPr>
    </w:p>
    <w:tbl>
      <w:tblPr>
        <w:tblStyle w:val="23"/>
        <w:tblW w:w="0" w:type="auto"/>
        <w:jc w:val="center"/>
        <w:tblBorders>
          <w:top w:val="none" w:color="auto" w:sz="0" w:space="0"/>
          <w:left w:val="none" w:color="auto" w:sz="0" w:space="0"/>
          <w:bottom w:val="single" w:color="000000" w:sz="12" w:space="0"/>
          <w:right w:val="none" w:color="auto" w:sz="0" w:space="0"/>
          <w:insideH w:val="single" w:color="000000" w:sz="12" w:space="0"/>
          <w:insideV w:val="none" w:color="auto" w:sz="0" w:space="0"/>
        </w:tblBorders>
        <w:tblLayout w:type="autofit"/>
        <w:tblCellMar>
          <w:top w:w="0" w:type="dxa"/>
          <w:left w:w="10" w:type="dxa"/>
          <w:bottom w:w="0" w:type="dxa"/>
          <w:right w:w="10" w:type="dxa"/>
        </w:tblCellMar>
      </w:tblPr>
      <w:tblGrid>
        <w:gridCol w:w="7796"/>
      </w:tblGrid>
      <w:tr>
        <w:tblPrEx>
          <w:tblBorders>
            <w:top w:val="none" w:color="auto" w:sz="0" w:space="0"/>
            <w:left w:val="none" w:color="auto" w:sz="0" w:space="0"/>
            <w:bottom w:val="single" w:color="000000" w:sz="12" w:space="0"/>
            <w:right w:val="none" w:color="auto" w:sz="0" w:space="0"/>
            <w:insideH w:val="single" w:color="000000" w:sz="12" w:space="0"/>
            <w:insideV w:val="none" w:color="auto" w:sz="0" w:space="0"/>
          </w:tblBorders>
          <w:tblCellMar>
            <w:top w:w="0" w:type="dxa"/>
            <w:left w:w="10" w:type="dxa"/>
            <w:bottom w:w="0" w:type="dxa"/>
            <w:right w:w="10" w:type="dxa"/>
          </w:tblCellMar>
        </w:tblPrEx>
        <w:trPr>
          <w:jc w:val="center"/>
        </w:trPr>
        <w:tc>
          <w:tcPr>
            <w:tcW w:w="7796" w:type="dxa"/>
            <w:noWrap w:val="0"/>
            <w:vAlign w:val="top"/>
          </w:tcPr>
          <w:p>
            <w:pPr>
              <w:jc w:val="center"/>
              <w:rPr>
                <w:b/>
                <w:bCs/>
                <w:sz w:val="52"/>
                <w:szCs w:val="52"/>
              </w:rPr>
            </w:pPr>
            <w:r>
              <w:rPr>
                <w:b/>
                <w:bCs/>
                <w:sz w:val="52"/>
                <w:szCs w:val="52"/>
              </w:rPr>
              <w:t>中国重汽集团</w:t>
            </w:r>
          </w:p>
          <w:p>
            <w:pPr>
              <w:jc w:val="center"/>
              <w:rPr>
                <w:b/>
                <w:sz w:val="52"/>
                <w:szCs w:val="52"/>
                <w:u w:val="single"/>
              </w:rPr>
            </w:pPr>
            <w:r>
              <w:rPr>
                <w:b/>
                <w:bCs/>
                <w:sz w:val="52"/>
                <w:szCs w:val="52"/>
              </w:rPr>
              <w:t>SRM</w:t>
            </w:r>
            <w:r>
              <w:rPr>
                <w:rFonts w:hint="eastAsia"/>
                <w:b/>
                <w:bCs/>
                <w:sz w:val="52"/>
                <w:szCs w:val="52"/>
              </w:rPr>
              <w:t>采购一体化</w:t>
            </w:r>
          </w:p>
        </w:tc>
      </w:tr>
      <w:tr>
        <w:tblPrEx>
          <w:tblBorders>
            <w:top w:val="none" w:color="auto" w:sz="0" w:space="0"/>
            <w:left w:val="none" w:color="auto" w:sz="0" w:space="0"/>
            <w:bottom w:val="single" w:color="000000" w:sz="12" w:space="0"/>
            <w:right w:val="none" w:color="auto" w:sz="0" w:space="0"/>
            <w:insideH w:val="single" w:color="000000" w:sz="12" w:space="0"/>
            <w:insideV w:val="none" w:color="auto" w:sz="0" w:space="0"/>
          </w:tblBorders>
          <w:tblCellMar>
            <w:top w:w="0" w:type="dxa"/>
            <w:left w:w="10" w:type="dxa"/>
            <w:bottom w:w="0" w:type="dxa"/>
            <w:right w:w="10" w:type="dxa"/>
          </w:tblCellMar>
        </w:tblPrEx>
        <w:trPr>
          <w:jc w:val="center"/>
        </w:trPr>
        <w:tc>
          <w:tcPr>
            <w:tcW w:w="7796" w:type="dxa"/>
            <w:noWrap w:val="0"/>
            <w:vAlign w:val="top"/>
          </w:tcPr>
          <w:p>
            <w:pPr>
              <w:ind w:firstLine="2088" w:firstLineChars="400"/>
              <w:rPr>
                <w:b/>
                <w:sz w:val="52"/>
                <w:szCs w:val="52"/>
                <w:u w:val="single"/>
              </w:rPr>
            </w:pPr>
            <w:r>
              <w:rPr>
                <w:rFonts w:hint="eastAsia"/>
                <w:b/>
                <w:sz w:val="52"/>
                <w:szCs w:val="52"/>
              </w:rPr>
              <w:t>系统用户手册</w:t>
            </w:r>
          </w:p>
        </w:tc>
      </w:tr>
    </w:tbl>
    <w:p>
      <w:pPr>
        <w:ind w:firstLine="3915" w:firstLineChars="750"/>
        <w:rPr>
          <w:b/>
          <w:sz w:val="52"/>
          <w:szCs w:val="52"/>
        </w:rPr>
      </w:pPr>
    </w:p>
    <w:p>
      <w:pPr>
        <w:ind w:firstLine="720"/>
        <w:jc w:val="center"/>
        <w:rPr>
          <w:sz w:val="36"/>
          <w:szCs w:val="36"/>
        </w:rPr>
      </w:pPr>
    </w:p>
    <w:p>
      <w:pPr>
        <w:ind w:firstLine="720"/>
        <w:jc w:val="center"/>
        <w:rPr>
          <w:sz w:val="36"/>
          <w:szCs w:val="36"/>
        </w:rPr>
      </w:pPr>
    </w:p>
    <w:p>
      <w:pPr>
        <w:widowControl/>
        <w:ind w:firstLine="720"/>
        <w:jc w:val="left"/>
        <w:rPr>
          <w:sz w:val="36"/>
          <w:szCs w:val="36"/>
        </w:rPr>
      </w:pPr>
    </w:p>
    <w:p>
      <w:pPr>
        <w:widowControl/>
        <w:ind w:firstLine="720"/>
        <w:jc w:val="left"/>
        <w:rPr>
          <w:sz w:val="36"/>
          <w:szCs w:val="36"/>
        </w:rPr>
      </w:pPr>
      <w:r>
        <w:rPr>
          <w:sz w:val="36"/>
          <w:szCs w:val="36"/>
        </w:rPr>
        <w:br w:type="page"/>
      </w:r>
    </w:p>
    <w:p>
      <w:pPr>
        <w:tabs>
          <w:tab w:val="left" w:pos="360"/>
        </w:tabs>
        <w:spacing w:before="120" w:after="120" w:line="360" w:lineRule="auto"/>
        <w:ind w:left="360" w:firstLine="562"/>
        <w:outlineLvl w:val="0"/>
        <w:rPr>
          <w:b/>
          <w:sz w:val="28"/>
          <w:szCs w:val="28"/>
        </w:rPr>
      </w:pPr>
      <w:bookmarkStart w:id="269" w:name="_Toc17669"/>
      <w:r>
        <w:rPr>
          <w:rFonts w:hint="eastAsia"/>
          <w:b/>
          <w:sz w:val="28"/>
          <w:szCs w:val="28"/>
        </w:rPr>
        <w:t>保密声明</w:t>
      </w:r>
      <w:bookmarkEnd w:id="269"/>
    </w:p>
    <w:p>
      <w:pPr>
        <w:spacing w:before="120" w:after="120" w:line="360" w:lineRule="auto"/>
        <w:ind w:left="210" w:leftChars="100" w:firstLine="440"/>
        <w:rPr>
          <w:rFonts w:hint="eastAsia" w:ascii="宋体" w:hAnsi="宋体" w:eastAsia="宋体" w:cs="宋体"/>
          <w:color w:val="auto"/>
          <w:sz w:val="24"/>
          <w:szCs w:val="24"/>
          <w:lang w:val="en-GB"/>
        </w:rPr>
      </w:pPr>
      <w:r>
        <w:rPr>
          <w:rFonts w:hint="eastAsia" w:ascii="宋体" w:hAnsi="宋体" w:eastAsia="宋体" w:cs="宋体"/>
          <w:color w:val="auto"/>
          <w:sz w:val="24"/>
          <w:szCs w:val="24"/>
          <w:lang w:val="en-GB"/>
        </w:rPr>
        <w:t>此文档包含了</w:t>
      </w:r>
      <w:r>
        <w:rPr>
          <w:rFonts w:hint="eastAsia" w:ascii="宋体" w:hAnsi="宋体" w:eastAsia="宋体" w:cs="宋体"/>
          <w:color w:val="auto"/>
          <w:sz w:val="24"/>
          <w:szCs w:val="24"/>
          <w:lang w:val="de-DE"/>
        </w:rPr>
        <w:t>中国重汽集团SRM采购一体化系统</w:t>
      </w:r>
      <w:r>
        <w:rPr>
          <w:rFonts w:hint="eastAsia" w:ascii="宋体" w:hAnsi="宋体" w:eastAsia="宋体" w:cs="宋体"/>
          <w:color w:val="auto"/>
          <w:sz w:val="24"/>
          <w:szCs w:val="24"/>
          <w:lang w:val="en-GB"/>
        </w:rPr>
        <w:t>的机密信息，其版权为</w:t>
      </w:r>
      <w:r>
        <w:rPr>
          <w:rFonts w:hint="eastAsia" w:ascii="宋体" w:hAnsi="宋体" w:eastAsia="宋体" w:cs="宋体"/>
          <w:color w:val="auto"/>
          <w:sz w:val="24"/>
          <w:szCs w:val="24"/>
          <w:lang w:val="de-DE"/>
        </w:rPr>
        <w:t>中国重汽集团数据工程中心</w:t>
      </w:r>
      <w:r>
        <w:rPr>
          <w:rFonts w:hint="eastAsia" w:ascii="宋体" w:hAnsi="宋体" w:eastAsia="宋体" w:cs="宋体"/>
          <w:color w:val="auto"/>
          <w:sz w:val="24"/>
          <w:szCs w:val="24"/>
          <w:lang w:val="en-GB"/>
        </w:rPr>
        <w:t>所有,并保留其所有解释权。在不限制版权许可的权利的情况下，未经</w:t>
      </w:r>
      <w:r>
        <w:rPr>
          <w:rFonts w:hint="eastAsia" w:ascii="宋体" w:hAnsi="宋体" w:eastAsia="宋体" w:cs="宋体"/>
          <w:color w:val="auto"/>
          <w:sz w:val="24"/>
          <w:szCs w:val="24"/>
          <w:lang w:val="de-DE"/>
        </w:rPr>
        <w:t>中国重汽集团数据工程中心</w:t>
      </w:r>
      <w:r>
        <w:rPr>
          <w:rFonts w:hint="eastAsia" w:ascii="宋体" w:hAnsi="宋体" w:eastAsia="宋体" w:cs="宋体"/>
          <w:color w:val="auto"/>
          <w:sz w:val="24"/>
          <w:szCs w:val="24"/>
          <w:lang w:val="en-GB"/>
        </w:rPr>
        <w:t>明确书面许可，不得出于任何目的、以任何形式或通过任何手段（电子、机械、复印、录制或其他方式）复制本文档的任何部分或将其存储或引入到检索系统中或进行传播。</w:t>
      </w:r>
    </w:p>
    <w:p>
      <w:pPr>
        <w:widowControl/>
        <w:jc w:val="left"/>
        <w:rPr>
          <w:b/>
          <w:sz w:val="28"/>
          <w:szCs w:val="28"/>
        </w:rPr>
      </w:pPr>
    </w:p>
    <w:p>
      <w:pPr>
        <w:widowControl/>
        <w:jc w:val="left"/>
        <w:rPr>
          <w:b/>
          <w:sz w:val="28"/>
          <w:szCs w:val="28"/>
        </w:rPr>
      </w:pPr>
    </w:p>
    <w:p>
      <w:pPr>
        <w:widowControl/>
        <w:spacing w:line="480" w:lineRule="exact"/>
        <w:ind w:firstLine="560"/>
        <w:rPr>
          <w:rFonts w:ascii="仿宋" w:hAnsi="仿宋" w:eastAsia="仿宋" w:cs="仿宋"/>
          <w:sz w:val="28"/>
          <w:szCs w:val="28"/>
          <w:highlight w:val="yellow"/>
          <w:lang w:bidi="ar"/>
        </w:rPr>
      </w:pPr>
      <w:r>
        <w:rPr>
          <w:rFonts w:hint="eastAsia" w:ascii="仿宋" w:hAnsi="仿宋" w:eastAsia="仿宋" w:cs="仿宋"/>
          <w:sz w:val="28"/>
          <w:szCs w:val="28"/>
          <w:highlight w:val="yellow"/>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highlight w:val="yellow"/>
          <w:lang w:bidi="ar"/>
        </w:rPr>
        <w:t>http</w:t>
      </w:r>
      <w:r>
        <w:rPr>
          <w:rFonts w:hint="eastAsia" w:ascii="仿宋" w:hAnsi="仿宋" w:eastAsia="仿宋" w:cs="仿宋"/>
          <w:sz w:val="28"/>
          <w:szCs w:val="28"/>
          <w:highlight w:val="yellow"/>
          <w:lang w:val="en-US" w:eastAsia="zh-CN" w:bidi="ar"/>
        </w:rPr>
        <w:t>s</w:t>
      </w:r>
      <w:r>
        <w:rPr>
          <w:rFonts w:ascii="仿宋" w:hAnsi="仿宋" w:eastAsia="仿宋" w:cs="仿宋"/>
          <w:sz w:val="28"/>
          <w:szCs w:val="28"/>
          <w:highlight w:val="yellow"/>
          <w:lang w:bidi="ar"/>
        </w:rPr>
        <w:t>://ecaitong.sinotruk.com:8012/</w:t>
      </w:r>
      <w:r>
        <w:rPr>
          <w:rFonts w:ascii="仿宋" w:hAnsi="仿宋" w:eastAsia="仿宋" w:cs="仿宋"/>
          <w:sz w:val="28"/>
          <w:szCs w:val="28"/>
          <w:highlight w:val="yellow"/>
          <w:lang w:bidi="ar"/>
        </w:rPr>
        <w:fldChar w:fldCharType="end"/>
      </w:r>
    </w:p>
    <w:p>
      <w:pPr>
        <w:widowControl/>
        <w:spacing w:line="480" w:lineRule="exact"/>
        <w:ind w:firstLine="560"/>
        <w:rPr>
          <w:rFonts w:ascii="仿宋" w:hAnsi="仿宋" w:eastAsia="仿宋" w:cs="仿宋"/>
          <w:sz w:val="28"/>
          <w:szCs w:val="28"/>
          <w:highlight w:val="yellow"/>
          <w:lang w:bidi="ar"/>
        </w:rPr>
      </w:pPr>
      <w:r>
        <w:rPr>
          <w:rFonts w:hint="eastAsia" w:ascii="仿宋" w:hAnsi="仿宋" w:eastAsia="仿宋" w:cs="仿宋"/>
          <w:sz w:val="28"/>
          <w:szCs w:val="28"/>
          <w:highlight w:val="yellow"/>
          <w:lang w:bidi="ar"/>
        </w:rPr>
        <w:t>用 户 名：g</w:t>
      </w:r>
      <w:r>
        <w:rPr>
          <w:rFonts w:ascii="仿宋" w:hAnsi="仿宋" w:eastAsia="仿宋" w:cs="仿宋"/>
          <w:sz w:val="28"/>
          <w:szCs w:val="28"/>
          <w:highlight w:val="yellow"/>
          <w:lang w:bidi="ar"/>
        </w:rPr>
        <w:t>ys+</w:t>
      </w:r>
      <w:r>
        <w:rPr>
          <w:rFonts w:hint="eastAsia" w:ascii="仿宋" w:hAnsi="仿宋" w:eastAsia="仿宋" w:cs="仿宋"/>
          <w:sz w:val="28"/>
          <w:szCs w:val="28"/>
          <w:highlight w:val="yellow"/>
          <w:lang w:bidi="ar"/>
        </w:rPr>
        <w:t>供应商代码</w:t>
      </w:r>
    </w:p>
    <w:p>
      <w:pPr>
        <w:widowControl/>
        <w:spacing w:line="480" w:lineRule="exact"/>
        <w:ind w:firstLine="560"/>
        <w:rPr>
          <w:rFonts w:hint="eastAsia" w:ascii="仿宋" w:hAnsi="仿宋" w:eastAsia="仿宋" w:cs="仿宋"/>
          <w:sz w:val="28"/>
          <w:szCs w:val="28"/>
          <w:lang w:val="en-US" w:eastAsia="zh-CN" w:bidi="ar"/>
        </w:rPr>
      </w:pPr>
      <w:r>
        <w:rPr>
          <w:rFonts w:hint="eastAsia" w:ascii="仿宋" w:hAnsi="仿宋" w:eastAsia="仿宋" w:cs="仿宋"/>
          <w:sz w:val="28"/>
          <w:szCs w:val="28"/>
          <w:highlight w:val="yellow"/>
          <w:lang w:bidi="ar"/>
        </w:rPr>
        <w:t>初始密码：scm</w:t>
      </w:r>
      <w:r>
        <w:rPr>
          <w:rFonts w:ascii="仿宋" w:hAnsi="仿宋" w:eastAsia="仿宋" w:cs="仿宋"/>
          <w:sz w:val="28"/>
          <w:szCs w:val="28"/>
          <w:highlight w:val="yellow"/>
          <w:lang w:bidi="ar"/>
        </w:rPr>
        <w:t>@202</w:t>
      </w:r>
      <w:r>
        <w:rPr>
          <w:rFonts w:hint="eastAsia" w:ascii="仿宋" w:hAnsi="仿宋" w:eastAsia="仿宋" w:cs="仿宋"/>
          <w:sz w:val="28"/>
          <w:szCs w:val="28"/>
          <w:highlight w:val="yellow"/>
          <w:lang w:val="en-US" w:eastAsia="zh-CN" w:bidi="ar"/>
        </w:rPr>
        <w:t>2</w:t>
      </w:r>
    </w:p>
    <w:p>
      <w:pPr>
        <w:widowControl/>
        <w:spacing w:line="480" w:lineRule="exact"/>
        <w:ind w:firstLine="560"/>
        <w:rPr>
          <w:rFonts w:ascii="仿宋" w:hAnsi="仿宋" w:eastAsia="仿宋" w:cs="仿宋"/>
          <w:sz w:val="28"/>
          <w:szCs w:val="28"/>
          <w:lang w:bidi="ar"/>
        </w:rPr>
      </w:pPr>
    </w:p>
    <w:p>
      <w:bookmarkStart w:id="270" w:name="_Toc77337714"/>
      <w:bookmarkEnd w:id="270"/>
      <w:bookmarkStart w:id="271" w:name="_Toc77337624"/>
      <w:bookmarkEnd w:id="271"/>
      <w:bookmarkStart w:id="272" w:name="_Toc77752841"/>
      <w:bookmarkEnd w:id="272"/>
      <w:bookmarkStart w:id="273" w:name="_Toc77952823"/>
      <w:bookmarkEnd w:id="273"/>
      <w:bookmarkStart w:id="274" w:name="_Toc111214275"/>
      <w:bookmarkEnd w:id="274"/>
      <w:bookmarkStart w:id="275" w:name="_Toc522005584"/>
      <w:bookmarkEnd w:id="275"/>
      <w:bookmarkStart w:id="276" w:name="_Toc77336609"/>
      <w:bookmarkEnd w:id="276"/>
      <w:bookmarkStart w:id="277" w:name="_Toc77336402"/>
      <w:bookmarkEnd w:id="277"/>
      <w:bookmarkStart w:id="278" w:name="_Toc77754747"/>
      <w:bookmarkEnd w:id="278"/>
      <w:bookmarkStart w:id="279" w:name="_Toc77693130"/>
      <w:bookmarkEnd w:id="279"/>
      <w:bookmarkStart w:id="280" w:name="_Toc521919763"/>
      <w:bookmarkEnd w:id="280"/>
      <w:bookmarkStart w:id="281" w:name="_Toc77336328"/>
      <w:bookmarkEnd w:id="281"/>
      <w:bookmarkStart w:id="282" w:name="_Toc77754138"/>
      <w:bookmarkEnd w:id="282"/>
    </w:p>
    <w:p>
      <w:pPr>
        <w:pStyle w:val="5"/>
        <w:outlineLvl w:val="9"/>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5"/>
      </w:pPr>
      <w:r>
        <w:rPr>
          <w:rFonts w:hint="eastAsia"/>
        </w:rPr>
        <w:t>供应商应标</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路径：招投标中心-非生产类招投标-供应商应标</w:t>
      </w:r>
    </w:p>
    <w:p>
      <w:pPr>
        <w:rPr>
          <w:rFonts w:hint="eastAsia" w:ascii="宋体" w:hAnsi="宋体" w:eastAsia="宋体" w:cs="宋体"/>
          <w:sz w:val="28"/>
          <w:szCs w:val="28"/>
        </w:rPr>
      </w:pPr>
      <w:r>
        <w:rPr>
          <w:rFonts w:hint="eastAsia" w:ascii="宋体" w:hAnsi="宋体" w:eastAsia="宋体" w:cs="宋体"/>
          <w:sz w:val="28"/>
          <w:szCs w:val="28"/>
        </w:rPr>
        <w:t>点击应标，上传文件之后点击提交。</w:t>
      </w:r>
    </w:p>
    <w:p>
      <w:r>
        <w:drawing>
          <wp:inline distT="0" distB="0" distL="114300" distR="114300">
            <wp:extent cx="5751830" cy="2267585"/>
            <wp:effectExtent l="0" t="0" r="127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751830" cy="2267585"/>
                    </a:xfrm>
                    <a:prstGeom prst="rect">
                      <a:avLst/>
                    </a:prstGeom>
                    <a:noFill/>
                    <a:ln>
                      <a:noFill/>
                    </a:ln>
                  </pic:spPr>
                </pic:pic>
              </a:graphicData>
            </a:graphic>
          </wp:inline>
        </w:drawing>
      </w:r>
    </w:p>
    <w:p>
      <w:pPr>
        <w:rPr>
          <w:rFonts w:hint="eastAsia"/>
          <w:color w:val="FF0000"/>
          <w:sz w:val="28"/>
          <w:szCs w:val="28"/>
          <w:lang w:val="en-US" w:eastAsia="zh-CN"/>
        </w:rPr>
      </w:pPr>
      <w:r>
        <w:rPr>
          <w:rFonts w:hint="eastAsia"/>
          <w:color w:val="FF0000"/>
          <w:sz w:val="28"/>
          <w:szCs w:val="28"/>
          <w:lang w:val="en-US" w:eastAsia="zh-CN"/>
        </w:rPr>
        <w:t>注意：此处如果出现“请到供应商基本信息界面，编辑补充提供财务数据再参与招投标！”提示，则说明供应商基本信息缺失财务数据，重汽财务部门和采购中心要求</w:t>
      </w:r>
      <w:r>
        <w:rPr>
          <w:rFonts w:hint="eastAsia"/>
          <w:color w:val="FF0000"/>
          <w:sz w:val="28"/>
          <w:szCs w:val="28"/>
          <w:highlight w:val="none"/>
          <w:lang w:val="en-US" w:eastAsia="zh-CN"/>
        </w:rPr>
        <w:t>必须提供财务数据才可以参与招标</w:t>
      </w:r>
      <w:r>
        <w:rPr>
          <w:rFonts w:hint="eastAsia"/>
          <w:color w:val="FF0000"/>
          <w:sz w:val="28"/>
          <w:szCs w:val="28"/>
          <w:lang w:val="en-US" w:eastAsia="zh-CN"/>
        </w:rPr>
        <w:t>（极特殊情况无法提供财务数据的请联系采购中心李晓斌+86-17860603455  ），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按要求填写财务数据，财务数据除长期借款、短期借款、对外担保金额可以为0其他数据不允许为空，全部信息补充完整（上面其他的名称、地址、等等其他数据不变更不需要填写）之后选择采购工程师提交，经过审批后后才可以参与招标。</w:t>
      </w:r>
    </w:p>
    <w:p>
      <w:pPr>
        <w:ind w:firstLine="560" w:firstLineChars="200"/>
        <w:rPr>
          <w:rFonts w:hint="eastAsia"/>
          <w:color w:val="FF0000"/>
          <w:sz w:val="28"/>
          <w:szCs w:val="28"/>
          <w:lang w:val="en-US" w:eastAsia="zh-CN"/>
        </w:rPr>
      </w:pPr>
      <w:r>
        <w:rPr>
          <w:rFonts w:hint="eastAsia"/>
          <w:color w:val="FF0000"/>
          <w:sz w:val="28"/>
          <w:szCs w:val="28"/>
          <w:lang w:val="en-US" w:eastAsia="zh-CN"/>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73065" cy="2298700"/>
            <wp:effectExtent l="0" t="0" r="1333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5473065" cy="2298700"/>
                    </a:xfrm>
                    <a:prstGeom prst="rect">
                      <a:avLst/>
                    </a:prstGeom>
                    <a:noFill/>
                    <a:ln>
                      <a:noFill/>
                    </a:ln>
                  </pic:spPr>
                </pic:pic>
              </a:graphicData>
            </a:graphic>
          </wp:inline>
        </w:drawing>
      </w:r>
    </w:p>
    <w:p>
      <w:pPr>
        <w:rPr>
          <w:rFonts w:hint="default"/>
          <w:lang w:val="en-US" w:eastAsia="zh-CN"/>
        </w:rPr>
      </w:pPr>
      <w:r>
        <w:drawing>
          <wp:inline distT="0" distB="0" distL="114300" distR="114300">
            <wp:extent cx="5471795" cy="3282950"/>
            <wp:effectExtent l="0" t="0" r="1460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a:stretch>
                      <a:fillRect/>
                    </a:stretch>
                  </pic:blipFill>
                  <pic:spPr>
                    <a:xfrm>
                      <a:off x="0" y="0"/>
                      <a:ext cx="5471795" cy="3282950"/>
                    </a:xfrm>
                    <a:prstGeom prst="rect">
                      <a:avLst/>
                    </a:prstGeom>
                    <a:noFill/>
                    <a:ln>
                      <a:noFill/>
                    </a:ln>
                  </pic:spPr>
                </pic:pic>
              </a:graphicData>
            </a:graphic>
          </wp:inline>
        </w:drawing>
      </w:r>
      <w:r>
        <w:drawing>
          <wp:inline distT="0" distB="0" distL="114300" distR="114300">
            <wp:extent cx="5746750" cy="1341755"/>
            <wp:effectExtent l="0" t="0" r="6350"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5746750" cy="1341755"/>
                    </a:xfrm>
                    <a:prstGeom prst="rect">
                      <a:avLst/>
                    </a:prstGeom>
                    <a:noFill/>
                    <a:ln>
                      <a:noFill/>
                    </a:ln>
                  </pic:spPr>
                </pic:pic>
              </a:graphicData>
            </a:graphic>
          </wp:inline>
        </w:drawing>
      </w:r>
      <w:r>
        <w:drawing>
          <wp:inline distT="0" distB="0" distL="114300" distR="114300">
            <wp:extent cx="5751195" cy="2925445"/>
            <wp:effectExtent l="0" t="0" r="1905" b="825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6"/>
                    <a:stretch>
                      <a:fillRect/>
                    </a:stretch>
                  </pic:blipFill>
                  <pic:spPr>
                    <a:xfrm>
                      <a:off x="0" y="0"/>
                      <a:ext cx="5751195" cy="2925445"/>
                    </a:xfrm>
                    <a:prstGeom prst="rect">
                      <a:avLst/>
                    </a:prstGeom>
                    <a:noFill/>
                    <a:ln>
                      <a:noFill/>
                    </a:ln>
                  </pic:spPr>
                </pic:pic>
              </a:graphicData>
            </a:graphic>
          </wp:inline>
        </w:drawing>
      </w:r>
      <w:r>
        <w:drawing>
          <wp:inline distT="0" distB="0" distL="114300" distR="114300">
            <wp:extent cx="5746115" cy="3126105"/>
            <wp:effectExtent l="0" t="0" r="6985" b="171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5746115" cy="3126105"/>
                    </a:xfrm>
                    <a:prstGeom prst="rect">
                      <a:avLst/>
                    </a:prstGeom>
                    <a:noFill/>
                    <a:ln>
                      <a:noFill/>
                    </a:ln>
                  </pic:spPr>
                </pic:pic>
              </a:graphicData>
            </a:graphic>
          </wp:inline>
        </w:drawing>
      </w:r>
    </w:p>
    <w:p/>
    <w:p>
      <w:pPr>
        <w:pStyle w:val="5"/>
      </w:pPr>
      <w:r>
        <w:rPr>
          <w:rFonts w:hint="eastAsia"/>
        </w:rPr>
        <w:t>供应商投标</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路径：招投标中心-非生产类招投标-供应商投标</w:t>
      </w:r>
    </w:p>
    <w:p>
      <w:r>
        <w:drawing>
          <wp:inline distT="0" distB="0" distL="114300" distR="114300">
            <wp:extent cx="5750560" cy="2118360"/>
            <wp:effectExtent l="0" t="0" r="2540"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8"/>
                    <a:stretch>
                      <a:fillRect/>
                    </a:stretch>
                  </pic:blipFill>
                  <pic:spPr>
                    <a:xfrm>
                      <a:off x="0" y="0"/>
                      <a:ext cx="5750560" cy="2118360"/>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点击投标按钮，进入详情页，输入投标报价并上传相应的附件。</w:t>
      </w:r>
    </w:p>
    <w:p>
      <w:pPr>
        <w:rPr>
          <w:b/>
          <w:bCs/>
        </w:rPr>
      </w:pPr>
      <w:r>
        <w:rPr>
          <w:rFonts w:hint="eastAsia"/>
          <w:b/>
          <w:bCs/>
          <w:highlight w:val="yellow"/>
        </w:rPr>
        <w:t>请注意，投标报价单位为万元含税</w:t>
      </w:r>
    </w:p>
    <w:p>
      <w:r>
        <w:drawing>
          <wp:inline distT="0" distB="0" distL="114300" distR="114300">
            <wp:extent cx="5752465" cy="2797175"/>
            <wp:effectExtent l="0" t="0" r="63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9"/>
                    <a:stretch>
                      <a:fillRect/>
                    </a:stretch>
                  </pic:blipFill>
                  <pic:spPr>
                    <a:xfrm>
                      <a:off x="0" y="0"/>
                      <a:ext cx="5752465" cy="2797175"/>
                    </a:xfrm>
                    <a:prstGeom prst="rect">
                      <a:avLst/>
                    </a:prstGeom>
                    <a:noFill/>
                    <a:ln>
                      <a:noFill/>
                    </a:ln>
                  </pic:spPr>
                </pic:pic>
              </a:graphicData>
            </a:graphic>
          </wp:inline>
        </w:drawing>
      </w:r>
    </w:p>
    <w:p>
      <w:pPr>
        <w:pStyle w:val="5"/>
      </w:pPr>
      <w:bookmarkStart w:id="283" w:name="_Hlk128316797"/>
      <w:r>
        <w:rPr>
          <w:rFonts w:hint="eastAsia"/>
        </w:rPr>
        <w:t>供应商技术标澄清函</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路径：招投标中心-非生产类招投标-供应商技术标澄清函</w:t>
      </w:r>
    </w:p>
    <w:p>
      <w:pPr>
        <w:rPr>
          <w:rFonts w:hint="eastAsia" w:ascii="宋体" w:hAnsi="宋体" w:eastAsia="宋体" w:cs="宋体"/>
          <w:sz w:val="28"/>
          <w:szCs w:val="28"/>
        </w:rPr>
      </w:pPr>
      <w:r>
        <w:rPr>
          <w:rFonts w:hint="eastAsia" w:ascii="宋体" w:hAnsi="宋体" w:eastAsia="宋体" w:cs="宋体"/>
          <w:sz w:val="28"/>
          <w:szCs w:val="28"/>
        </w:rPr>
        <w:t>点击编辑按钮进入系统，技术标澄清函。</w:t>
      </w:r>
    </w:p>
    <w:p>
      <w:pPr>
        <w:rPr>
          <w:rFonts w:hint="eastAsia" w:ascii="宋体" w:hAnsi="宋体" w:eastAsia="宋体" w:cs="宋体"/>
          <w:sz w:val="28"/>
          <w:szCs w:val="28"/>
        </w:rPr>
      </w:pPr>
      <w:r>
        <w:rPr>
          <w:rFonts w:hint="eastAsia" w:ascii="宋体" w:hAnsi="宋体" w:eastAsia="宋体" w:cs="宋体"/>
          <w:sz w:val="28"/>
          <w:szCs w:val="28"/>
        </w:rPr>
        <w:t>开标之后所有投标的供应商都可编辑提交，技术标入围之后</w:t>
      </w:r>
      <w:r>
        <w:rPr>
          <w:rFonts w:hint="eastAsia" w:ascii="宋体" w:hAnsi="宋体" w:eastAsia="宋体" w:cs="宋体"/>
          <w:sz w:val="28"/>
          <w:szCs w:val="28"/>
          <w:lang w:eastAsia="zh-CN"/>
        </w:rPr>
        <w:t>，</w:t>
      </w:r>
      <w:r>
        <w:rPr>
          <w:rFonts w:hint="eastAsia" w:ascii="宋体" w:hAnsi="宋体" w:eastAsia="宋体" w:cs="宋体"/>
          <w:sz w:val="28"/>
          <w:szCs w:val="28"/>
        </w:rPr>
        <w:t>都不可编辑</w:t>
      </w:r>
    </w:p>
    <w:p>
      <w:r>
        <w:drawing>
          <wp:inline distT="0" distB="0" distL="114300" distR="114300">
            <wp:extent cx="5759450" cy="2669540"/>
            <wp:effectExtent l="0" t="0" r="12700" b="16510"/>
            <wp:docPr id="15" name="图片 9"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图形用户界面, 文本, 信件&#10;&#10;描述已自动生成"/>
                    <pic:cNvPicPr>
                      <a:picLocks noChangeAspect="1"/>
                    </pic:cNvPicPr>
                  </pic:nvPicPr>
                  <pic:blipFill>
                    <a:blip r:embed="rId30"/>
                    <a:stretch>
                      <a:fillRect/>
                    </a:stretch>
                  </pic:blipFill>
                  <pic:spPr>
                    <a:xfrm>
                      <a:off x="0" y="0"/>
                      <a:ext cx="5759450" cy="2669540"/>
                    </a:xfrm>
                    <a:prstGeom prst="rect">
                      <a:avLst/>
                    </a:prstGeom>
                    <a:noFill/>
                    <a:ln>
                      <a:noFill/>
                    </a:ln>
                  </pic:spPr>
                </pic:pic>
              </a:graphicData>
            </a:graphic>
          </wp:inline>
        </w:drawing>
      </w:r>
    </w:p>
    <w:p/>
    <w:bookmarkEnd w:id="283"/>
    <w:p>
      <w:pPr>
        <w:pStyle w:val="5"/>
      </w:pPr>
      <w:r>
        <w:rPr>
          <w:rFonts w:hint="eastAsia"/>
        </w:rPr>
        <w:t>供应商报价</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路径：招投标中心-非生产类招投标-供应商报价</w:t>
      </w:r>
    </w:p>
    <w:p>
      <w:pPr>
        <w:rPr>
          <w:rFonts w:hint="eastAsia" w:ascii="宋体" w:hAnsi="宋体" w:eastAsia="宋体" w:cs="宋体"/>
          <w:sz w:val="28"/>
          <w:szCs w:val="28"/>
        </w:rPr>
      </w:pPr>
      <w:r>
        <w:rPr>
          <w:rFonts w:hint="eastAsia" w:ascii="宋体" w:hAnsi="宋体" w:eastAsia="宋体" w:cs="宋体"/>
          <w:sz w:val="28"/>
          <w:szCs w:val="28"/>
        </w:rPr>
        <w:t>点击报价按钮进入报价详情界面，请在此轮报价起止时间内报价并输入澄清函，否则无法报价。</w:t>
      </w:r>
    </w:p>
    <w:p>
      <w:pPr>
        <w:rPr>
          <w:b/>
          <w:bCs/>
        </w:rPr>
      </w:pPr>
      <w:r>
        <w:rPr>
          <w:rFonts w:hint="eastAsia"/>
          <w:b/>
          <w:bCs/>
          <w:highlight w:val="yellow"/>
        </w:rPr>
        <w:t>请注意，报价单位为万元含税</w:t>
      </w:r>
    </w:p>
    <w:p>
      <w:pPr>
        <w:rPr>
          <w:rFonts w:hint="eastAsia"/>
          <w:b/>
          <w:bCs/>
        </w:rPr>
      </w:pPr>
    </w:p>
    <w:p>
      <w:pPr>
        <w:rPr>
          <w:b/>
          <w:bCs/>
        </w:rPr>
      </w:pPr>
      <w:r>
        <w:drawing>
          <wp:inline distT="0" distB="0" distL="114300" distR="114300">
            <wp:extent cx="5759450" cy="2936240"/>
            <wp:effectExtent l="0" t="0" r="12700" b="16510"/>
            <wp:docPr id="16" name="图片 10"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图形用户界面, 文本&#10;&#10;描述已自动生成"/>
                    <pic:cNvPicPr>
                      <a:picLocks noChangeAspect="1"/>
                    </pic:cNvPicPr>
                  </pic:nvPicPr>
                  <pic:blipFill>
                    <a:blip r:embed="rId31"/>
                    <a:stretch>
                      <a:fillRect/>
                    </a:stretch>
                  </pic:blipFill>
                  <pic:spPr>
                    <a:xfrm>
                      <a:off x="0" y="0"/>
                      <a:ext cx="5759450" cy="2936240"/>
                    </a:xfrm>
                    <a:prstGeom prst="rect">
                      <a:avLst/>
                    </a:prstGeom>
                    <a:noFill/>
                    <a:ln>
                      <a:noFill/>
                    </a:ln>
                  </pic:spPr>
                </pic:pic>
              </a:graphicData>
            </a:graphic>
          </wp:inline>
        </w:drawing>
      </w:r>
    </w:p>
    <w:p>
      <w:pPr>
        <w:rPr>
          <w:rFonts w:hint="eastAsia"/>
          <w:b/>
          <w:bCs/>
        </w:rPr>
      </w:pPr>
    </w:p>
    <w:p>
      <w:pPr>
        <w:pStyle w:val="5"/>
      </w:pPr>
      <w:r>
        <w:rPr>
          <w:rFonts w:hint="eastAsia"/>
        </w:rPr>
        <w:t>供应商澄清报价</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路径：招投标中心-非生产类招投标-供应商澄清报价</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招标发起人接收建议价的同时会给供应商发送澄清报价，供应商在此界面进行澄清报价，点击编辑按钮进入澄清报价详细界面，输入价格并上传澄清函，之后点击提交。</w:t>
      </w:r>
    </w:p>
    <w:p>
      <w:r>
        <w:drawing>
          <wp:inline distT="0" distB="0" distL="114300" distR="114300">
            <wp:extent cx="5759450" cy="2671445"/>
            <wp:effectExtent l="0" t="0" r="12700" b="14605"/>
            <wp:docPr id="17"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形用户界面, 文本, 应用程序, 电子邮件&#10;&#10;描述已自动生成"/>
                    <pic:cNvPicPr>
                      <a:picLocks noChangeAspect="1"/>
                    </pic:cNvPicPr>
                  </pic:nvPicPr>
                  <pic:blipFill>
                    <a:blip r:embed="rId32"/>
                    <a:stretch>
                      <a:fillRect/>
                    </a:stretch>
                  </pic:blipFill>
                  <pic:spPr>
                    <a:xfrm>
                      <a:off x="0" y="0"/>
                      <a:ext cx="5759450" cy="2671445"/>
                    </a:xfrm>
                    <a:prstGeom prst="rect">
                      <a:avLst/>
                    </a:prstGeom>
                    <a:noFill/>
                    <a:ln>
                      <a:noFill/>
                    </a:ln>
                  </pic:spPr>
                </pic:pic>
              </a:graphicData>
            </a:graphic>
          </wp:inline>
        </w:drawing>
      </w:r>
    </w:p>
    <w:p>
      <w:pPr>
        <w:pStyle w:val="5"/>
      </w:pPr>
      <w:r>
        <w:rPr>
          <w:rFonts w:hint="eastAsia"/>
        </w:rPr>
        <w:t>供应商查看中标通知</w:t>
      </w:r>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路径：招投标中心-非生产类招投标-中标项目</w:t>
      </w:r>
    </w:p>
    <w:p>
      <w:pPr>
        <w:rPr>
          <w:rFonts w:hint="eastAsia" w:ascii="宋体" w:hAnsi="宋体" w:eastAsia="宋体" w:cs="宋体"/>
          <w:sz w:val="28"/>
          <w:szCs w:val="28"/>
        </w:rPr>
      </w:pPr>
      <w:r>
        <w:rPr>
          <w:rFonts w:hint="eastAsia" w:ascii="宋体" w:hAnsi="宋体" w:eastAsia="宋体" w:cs="宋体"/>
          <w:sz w:val="28"/>
          <w:szCs w:val="28"/>
        </w:rPr>
        <w:t>点击查看进入查看中标项目详情</w:t>
      </w:r>
    </w:p>
    <w:p>
      <w:r>
        <w:drawing>
          <wp:inline distT="0" distB="0" distL="114300" distR="114300">
            <wp:extent cx="5759450" cy="2366010"/>
            <wp:effectExtent l="0" t="0" r="12700" b="15240"/>
            <wp:docPr id="18"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图形用户界面, 文本, 应用程序&#10;&#10;描述已自动生成"/>
                    <pic:cNvPicPr>
                      <a:picLocks noChangeAspect="1"/>
                    </pic:cNvPicPr>
                  </pic:nvPicPr>
                  <pic:blipFill>
                    <a:blip r:embed="rId33"/>
                    <a:stretch>
                      <a:fillRect/>
                    </a:stretch>
                  </pic:blipFill>
                  <pic:spPr>
                    <a:xfrm>
                      <a:off x="0" y="0"/>
                      <a:ext cx="5759450" cy="2366010"/>
                    </a:xfrm>
                    <a:prstGeom prst="rect">
                      <a:avLst/>
                    </a:prstGeom>
                    <a:noFill/>
                    <a:ln>
                      <a:noFill/>
                    </a:ln>
                  </pic:spPr>
                </pic:pic>
              </a:graphicData>
            </a:graphic>
          </wp:inline>
        </w:drawing>
      </w:r>
    </w:p>
    <w:p>
      <w:pPr>
        <w:rPr>
          <w:rFonts w:hint="eastAsia"/>
        </w:rPr>
      </w:pPr>
      <w:r>
        <w:drawing>
          <wp:inline distT="0" distB="0" distL="114300" distR="114300">
            <wp:extent cx="5759450" cy="2494915"/>
            <wp:effectExtent l="0" t="0" r="12700"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4"/>
                    <a:stretch>
                      <a:fillRect/>
                    </a:stretch>
                  </pic:blipFill>
                  <pic:spPr>
                    <a:xfrm>
                      <a:off x="0" y="0"/>
                      <a:ext cx="5759450" cy="2494915"/>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点击查看按钮查看中标通知，点击发送按钮给项目负责人发送回执，发送回执之后回执发送状态变为已发送。</w:t>
      </w:r>
    </w:p>
    <w:p/>
    <w:p/>
    <w:p>
      <w:pPr>
        <w:pStyle w:val="5"/>
      </w:pPr>
      <w:r>
        <w:rPr>
          <w:rFonts w:hint="eastAsia"/>
        </w:rPr>
        <w:t>评标纪律</w:t>
      </w:r>
    </w:p>
    <w:p/>
    <w:p>
      <w:pPr>
        <w:rPr>
          <w:rFonts w:hint="eastAsia" w:ascii="宋体" w:hAnsi="宋体" w:eastAsia="宋体" w:cs="宋体"/>
          <w:sz w:val="28"/>
          <w:szCs w:val="28"/>
        </w:rPr>
      </w:pPr>
      <w:r>
        <w:rPr>
          <w:rFonts w:hint="eastAsia" w:ascii="宋体" w:hAnsi="宋体" w:eastAsia="宋体" w:cs="宋体"/>
          <w:sz w:val="28"/>
          <w:szCs w:val="28"/>
        </w:rPr>
        <w:t>路径：招投标中心-非生产类招投标-供应商投标</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供应商投标时会弹窗展示评标纪律，要求供应商勾选我已阅知并保证遵守评标记录之后点击确定按钮进入投标界面。</w:t>
      </w:r>
    </w:p>
    <w:p>
      <w:r>
        <w:drawing>
          <wp:inline distT="0" distB="0" distL="114300" distR="114300">
            <wp:extent cx="5759450" cy="6294120"/>
            <wp:effectExtent l="0" t="0" r="12700" b="11430"/>
            <wp:docPr id="20"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图形用户界面, 文本, 应用程序&#10;&#10;描述已自动生成"/>
                    <pic:cNvPicPr>
                      <a:picLocks noChangeAspect="1"/>
                    </pic:cNvPicPr>
                  </pic:nvPicPr>
                  <pic:blipFill>
                    <a:blip r:embed="rId35"/>
                    <a:stretch>
                      <a:fillRect/>
                    </a:stretch>
                  </pic:blipFill>
                  <pic:spPr>
                    <a:xfrm>
                      <a:off x="0" y="0"/>
                      <a:ext cx="5759450" cy="6294120"/>
                    </a:xfrm>
                    <a:prstGeom prst="rect">
                      <a:avLst/>
                    </a:prstGeom>
                    <a:noFill/>
                    <a:ln>
                      <a:noFill/>
                    </a:ln>
                  </pic:spPr>
                </pic:pic>
              </a:graphicData>
            </a:graphic>
          </wp:inline>
        </w:drawing>
      </w:r>
    </w:p>
    <w:sectPr>
      <w:headerReference r:id="rId18" w:type="first"/>
      <w:headerReference r:id="rId16" w:type="default"/>
      <w:footerReference r:id="rId19" w:type="default"/>
      <w:headerReference r:id="rId17" w:type="even"/>
      <w:pgSz w:w="11906" w:h="16838"/>
      <w:pgMar w:top="1440" w:right="1800" w:bottom="1440" w:left="1800" w:header="851" w:footer="119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3275748"/>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826854"/>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9728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0972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r>
                            <w:rPr>
                              <w:rFonts w:hint="eastAsia"/>
                            </w:rPr>
                            <w:t xml:space="preserve"> 页 共 </w:t>
                          </w:r>
                          <w:r>
                            <w:fldChar w:fldCharType="begin"/>
                          </w:r>
                          <w:r>
                            <w:instrText xml:space="preserve">=</w:instrText>
                          </w:r>
                          <w:r>
                            <w:fldChar w:fldCharType="begin"/>
                          </w:r>
                          <w:r>
                            <w:instrText xml:space="preserve"> NUMPAGES  \* MERGEFORMAT </w:instrText>
                          </w:r>
                          <w:r>
                            <w:fldChar w:fldCharType="separate"/>
                          </w:r>
                          <w:r>
                            <w:instrText xml:space="preserve">104</w:instrText>
                          </w:r>
                          <w:r>
                            <w:fldChar w:fldCharType="end"/>
                          </w:r>
                          <w:r>
                            <w:instrText xml:space="preserve">-1</w:instrText>
                          </w:r>
                          <w:r>
                            <w:fldChar w:fldCharType="separate"/>
                          </w:r>
                          <w:r>
                            <w:t>103</w:t>
                          </w:r>
                          <w:r>
                            <w:fldChar w:fldCharType="end"/>
                          </w:r>
                          <w:r>
                            <w:rPr>
                              <w:rFonts w:hint="eastAsia"/>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6.4pt;mso-position-horizontal:center;mso-position-horizontal-relative:margin;z-index:251661312;mso-width-relative:page;mso-height-relative:page;" filled="f" stroked="f" coordsize="21600,21600" o:gfxdata="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PvJDTAAAABQEAAA8AAAAAAAAAAQAgAAAAIgAAAGRycy9kb3ducmV2LnhtbFBL&#10;AQIUABQAAAAIAIdO4kDfc+FvNAIAAFcEAAAOAAAAAAAAAAEAIAAAACIBAABkcnMvZTJvRG9jLnht&#10;bFBLBQYAAAAABgAGAFkBAADIBQAAAAA=&#10;">
              <v:fill on="f" focussize="0,0"/>
              <v:stroke on="f" weight="0.5pt"/>
              <v:imagedata o:title=""/>
              <o:lock v:ext="edit" aspectratio="f"/>
              <v:textbox inset="0mm,0mm,0mm,0mm" style="mso-fit-shape-to-text:t;">
                <w:txbxContent>
                  <w:p>
                    <w:pPr>
                      <w:pStyle w:val="14"/>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r>
                      <w:rPr>
                        <w:rFonts w:hint="eastAsia"/>
                      </w:rPr>
                      <w:t xml:space="preserve"> 页 共 </w:t>
                    </w:r>
                    <w:r>
                      <w:fldChar w:fldCharType="begin"/>
                    </w:r>
                    <w:r>
                      <w:instrText xml:space="preserve">=</w:instrText>
                    </w:r>
                    <w:r>
                      <w:fldChar w:fldCharType="begin"/>
                    </w:r>
                    <w:r>
                      <w:instrText xml:space="preserve"> NUMPAGES  \* MERGEFORMAT </w:instrText>
                    </w:r>
                    <w:r>
                      <w:fldChar w:fldCharType="separate"/>
                    </w:r>
                    <w:r>
                      <w:instrText xml:space="preserve">104</w:instrText>
                    </w:r>
                    <w:r>
                      <w:fldChar w:fldCharType="end"/>
                    </w:r>
                    <w:r>
                      <w:instrText xml:space="preserve">-1</w:instrText>
                    </w:r>
                    <w:r>
                      <w:fldChar w:fldCharType="separate"/>
                    </w:r>
                    <w:r>
                      <w:t>103</w:t>
                    </w:r>
                    <w: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4507574"/>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95D28"/>
    <w:multiLevelType w:val="singleLevel"/>
    <w:tmpl w:val="AC895D28"/>
    <w:lvl w:ilvl="0" w:tentative="0">
      <w:start w:val="1"/>
      <w:numFmt w:val="decimal"/>
      <w:lvlText w:val="%1."/>
      <w:lvlJc w:val="left"/>
      <w:pPr>
        <w:tabs>
          <w:tab w:val="left" w:pos="312"/>
        </w:tabs>
      </w:pPr>
    </w:lvl>
  </w:abstractNum>
  <w:abstractNum w:abstractNumId="1">
    <w:nsid w:val="D26A09EE"/>
    <w:multiLevelType w:val="singleLevel"/>
    <w:tmpl w:val="D26A09EE"/>
    <w:lvl w:ilvl="0" w:tentative="0">
      <w:start w:val="1"/>
      <w:numFmt w:val="decimal"/>
      <w:suff w:val="space"/>
      <w:lvlText w:val="(%1)"/>
      <w:lvlJc w:val="left"/>
    </w:lvl>
  </w:abstractNum>
  <w:abstractNum w:abstractNumId="2">
    <w:nsid w:val="EC0EB902"/>
    <w:multiLevelType w:val="singleLevel"/>
    <w:tmpl w:val="EC0EB902"/>
    <w:lvl w:ilvl="0" w:tentative="0">
      <w:start w:val="1"/>
      <w:numFmt w:val="decimal"/>
      <w:lvlText w:val="%1."/>
      <w:lvlJc w:val="left"/>
      <w:pPr>
        <w:ind w:left="845" w:hanging="425"/>
      </w:pPr>
      <w:rPr>
        <w:rFonts w:hint="default"/>
      </w:rPr>
    </w:lvl>
  </w:abstractNum>
  <w:abstractNum w:abstractNumId="3">
    <w:nsid w:val="FCEFC15B"/>
    <w:multiLevelType w:val="multilevel"/>
    <w:tmpl w:val="FCEFC15B"/>
    <w:lvl w:ilvl="0" w:tentative="0">
      <w:start w:val="1"/>
      <w:numFmt w:val="decimal"/>
      <w:lvlText w:val="%1."/>
      <w:lvlJc w:val="left"/>
      <w:pPr>
        <w:ind w:left="84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6">
    <w:nsid w:val="12EDC6E6"/>
    <w:multiLevelType w:val="singleLevel"/>
    <w:tmpl w:val="12EDC6E6"/>
    <w:lvl w:ilvl="0" w:tentative="0">
      <w:start w:val="6"/>
      <w:numFmt w:val="chineseCounting"/>
      <w:suff w:val="space"/>
      <w:lvlText w:val="%1、"/>
      <w:lvlJc w:val="left"/>
      <w:rPr>
        <w:rFonts w:hint="eastAsia"/>
      </w:rPr>
    </w:lvl>
  </w:abstractNum>
  <w:abstractNum w:abstractNumId="7">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8">
    <w:nsid w:val="2C70B407"/>
    <w:multiLevelType w:val="singleLevel"/>
    <w:tmpl w:val="2C70B407"/>
    <w:lvl w:ilvl="0" w:tentative="0">
      <w:start w:val="6"/>
      <w:numFmt w:val="chineseCounting"/>
      <w:suff w:val="nothing"/>
      <w:lvlText w:val="%1、"/>
      <w:lvlJc w:val="left"/>
      <w:rPr>
        <w:rFonts w:hint="eastAsia"/>
      </w:rPr>
    </w:lvl>
  </w:abstractNum>
  <w:abstractNum w:abstractNumId="9">
    <w:nsid w:val="3542603B"/>
    <w:multiLevelType w:val="singleLevel"/>
    <w:tmpl w:val="3542603B"/>
    <w:lvl w:ilvl="0" w:tentative="0">
      <w:start w:val="1"/>
      <w:numFmt w:val="decimal"/>
      <w:lvlText w:val="%1."/>
      <w:lvlJc w:val="left"/>
      <w:pPr>
        <w:tabs>
          <w:tab w:val="left" w:pos="312"/>
        </w:tabs>
      </w:pPr>
    </w:lvl>
  </w:abstractNum>
  <w:abstractNum w:abstractNumId="10">
    <w:nsid w:val="3B2D9BA0"/>
    <w:multiLevelType w:val="singleLevel"/>
    <w:tmpl w:val="3B2D9BA0"/>
    <w:lvl w:ilvl="0" w:tentative="0">
      <w:start w:val="7"/>
      <w:numFmt w:val="chineseCounting"/>
      <w:suff w:val="space"/>
      <w:lvlText w:val="第%1章"/>
      <w:lvlJc w:val="left"/>
      <w:rPr>
        <w:rFonts w:hint="eastAsia"/>
      </w:rPr>
    </w:lvl>
  </w:abstractNum>
  <w:abstractNum w:abstractNumId="11">
    <w:nsid w:val="418F4424"/>
    <w:multiLevelType w:val="singleLevel"/>
    <w:tmpl w:val="418F4424"/>
    <w:lvl w:ilvl="0" w:tentative="0">
      <w:start w:val="9"/>
      <w:numFmt w:val="decimal"/>
      <w:suff w:val="nothing"/>
      <w:lvlText w:val="（%1）"/>
      <w:lvlJc w:val="left"/>
    </w:lvl>
  </w:abstractNum>
  <w:abstractNum w:abstractNumId="12">
    <w:nsid w:val="42632258"/>
    <w:multiLevelType w:val="multilevel"/>
    <w:tmpl w:val="42632258"/>
    <w:lvl w:ilvl="0" w:tentative="0">
      <w:start w:val="1"/>
      <w:numFmt w:val="decimal"/>
      <w:suff w:val="nothing"/>
      <w:lvlText w:val="（%1）"/>
      <w:lvlJc w:val="left"/>
      <w:pPr>
        <w:ind w:left="779" w:hanging="420"/>
      </w:pPr>
      <w:rPr>
        <w:rFonts w:hint="eastAsia"/>
      </w:rPr>
    </w:lvl>
    <w:lvl w:ilvl="1" w:tentative="0">
      <w:start w:val="1"/>
      <w:numFmt w:val="lowerLetter"/>
      <w:lvlText w:val="%2)"/>
      <w:lvlJc w:val="left"/>
      <w:pPr>
        <w:ind w:left="1199" w:hanging="420"/>
      </w:pPr>
    </w:lvl>
    <w:lvl w:ilvl="2" w:tentative="0">
      <w:start w:val="1"/>
      <w:numFmt w:val="lowerRoman"/>
      <w:lvlText w:val="%3."/>
      <w:lvlJc w:val="right"/>
      <w:pPr>
        <w:ind w:left="1619" w:hanging="420"/>
      </w:pPr>
    </w:lvl>
    <w:lvl w:ilvl="3" w:tentative="0">
      <w:start w:val="1"/>
      <w:numFmt w:val="decimal"/>
      <w:lvlText w:val="%4."/>
      <w:lvlJc w:val="left"/>
      <w:pPr>
        <w:ind w:left="2039" w:hanging="420"/>
      </w:pPr>
    </w:lvl>
    <w:lvl w:ilvl="4" w:tentative="0">
      <w:start w:val="1"/>
      <w:numFmt w:val="lowerLetter"/>
      <w:lvlText w:val="%5)"/>
      <w:lvlJc w:val="left"/>
      <w:pPr>
        <w:ind w:left="2459" w:hanging="420"/>
      </w:pPr>
    </w:lvl>
    <w:lvl w:ilvl="5" w:tentative="0">
      <w:start w:val="1"/>
      <w:numFmt w:val="lowerRoman"/>
      <w:lvlText w:val="%6."/>
      <w:lvlJc w:val="right"/>
      <w:pPr>
        <w:ind w:left="2879" w:hanging="420"/>
      </w:pPr>
    </w:lvl>
    <w:lvl w:ilvl="6" w:tentative="0">
      <w:start w:val="1"/>
      <w:numFmt w:val="decimal"/>
      <w:lvlText w:val="%7."/>
      <w:lvlJc w:val="left"/>
      <w:pPr>
        <w:ind w:left="3299" w:hanging="420"/>
      </w:pPr>
    </w:lvl>
    <w:lvl w:ilvl="7" w:tentative="0">
      <w:start w:val="1"/>
      <w:numFmt w:val="lowerLetter"/>
      <w:lvlText w:val="%8)"/>
      <w:lvlJc w:val="left"/>
      <w:pPr>
        <w:ind w:left="3719" w:hanging="420"/>
      </w:pPr>
    </w:lvl>
    <w:lvl w:ilvl="8" w:tentative="0">
      <w:start w:val="1"/>
      <w:numFmt w:val="lowerRoman"/>
      <w:lvlText w:val="%9."/>
      <w:lvlJc w:val="right"/>
      <w:pPr>
        <w:ind w:left="4139" w:hanging="420"/>
      </w:pPr>
    </w:lvl>
  </w:abstractNum>
  <w:abstractNum w:abstractNumId="13">
    <w:nsid w:val="479C5F7A"/>
    <w:multiLevelType w:val="multilevel"/>
    <w:tmpl w:val="479C5F7A"/>
    <w:lvl w:ilvl="0" w:tentative="0">
      <w:start w:val="1"/>
      <w:numFmt w:val="decimal"/>
      <w:suff w:val="nothing"/>
      <w:lvlText w:val="（%1）"/>
      <w:lvlJc w:val="left"/>
      <w:pPr>
        <w:ind w:left="779"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0F817EA"/>
    <w:multiLevelType w:val="singleLevel"/>
    <w:tmpl w:val="70F817EA"/>
    <w:lvl w:ilvl="0" w:tentative="0">
      <w:start w:val="1"/>
      <w:numFmt w:val="decimal"/>
      <w:lvlText w:val="(%1)"/>
      <w:lvlJc w:val="left"/>
      <w:pPr>
        <w:tabs>
          <w:tab w:val="left" w:pos="312"/>
        </w:tabs>
      </w:pPr>
    </w:lvl>
  </w:abstractNum>
  <w:abstractNum w:abstractNumId="15">
    <w:nsid w:val="7B512587"/>
    <w:multiLevelType w:val="multilevel"/>
    <w:tmpl w:val="7B512587"/>
    <w:lvl w:ilvl="0" w:tentative="0">
      <w:start w:val="1"/>
      <w:numFmt w:val="decimal"/>
      <w:suff w:val="noth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3"/>
  </w:num>
  <w:num w:numId="2">
    <w:abstractNumId w:val="2"/>
  </w:num>
  <w:num w:numId="3">
    <w:abstractNumId w:val="15"/>
  </w:num>
  <w:num w:numId="4">
    <w:abstractNumId w:val="12"/>
  </w:num>
  <w:num w:numId="5">
    <w:abstractNumId w:val="13"/>
  </w:num>
  <w:num w:numId="6">
    <w:abstractNumId w:val="0"/>
  </w:num>
  <w:num w:numId="7">
    <w:abstractNumId w:val="7"/>
  </w:num>
  <w:num w:numId="8">
    <w:abstractNumId w:val="4"/>
  </w:num>
  <w:num w:numId="9">
    <w:abstractNumId w:val="11"/>
  </w:num>
  <w:num w:numId="10">
    <w:abstractNumId w:val="6"/>
  </w:num>
  <w:num w:numId="11">
    <w:abstractNumId w:val="14"/>
  </w:num>
  <w:num w:numId="12">
    <w:abstractNumId w:val="1"/>
  </w:num>
  <w:num w:numId="13">
    <w:abstractNumId w:val="10"/>
  </w:num>
  <w:num w:numId="14">
    <w:abstractNumId w:val="9"/>
  </w:num>
  <w:num w:numId="15">
    <w:abstractNumId w:val="8"/>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WM1M2Y4ZDFiN2IzNzdlMjRjMGEzYjFhNDhhMDYifQ=="/>
  </w:docVars>
  <w:rsids>
    <w:rsidRoot w:val="00172A27"/>
    <w:rsid w:val="00011CD3"/>
    <w:rsid w:val="00016A8A"/>
    <w:rsid w:val="0001746A"/>
    <w:rsid w:val="000750CE"/>
    <w:rsid w:val="00090192"/>
    <w:rsid w:val="000909EE"/>
    <w:rsid w:val="000A46BE"/>
    <w:rsid w:val="000B4678"/>
    <w:rsid w:val="000E1CE0"/>
    <w:rsid w:val="000E70EF"/>
    <w:rsid w:val="00100800"/>
    <w:rsid w:val="00112CEC"/>
    <w:rsid w:val="00116420"/>
    <w:rsid w:val="00122461"/>
    <w:rsid w:val="0012657E"/>
    <w:rsid w:val="00132373"/>
    <w:rsid w:val="00132AA3"/>
    <w:rsid w:val="001400B3"/>
    <w:rsid w:val="00154076"/>
    <w:rsid w:val="001612AF"/>
    <w:rsid w:val="00174900"/>
    <w:rsid w:val="001865A3"/>
    <w:rsid w:val="001902B3"/>
    <w:rsid w:val="001906AA"/>
    <w:rsid w:val="001929D4"/>
    <w:rsid w:val="001B6B36"/>
    <w:rsid w:val="001C3A1C"/>
    <w:rsid w:val="001E4DAC"/>
    <w:rsid w:val="001F6D81"/>
    <w:rsid w:val="00216838"/>
    <w:rsid w:val="002232A7"/>
    <w:rsid w:val="002353CF"/>
    <w:rsid w:val="00245E4D"/>
    <w:rsid w:val="00251F26"/>
    <w:rsid w:val="00257845"/>
    <w:rsid w:val="002613A7"/>
    <w:rsid w:val="00275F54"/>
    <w:rsid w:val="00276C9E"/>
    <w:rsid w:val="0029233E"/>
    <w:rsid w:val="002A5529"/>
    <w:rsid w:val="002C3BFD"/>
    <w:rsid w:val="002D3B99"/>
    <w:rsid w:val="00301138"/>
    <w:rsid w:val="00302AF0"/>
    <w:rsid w:val="003101EF"/>
    <w:rsid w:val="00311B46"/>
    <w:rsid w:val="003176F0"/>
    <w:rsid w:val="003302A4"/>
    <w:rsid w:val="003621A0"/>
    <w:rsid w:val="003754B9"/>
    <w:rsid w:val="00382A60"/>
    <w:rsid w:val="003831FC"/>
    <w:rsid w:val="00384BD0"/>
    <w:rsid w:val="003A7160"/>
    <w:rsid w:val="003B6CAA"/>
    <w:rsid w:val="003D1783"/>
    <w:rsid w:val="003E23C8"/>
    <w:rsid w:val="004111B8"/>
    <w:rsid w:val="004225AC"/>
    <w:rsid w:val="0042405C"/>
    <w:rsid w:val="004318A0"/>
    <w:rsid w:val="0043358B"/>
    <w:rsid w:val="00446A8C"/>
    <w:rsid w:val="004A07C1"/>
    <w:rsid w:val="004A2D59"/>
    <w:rsid w:val="004B2296"/>
    <w:rsid w:val="004C1BD0"/>
    <w:rsid w:val="004D5F91"/>
    <w:rsid w:val="00505719"/>
    <w:rsid w:val="005121F8"/>
    <w:rsid w:val="005459EC"/>
    <w:rsid w:val="00572AF0"/>
    <w:rsid w:val="00575A43"/>
    <w:rsid w:val="00580433"/>
    <w:rsid w:val="005862AC"/>
    <w:rsid w:val="005B2BC7"/>
    <w:rsid w:val="005B6E76"/>
    <w:rsid w:val="005D61B4"/>
    <w:rsid w:val="005D75AE"/>
    <w:rsid w:val="005F5501"/>
    <w:rsid w:val="00612F27"/>
    <w:rsid w:val="00614919"/>
    <w:rsid w:val="00625CA4"/>
    <w:rsid w:val="00631CA6"/>
    <w:rsid w:val="0063599B"/>
    <w:rsid w:val="00655AD1"/>
    <w:rsid w:val="0066624F"/>
    <w:rsid w:val="00667EA0"/>
    <w:rsid w:val="006803FC"/>
    <w:rsid w:val="006836AB"/>
    <w:rsid w:val="006A1745"/>
    <w:rsid w:val="006C2CA0"/>
    <w:rsid w:val="006F01B1"/>
    <w:rsid w:val="006F497D"/>
    <w:rsid w:val="0070121C"/>
    <w:rsid w:val="00702E5D"/>
    <w:rsid w:val="00704336"/>
    <w:rsid w:val="00705BAD"/>
    <w:rsid w:val="007149E8"/>
    <w:rsid w:val="00742B72"/>
    <w:rsid w:val="007532B8"/>
    <w:rsid w:val="007569FD"/>
    <w:rsid w:val="00761BE9"/>
    <w:rsid w:val="00773C26"/>
    <w:rsid w:val="0078143C"/>
    <w:rsid w:val="007874C2"/>
    <w:rsid w:val="00792C7D"/>
    <w:rsid w:val="007B7FB5"/>
    <w:rsid w:val="007C5D59"/>
    <w:rsid w:val="007D232D"/>
    <w:rsid w:val="007D7B02"/>
    <w:rsid w:val="007E300E"/>
    <w:rsid w:val="007F74B8"/>
    <w:rsid w:val="00806B02"/>
    <w:rsid w:val="00816784"/>
    <w:rsid w:val="00817903"/>
    <w:rsid w:val="0082197F"/>
    <w:rsid w:val="00833A66"/>
    <w:rsid w:val="00850873"/>
    <w:rsid w:val="00852B0D"/>
    <w:rsid w:val="0087095D"/>
    <w:rsid w:val="0088177E"/>
    <w:rsid w:val="008A19D7"/>
    <w:rsid w:val="008A238E"/>
    <w:rsid w:val="008C04FA"/>
    <w:rsid w:val="008E649E"/>
    <w:rsid w:val="00906CDC"/>
    <w:rsid w:val="009170E0"/>
    <w:rsid w:val="00924BCD"/>
    <w:rsid w:val="00936637"/>
    <w:rsid w:val="0096009C"/>
    <w:rsid w:val="00964AB4"/>
    <w:rsid w:val="00974111"/>
    <w:rsid w:val="00991377"/>
    <w:rsid w:val="0099740E"/>
    <w:rsid w:val="009B42E1"/>
    <w:rsid w:val="009C37E2"/>
    <w:rsid w:val="009D1308"/>
    <w:rsid w:val="009D488E"/>
    <w:rsid w:val="009E1005"/>
    <w:rsid w:val="00A2096D"/>
    <w:rsid w:val="00A2552F"/>
    <w:rsid w:val="00A42267"/>
    <w:rsid w:val="00A43087"/>
    <w:rsid w:val="00A463D6"/>
    <w:rsid w:val="00A52FED"/>
    <w:rsid w:val="00A551BA"/>
    <w:rsid w:val="00A72C3B"/>
    <w:rsid w:val="00A75730"/>
    <w:rsid w:val="00A82279"/>
    <w:rsid w:val="00A91DD1"/>
    <w:rsid w:val="00A93436"/>
    <w:rsid w:val="00A9489F"/>
    <w:rsid w:val="00A96F14"/>
    <w:rsid w:val="00A97E81"/>
    <w:rsid w:val="00AA5C4C"/>
    <w:rsid w:val="00AD0EA2"/>
    <w:rsid w:val="00B17A04"/>
    <w:rsid w:val="00B33923"/>
    <w:rsid w:val="00B40DC3"/>
    <w:rsid w:val="00B4615A"/>
    <w:rsid w:val="00B5084D"/>
    <w:rsid w:val="00B52321"/>
    <w:rsid w:val="00B610C9"/>
    <w:rsid w:val="00B75784"/>
    <w:rsid w:val="00B8163F"/>
    <w:rsid w:val="00B85F31"/>
    <w:rsid w:val="00B87911"/>
    <w:rsid w:val="00BD350D"/>
    <w:rsid w:val="00BD430C"/>
    <w:rsid w:val="00BE7683"/>
    <w:rsid w:val="00C31339"/>
    <w:rsid w:val="00C42C13"/>
    <w:rsid w:val="00C64FEA"/>
    <w:rsid w:val="00C659F7"/>
    <w:rsid w:val="00C862A0"/>
    <w:rsid w:val="00CA586B"/>
    <w:rsid w:val="00CB3998"/>
    <w:rsid w:val="00CD1A31"/>
    <w:rsid w:val="00CD312F"/>
    <w:rsid w:val="00D02047"/>
    <w:rsid w:val="00D028C8"/>
    <w:rsid w:val="00D123ED"/>
    <w:rsid w:val="00D13E4D"/>
    <w:rsid w:val="00D15298"/>
    <w:rsid w:val="00D24FF0"/>
    <w:rsid w:val="00D353E0"/>
    <w:rsid w:val="00D4065C"/>
    <w:rsid w:val="00D50F91"/>
    <w:rsid w:val="00D54A1E"/>
    <w:rsid w:val="00D72F73"/>
    <w:rsid w:val="00D80797"/>
    <w:rsid w:val="00D91E31"/>
    <w:rsid w:val="00DA25FF"/>
    <w:rsid w:val="00DB41A5"/>
    <w:rsid w:val="00DB489A"/>
    <w:rsid w:val="00DD0B78"/>
    <w:rsid w:val="00DE195E"/>
    <w:rsid w:val="00DF2B14"/>
    <w:rsid w:val="00E23F81"/>
    <w:rsid w:val="00E55B0E"/>
    <w:rsid w:val="00E66FA8"/>
    <w:rsid w:val="00E700F5"/>
    <w:rsid w:val="00E73B54"/>
    <w:rsid w:val="00E73ED1"/>
    <w:rsid w:val="00E956C3"/>
    <w:rsid w:val="00EB17EE"/>
    <w:rsid w:val="00EE3DC4"/>
    <w:rsid w:val="00EE7DEA"/>
    <w:rsid w:val="00F025EA"/>
    <w:rsid w:val="00F27BDB"/>
    <w:rsid w:val="00F602C2"/>
    <w:rsid w:val="00F60D21"/>
    <w:rsid w:val="00F63DC0"/>
    <w:rsid w:val="00F7333F"/>
    <w:rsid w:val="00F95F74"/>
    <w:rsid w:val="00FE03BA"/>
    <w:rsid w:val="00FE11AA"/>
    <w:rsid w:val="011833BF"/>
    <w:rsid w:val="011E777A"/>
    <w:rsid w:val="0147153B"/>
    <w:rsid w:val="01475930"/>
    <w:rsid w:val="015C4473"/>
    <w:rsid w:val="017936BE"/>
    <w:rsid w:val="01BD35AB"/>
    <w:rsid w:val="01D71174"/>
    <w:rsid w:val="022766A9"/>
    <w:rsid w:val="0233386D"/>
    <w:rsid w:val="024C263E"/>
    <w:rsid w:val="02531E27"/>
    <w:rsid w:val="02985DB7"/>
    <w:rsid w:val="02C46BBB"/>
    <w:rsid w:val="02C602A8"/>
    <w:rsid w:val="02CF69B1"/>
    <w:rsid w:val="02E021C5"/>
    <w:rsid w:val="032475DC"/>
    <w:rsid w:val="032B6C3A"/>
    <w:rsid w:val="037E603E"/>
    <w:rsid w:val="03B23BAF"/>
    <w:rsid w:val="03C52BEB"/>
    <w:rsid w:val="03CB7D0A"/>
    <w:rsid w:val="03E312C3"/>
    <w:rsid w:val="03EC4439"/>
    <w:rsid w:val="04164081"/>
    <w:rsid w:val="04673CA2"/>
    <w:rsid w:val="049338D7"/>
    <w:rsid w:val="04C42391"/>
    <w:rsid w:val="04FA68C4"/>
    <w:rsid w:val="05145BD8"/>
    <w:rsid w:val="05300538"/>
    <w:rsid w:val="055D0D8E"/>
    <w:rsid w:val="05C416C0"/>
    <w:rsid w:val="05E84CA4"/>
    <w:rsid w:val="05F2028D"/>
    <w:rsid w:val="05FD666C"/>
    <w:rsid w:val="05FF1DAE"/>
    <w:rsid w:val="063E20E3"/>
    <w:rsid w:val="063F62DA"/>
    <w:rsid w:val="066E2587"/>
    <w:rsid w:val="069A266D"/>
    <w:rsid w:val="06AA6409"/>
    <w:rsid w:val="06B81B4A"/>
    <w:rsid w:val="07014810"/>
    <w:rsid w:val="070F3B90"/>
    <w:rsid w:val="072339A0"/>
    <w:rsid w:val="0733461A"/>
    <w:rsid w:val="073A569E"/>
    <w:rsid w:val="076470DA"/>
    <w:rsid w:val="07692576"/>
    <w:rsid w:val="07AF7BA9"/>
    <w:rsid w:val="07C1191B"/>
    <w:rsid w:val="07D653C6"/>
    <w:rsid w:val="07DA7F0D"/>
    <w:rsid w:val="08033923"/>
    <w:rsid w:val="08123F24"/>
    <w:rsid w:val="081F1F8D"/>
    <w:rsid w:val="084A19AA"/>
    <w:rsid w:val="088B6AD7"/>
    <w:rsid w:val="08C35F2B"/>
    <w:rsid w:val="08E22CC1"/>
    <w:rsid w:val="09412D13"/>
    <w:rsid w:val="0950045D"/>
    <w:rsid w:val="0950709A"/>
    <w:rsid w:val="0954774B"/>
    <w:rsid w:val="09811362"/>
    <w:rsid w:val="09895EE3"/>
    <w:rsid w:val="09977F89"/>
    <w:rsid w:val="09A15D2F"/>
    <w:rsid w:val="09F00295"/>
    <w:rsid w:val="09F2037E"/>
    <w:rsid w:val="0A1D791A"/>
    <w:rsid w:val="0A53088D"/>
    <w:rsid w:val="0ABD482B"/>
    <w:rsid w:val="0AEC4F01"/>
    <w:rsid w:val="0AF97D27"/>
    <w:rsid w:val="0B062F42"/>
    <w:rsid w:val="0B0653F7"/>
    <w:rsid w:val="0B446A99"/>
    <w:rsid w:val="0B84338B"/>
    <w:rsid w:val="0B9361EC"/>
    <w:rsid w:val="0BA844FD"/>
    <w:rsid w:val="0BAB081A"/>
    <w:rsid w:val="0C07194F"/>
    <w:rsid w:val="0C2F6CB1"/>
    <w:rsid w:val="0C49267E"/>
    <w:rsid w:val="0C921F4B"/>
    <w:rsid w:val="0CD14217"/>
    <w:rsid w:val="0D2408DB"/>
    <w:rsid w:val="0D776204"/>
    <w:rsid w:val="0D7D4536"/>
    <w:rsid w:val="0D8862D3"/>
    <w:rsid w:val="0D921D8F"/>
    <w:rsid w:val="0D933AC8"/>
    <w:rsid w:val="0D945EE0"/>
    <w:rsid w:val="0D9A51F4"/>
    <w:rsid w:val="0D9D62C2"/>
    <w:rsid w:val="0DA5787D"/>
    <w:rsid w:val="0DA64D0D"/>
    <w:rsid w:val="0DC64B7C"/>
    <w:rsid w:val="0DEF595D"/>
    <w:rsid w:val="0DF2282E"/>
    <w:rsid w:val="0DF26BF3"/>
    <w:rsid w:val="0DFE11D3"/>
    <w:rsid w:val="0DFE7425"/>
    <w:rsid w:val="0E7A14ED"/>
    <w:rsid w:val="0E801780"/>
    <w:rsid w:val="0E8C2C83"/>
    <w:rsid w:val="0E9D0085"/>
    <w:rsid w:val="0EA31F34"/>
    <w:rsid w:val="0EF71212"/>
    <w:rsid w:val="0F125B2D"/>
    <w:rsid w:val="0F5117D6"/>
    <w:rsid w:val="0F706100"/>
    <w:rsid w:val="0F9D2344"/>
    <w:rsid w:val="0FB35025"/>
    <w:rsid w:val="0FBD0D96"/>
    <w:rsid w:val="0FC562C3"/>
    <w:rsid w:val="0FDC5544"/>
    <w:rsid w:val="0FE31AF2"/>
    <w:rsid w:val="101914A3"/>
    <w:rsid w:val="10615A49"/>
    <w:rsid w:val="10825588"/>
    <w:rsid w:val="10DC1574"/>
    <w:rsid w:val="11453A98"/>
    <w:rsid w:val="116D107E"/>
    <w:rsid w:val="11755C50"/>
    <w:rsid w:val="11BE156C"/>
    <w:rsid w:val="11D212FE"/>
    <w:rsid w:val="11E708F3"/>
    <w:rsid w:val="11F70905"/>
    <w:rsid w:val="12062D4C"/>
    <w:rsid w:val="120F5E78"/>
    <w:rsid w:val="12274A70"/>
    <w:rsid w:val="12491018"/>
    <w:rsid w:val="12831E45"/>
    <w:rsid w:val="12932288"/>
    <w:rsid w:val="13120644"/>
    <w:rsid w:val="13376C81"/>
    <w:rsid w:val="133B638F"/>
    <w:rsid w:val="133E038F"/>
    <w:rsid w:val="139E09AB"/>
    <w:rsid w:val="13C26D3E"/>
    <w:rsid w:val="13E650F4"/>
    <w:rsid w:val="140F702E"/>
    <w:rsid w:val="14111450"/>
    <w:rsid w:val="14D709D0"/>
    <w:rsid w:val="14E153AA"/>
    <w:rsid w:val="14EA425F"/>
    <w:rsid w:val="14F567DB"/>
    <w:rsid w:val="14F65188"/>
    <w:rsid w:val="14FB63E3"/>
    <w:rsid w:val="15145780"/>
    <w:rsid w:val="152A0AFF"/>
    <w:rsid w:val="15396E97"/>
    <w:rsid w:val="15620BFA"/>
    <w:rsid w:val="156E30E2"/>
    <w:rsid w:val="156E5995"/>
    <w:rsid w:val="158A3C94"/>
    <w:rsid w:val="158C5511"/>
    <w:rsid w:val="159D1877"/>
    <w:rsid w:val="15DC6409"/>
    <w:rsid w:val="15E675F9"/>
    <w:rsid w:val="15E909BB"/>
    <w:rsid w:val="16261FBD"/>
    <w:rsid w:val="1635722E"/>
    <w:rsid w:val="1653677B"/>
    <w:rsid w:val="1665569C"/>
    <w:rsid w:val="1665736E"/>
    <w:rsid w:val="168E3310"/>
    <w:rsid w:val="16AE541A"/>
    <w:rsid w:val="16E51F2C"/>
    <w:rsid w:val="16F45869"/>
    <w:rsid w:val="16FC2F2E"/>
    <w:rsid w:val="17066741"/>
    <w:rsid w:val="17D240F5"/>
    <w:rsid w:val="17E95781"/>
    <w:rsid w:val="17F453F5"/>
    <w:rsid w:val="17FA4680"/>
    <w:rsid w:val="1811546F"/>
    <w:rsid w:val="18185587"/>
    <w:rsid w:val="1821365D"/>
    <w:rsid w:val="18351992"/>
    <w:rsid w:val="18720979"/>
    <w:rsid w:val="18E216F1"/>
    <w:rsid w:val="19053D5D"/>
    <w:rsid w:val="19647819"/>
    <w:rsid w:val="199B523D"/>
    <w:rsid w:val="19A51287"/>
    <w:rsid w:val="19B25567"/>
    <w:rsid w:val="19F718E2"/>
    <w:rsid w:val="19FD67E3"/>
    <w:rsid w:val="1A214DBA"/>
    <w:rsid w:val="1A2D652E"/>
    <w:rsid w:val="1AB55539"/>
    <w:rsid w:val="1AC344D0"/>
    <w:rsid w:val="1AE11710"/>
    <w:rsid w:val="1AE14356"/>
    <w:rsid w:val="1AF529B5"/>
    <w:rsid w:val="1AF9676E"/>
    <w:rsid w:val="1B21400E"/>
    <w:rsid w:val="1B5508A0"/>
    <w:rsid w:val="1B656E0C"/>
    <w:rsid w:val="1B6F3710"/>
    <w:rsid w:val="1B875F82"/>
    <w:rsid w:val="1B8E6E35"/>
    <w:rsid w:val="1BA94944"/>
    <w:rsid w:val="1C275E4B"/>
    <w:rsid w:val="1C3404B6"/>
    <w:rsid w:val="1C3A300E"/>
    <w:rsid w:val="1C4C74DF"/>
    <w:rsid w:val="1C834AA6"/>
    <w:rsid w:val="1CF754A3"/>
    <w:rsid w:val="1D2319B4"/>
    <w:rsid w:val="1D2B3667"/>
    <w:rsid w:val="1D5C7AF8"/>
    <w:rsid w:val="1DB7139E"/>
    <w:rsid w:val="1E023031"/>
    <w:rsid w:val="1E0E7548"/>
    <w:rsid w:val="1E2456E5"/>
    <w:rsid w:val="1E396257"/>
    <w:rsid w:val="1E6E2468"/>
    <w:rsid w:val="1E7D5CD7"/>
    <w:rsid w:val="1E830C89"/>
    <w:rsid w:val="1EA551C0"/>
    <w:rsid w:val="1EBD551E"/>
    <w:rsid w:val="1ED927EF"/>
    <w:rsid w:val="1EDC27EF"/>
    <w:rsid w:val="1EFB3381"/>
    <w:rsid w:val="1F4A459A"/>
    <w:rsid w:val="1F566913"/>
    <w:rsid w:val="1F8A4CDF"/>
    <w:rsid w:val="1F9B63EB"/>
    <w:rsid w:val="1FAF67D1"/>
    <w:rsid w:val="1FC21B8C"/>
    <w:rsid w:val="200E0A62"/>
    <w:rsid w:val="200F4676"/>
    <w:rsid w:val="20161AB2"/>
    <w:rsid w:val="203D143D"/>
    <w:rsid w:val="204213F3"/>
    <w:rsid w:val="204D7566"/>
    <w:rsid w:val="204E1006"/>
    <w:rsid w:val="20526073"/>
    <w:rsid w:val="20744DEB"/>
    <w:rsid w:val="207913EC"/>
    <w:rsid w:val="208675A5"/>
    <w:rsid w:val="20C52024"/>
    <w:rsid w:val="20EE157B"/>
    <w:rsid w:val="20F326ED"/>
    <w:rsid w:val="20F7407F"/>
    <w:rsid w:val="211549B5"/>
    <w:rsid w:val="212B7C94"/>
    <w:rsid w:val="21703D3E"/>
    <w:rsid w:val="218617B3"/>
    <w:rsid w:val="218B501C"/>
    <w:rsid w:val="21DC7625"/>
    <w:rsid w:val="220061E2"/>
    <w:rsid w:val="220729A3"/>
    <w:rsid w:val="22114E02"/>
    <w:rsid w:val="221424D5"/>
    <w:rsid w:val="223643DF"/>
    <w:rsid w:val="223907F9"/>
    <w:rsid w:val="223C139D"/>
    <w:rsid w:val="22415264"/>
    <w:rsid w:val="226B1089"/>
    <w:rsid w:val="22944D55"/>
    <w:rsid w:val="229451CA"/>
    <w:rsid w:val="22C256FC"/>
    <w:rsid w:val="22F275D2"/>
    <w:rsid w:val="2332525A"/>
    <w:rsid w:val="237D3DBF"/>
    <w:rsid w:val="2399753C"/>
    <w:rsid w:val="23C640E9"/>
    <w:rsid w:val="23E32EED"/>
    <w:rsid w:val="23EC48FB"/>
    <w:rsid w:val="23F76D95"/>
    <w:rsid w:val="24114702"/>
    <w:rsid w:val="24184683"/>
    <w:rsid w:val="249C4ADD"/>
    <w:rsid w:val="24C42EA1"/>
    <w:rsid w:val="24D05BE5"/>
    <w:rsid w:val="24D60933"/>
    <w:rsid w:val="24E419D9"/>
    <w:rsid w:val="24EE1B49"/>
    <w:rsid w:val="251B5CF5"/>
    <w:rsid w:val="25202506"/>
    <w:rsid w:val="258B5E98"/>
    <w:rsid w:val="259F64C7"/>
    <w:rsid w:val="25D37172"/>
    <w:rsid w:val="25EA283B"/>
    <w:rsid w:val="261E2B1F"/>
    <w:rsid w:val="2661634B"/>
    <w:rsid w:val="2685793C"/>
    <w:rsid w:val="27052670"/>
    <w:rsid w:val="27473793"/>
    <w:rsid w:val="276667D6"/>
    <w:rsid w:val="27727CAF"/>
    <w:rsid w:val="27A209C9"/>
    <w:rsid w:val="27D35027"/>
    <w:rsid w:val="27F75392"/>
    <w:rsid w:val="28013942"/>
    <w:rsid w:val="281318C7"/>
    <w:rsid w:val="282F0619"/>
    <w:rsid w:val="28327F9F"/>
    <w:rsid w:val="28465DDB"/>
    <w:rsid w:val="28630F1F"/>
    <w:rsid w:val="286745BE"/>
    <w:rsid w:val="287A1CEF"/>
    <w:rsid w:val="28A72075"/>
    <w:rsid w:val="28BE0C8F"/>
    <w:rsid w:val="28BE2459"/>
    <w:rsid w:val="28D70B46"/>
    <w:rsid w:val="28F60FCD"/>
    <w:rsid w:val="292813A2"/>
    <w:rsid w:val="294A78BC"/>
    <w:rsid w:val="2952459C"/>
    <w:rsid w:val="295977AD"/>
    <w:rsid w:val="29625E6D"/>
    <w:rsid w:val="29712D49"/>
    <w:rsid w:val="297312C8"/>
    <w:rsid w:val="2987431B"/>
    <w:rsid w:val="29FC28EB"/>
    <w:rsid w:val="2A0C7713"/>
    <w:rsid w:val="2A506E02"/>
    <w:rsid w:val="2A596B13"/>
    <w:rsid w:val="2A5E660E"/>
    <w:rsid w:val="2A685AC2"/>
    <w:rsid w:val="2A781EB5"/>
    <w:rsid w:val="2A7A657E"/>
    <w:rsid w:val="2A85535E"/>
    <w:rsid w:val="2AA077A9"/>
    <w:rsid w:val="2AC800C8"/>
    <w:rsid w:val="2AEF1E55"/>
    <w:rsid w:val="2B0100FD"/>
    <w:rsid w:val="2B134AD1"/>
    <w:rsid w:val="2B361B54"/>
    <w:rsid w:val="2B844FB6"/>
    <w:rsid w:val="2B920D55"/>
    <w:rsid w:val="2BC108A9"/>
    <w:rsid w:val="2BD66E93"/>
    <w:rsid w:val="2BDA1BE3"/>
    <w:rsid w:val="2BFD2672"/>
    <w:rsid w:val="2C175D66"/>
    <w:rsid w:val="2C273B93"/>
    <w:rsid w:val="2C5D1C85"/>
    <w:rsid w:val="2CB70437"/>
    <w:rsid w:val="2CCC0E2D"/>
    <w:rsid w:val="2CD772AE"/>
    <w:rsid w:val="2D222CFE"/>
    <w:rsid w:val="2D2354A4"/>
    <w:rsid w:val="2D393907"/>
    <w:rsid w:val="2D3C1654"/>
    <w:rsid w:val="2D896E36"/>
    <w:rsid w:val="2DED178F"/>
    <w:rsid w:val="2E085B70"/>
    <w:rsid w:val="2E6102EA"/>
    <w:rsid w:val="2E762311"/>
    <w:rsid w:val="2EC3210B"/>
    <w:rsid w:val="2EEA15D4"/>
    <w:rsid w:val="2F1475F5"/>
    <w:rsid w:val="2F366BAF"/>
    <w:rsid w:val="2F6915D5"/>
    <w:rsid w:val="2FD2443E"/>
    <w:rsid w:val="300849DC"/>
    <w:rsid w:val="302A0B85"/>
    <w:rsid w:val="303B7C0D"/>
    <w:rsid w:val="306B04F2"/>
    <w:rsid w:val="306F53A0"/>
    <w:rsid w:val="30797274"/>
    <w:rsid w:val="30A6777C"/>
    <w:rsid w:val="30A67F0E"/>
    <w:rsid w:val="30E6765D"/>
    <w:rsid w:val="311178ED"/>
    <w:rsid w:val="31197F4E"/>
    <w:rsid w:val="311A616D"/>
    <w:rsid w:val="315E32C6"/>
    <w:rsid w:val="31C60B71"/>
    <w:rsid w:val="31E340B8"/>
    <w:rsid w:val="31E67F59"/>
    <w:rsid w:val="31FA5931"/>
    <w:rsid w:val="32195D2C"/>
    <w:rsid w:val="32556074"/>
    <w:rsid w:val="32956148"/>
    <w:rsid w:val="32BB2294"/>
    <w:rsid w:val="32F742BF"/>
    <w:rsid w:val="331A0480"/>
    <w:rsid w:val="33364352"/>
    <w:rsid w:val="335C05EB"/>
    <w:rsid w:val="336A3FB7"/>
    <w:rsid w:val="3371256C"/>
    <w:rsid w:val="337771AE"/>
    <w:rsid w:val="33B37295"/>
    <w:rsid w:val="33C8709C"/>
    <w:rsid w:val="340B3DCC"/>
    <w:rsid w:val="34182AA6"/>
    <w:rsid w:val="342F7A89"/>
    <w:rsid w:val="34755000"/>
    <w:rsid w:val="347F41D9"/>
    <w:rsid w:val="34A64C33"/>
    <w:rsid w:val="34E67020"/>
    <w:rsid w:val="34FC1F63"/>
    <w:rsid w:val="35016274"/>
    <w:rsid w:val="3505165F"/>
    <w:rsid w:val="35831E3A"/>
    <w:rsid w:val="35835CB0"/>
    <w:rsid w:val="359A627E"/>
    <w:rsid w:val="359B1211"/>
    <w:rsid w:val="35B17FEC"/>
    <w:rsid w:val="35B20971"/>
    <w:rsid w:val="35E473E2"/>
    <w:rsid w:val="367B1D34"/>
    <w:rsid w:val="369167D9"/>
    <w:rsid w:val="36D35ED4"/>
    <w:rsid w:val="36D839FB"/>
    <w:rsid w:val="36D8497A"/>
    <w:rsid w:val="36FA4EEB"/>
    <w:rsid w:val="37227431"/>
    <w:rsid w:val="373D426B"/>
    <w:rsid w:val="3744085D"/>
    <w:rsid w:val="37736D1E"/>
    <w:rsid w:val="37B207B5"/>
    <w:rsid w:val="37E53998"/>
    <w:rsid w:val="381C0324"/>
    <w:rsid w:val="38285B52"/>
    <w:rsid w:val="38983E4E"/>
    <w:rsid w:val="38A05EC7"/>
    <w:rsid w:val="38A345A1"/>
    <w:rsid w:val="38AF73EA"/>
    <w:rsid w:val="38CC1D03"/>
    <w:rsid w:val="38D174C9"/>
    <w:rsid w:val="38DF50B3"/>
    <w:rsid w:val="39443B39"/>
    <w:rsid w:val="395018F6"/>
    <w:rsid w:val="395F1248"/>
    <w:rsid w:val="397D1296"/>
    <w:rsid w:val="39BD78E5"/>
    <w:rsid w:val="39D72754"/>
    <w:rsid w:val="39FA6443"/>
    <w:rsid w:val="3A054EAE"/>
    <w:rsid w:val="3A104469"/>
    <w:rsid w:val="3A210CE6"/>
    <w:rsid w:val="3A257964"/>
    <w:rsid w:val="3A52627F"/>
    <w:rsid w:val="3A5807D1"/>
    <w:rsid w:val="3A8275B3"/>
    <w:rsid w:val="3AC448FF"/>
    <w:rsid w:val="3AEC11B5"/>
    <w:rsid w:val="3B0E664A"/>
    <w:rsid w:val="3B4103CD"/>
    <w:rsid w:val="3B471B5C"/>
    <w:rsid w:val="3B474590"/>
    <w:rsid w:val="3B7304D5"/>
    <w:rsid w:val="3B814510"/>
    <w:rsid w:val="3B822661"/>
    <w:rsid w:val="3BAE7C66"/>
    <w:rsid w:val="3BBA40DC"/>
    <w:rsid w:val="3BCD0DCE"/>
    <w:rsid w:val="3BED44B1"/>
    <w:rsid w:val="3C11472F"/>
    <w:rsid w:val="3C7A386B"/>
    <w:rsid w:val="3CB66843"/>
    <w:rsid w:val="3CCC06E9"/>
    <w:rsid w:val="3CE5162C"/>
    <w:rsid w:val="3CE5587C"/>
    <w:rsid w:val="3CEC4769"/>
    <w:rsid w:val="3CF655E7"/>
    <w:rsid w:val="3CFE7D2F"/>
    <w:rsid w:val="3D112421"/>
    <w:rsid w:val="3D620019"/>
    <w:rsid w:val="3D6759D2"/>
    <w:rsid w:val="3D6A38DF"/>
    <w:rsid w:val="3D6F3CD1"/>
    <w:rsid w:val="3D874ACB"/>
    <w:rsid w:val="3DA11B91"/>
    <w:rsid w:val="3DD551FD"/>
    <w:rsid w:val="3DE25B6C"/>
    <w:rsid w:val="3E021BD6"/>
    <w:rsid w:val="3E3E7246"/>
    <w:rsid w:val="3E643E6A"/>
    <w:rsid w:val="3E820D6F"/>
    <w:rsid w:val="3E88226F"/>
    <w:rsid w:val="3E9E58CA"/>
    <w:rsid w:val="3EDB0E00"/>
    <w:rsid w:val="3F0833B0"/>
    <w:rsid w:val="3F0C492E"/>
    <w:rsid w:val="3F122481"/>
    <w:rsid w:val="3F1955BD"/>
    <w:rsid w:val="3F312907"/>
    <w:rsid w:val="3F5E2ED3"/>
    <w:rsid w:val="3F6E7574"/>
    <w:rsid w:val="3FAA26B9"/>
    <w:rsid w:val="40074D14"/>
    <w:rsid w:val="40413E86"/>
    <w:rsid w:val="406E00C4"/>
    <w:rsid w:val="40782BB5"/>
    <w:rsid w:val="40864196"/>
    <w:rsid w:val="40D35740"/>
    <w:rsid w:val="40DB29AD"/>
    <w:rsid w:val="41286C44"/>
    <w:rsid w:val="41384420"/>
    <w:rsid w:val="41654AEA"/>
    <w:rsid w:val="417D488E"/>
    <w:rsid w:val="417D61FB"/>
    <w:rsid w:val="417E750A"/>
    <w:rsid w:val="41817A57"/>
    <w:rsid w:val="418E3FCE"/>
    <w:rsid w:val="41942815"/>
    <w:rsid w:val="419E624E"/>
    <w:rsid w:val="41C850AD"/>
    <w:rsid w:val="41D03EDA"/>
    <w:rsid w:val="41D626A7"/>
    <w:rsid w:val="41E023C2"/>
    <w:rsid w:val="424233D5"/>
    <w:rsid w:val="424E7922"/>
    <w:rsid w:val="42506835"/>
    <w:rsid w:val="425608D6"/>
    <w:rsid w:val="427146DB"/>
    <w:rsid w:val="429A4C67"/>
    <w:rsid w:val="42A933F4"/>
    <w:rsid w:val="42FE40ED"/>
    <w:rsid w:val="43133477"/>
    <w:rsid w:val="43257CFD"/>
    <w:rsid w:val="43615785"/>
    <w:rsid w:val="436310DF"/>
    <w:rsid w:val="438356FB"/>
    <w:rsid w:val="43DB00E0"/>
    <w:rsid w:val="43FE4842"/>
    <w:rsid w:val="4436451B"/>
    <w:rsid w:val="443A7A13"/>
    <w:rsid w:val="445350CD"/>
    <w:rsid w:val="445B1E31"/>
    <w:rsid w:val="447F4081"/>
    <w:rsid w:val="44977AA4"/>
    <w:rsid w:val="44A606FD"/>
    <w:rsid w:val="44A973E3"/>
    <w:rsid w:val="44D77EF0"/>
    <w:rsid w:val="44E855C1"/>
    <w:rsid w:val="450261CD"/>
    <w:rsid w:val="45333720"/>
    <w:rsid w:val="453C7189"/>
    <w:rsid w:val="45505AB1"/>
    <w:rsid w:val="456F7CFB"/>
    <w:rsid w:val="458F0387"/>
    <w:rsid w:val="458F482B"/>
    <w:rsid w:val="459B6204"/>
    <w:rsid w:val="45B95404"/>
    <w:rsid w:val="45C344D5"/>
    <w:rsid w:val="45EC3A2B"/>
    <w:rsid w:val="45F428E0"/>
    <w:rsid w:val="46151CE8"/>
    <w:rsid w:val="4624601B"/>
    <w:rsid w:val="46492AAA"/>
    <w:rsid w:val="464D6A35"/>
    <w:rsid w:val="4655232A"/>
    <w:rsid w:val="465E0864"/>
    <w:rsid w:val="4665149E"/>
    <w:rsid w:val="4665733A"/>
    <w:rsid w:val="46C35681"/>
    <w:rsid w:val="46E95941"/>
    <w:rsid w:val="4705013F"/>
    <w:rsid w:val="47063A4D"/>
    <w:rsid w:val="47271392"/>
    <w:rsid w:val="47767FBB"/>
    <w:rsid w:val="481B63E2"/>
    <w:rsid w:val="48403BBB"/>
    <w:rsid w:val="484424D9"/>
    <w:rsid w:val="4847103F"/>
    <w:rsid w:val="48874AA5"/>
    <w:rsid w:val="48895562"/>
    <w:rsid w:val="489A3509"/>
    <w:rsid w:val="489A776F"/>
    <w:rsid w:val="48D250C5"/>
    <w:rsid w:val="48F13107"/>
    <w:rsid w:val="49050FB9"/>
    <w:rsid w:val="495D4852"/>
    <w:rsid w:val="496930A0"/>
    <w:rsid w:val="4989333F"/>
    <w:rsid w:val="49ED77B7"/>
    <w:rsid w:val="4A1E3D03"/>
    <w:rsid w:val="4A1F71D6"/>
    <w:rsid w:val="4A360328"/>
    <w:rsid w:val="4A7A0275"/>
    <w:rsid w:val="4A7A5D42"/>
    <w:rsid w:val="4AAE7501"/>
    <w:rsid w:val="4ABE7E56"/>
    <w:rsid w:val="4AD12D18"/>
    <w:rsid w:val="4ADC161F"/>
    <w:rsid w:val="4AF60694"/>
    <w:rsid w:val="4B5D30A3"/>
    <w:rsid w:val="4B6840F7"/>
    <w:rsid w:val="4B70376A"/>
    <w:rsid w:val="4C0C485C"/>
    <w:rsid w:val="4C135C51"/>
    <w:rsid w:val="4C1635B0"/>
    <w:rsid w:val="4C1C66ED"/>
    <w:rsid w:val="4C4579F1"/>
    <w:rsid w:val="4C5C314D"/>
    <w:rsid w:val="4C6065D9"/>
    <w:rsid w:val="4C686721"/>
    <w:rsid w:val="4CE34CCC"/>
    <w:rsid w:val="4CE6533E"/>
    <w:rsid w:val="4D106251"/>
    <w:rsid w:val="4D4203D5"/>
    <w:rsid w:val="4D4546BB"/>
    <w:rsid w:val="4D825912"/>
    <w:rsid w:val="4DA31497"/>
    <w:rsid w:val="4DEB281B"/>
    <w:rsid w:val="4E1542CD"/>
    <w:rsid w:val="4E1A7EED"/>
    <w:rsid w:val="4E3161FF"/>
    <w:rsid w:val="4E7B44C1"/>
    <w:rsid w:val="4E8F658C"/>
    <w:rsid w:val="4E9A16B0"/>
    <w:rsid w:val="4EC10AA6"/>
    <w:rsid w:val="4ECA3CF2"/>
    <w:rsid w:val="4F4637CC"/>
    <w:rsid w:val="4F7439BB"/>
    <w:rsid w:val="4F903279"/>
    <w:rsid w:val="4F905428"/>
    <w:rsid w:val="4FD07EA9"/>
    <w:rsid w:val="4FDC7366"/>
    <w:rsid w:val="4FEE54FA"/>
    <w:rsid w:val="4FF17A7C"/>
    <w:rsid w:val="501568D4"/>
    <w:rsid w:val="50330996"/>
    <w:rsid w:val="508825A3"/>
    <w:rsid w:val="50FB3A85"/>
    <w:rsid w:val="510F5BEA"/>
    <w:rsid w:val="5149447E"/>
    <w:rsid w:val="51562F63"/>
    <w:rsid w:val="51894824"/>
    <w:rsid w:val="519226D4"/>
    <w:rsid w:val="51963715"/>
    <w:rsid w:val="52045C59"/>
    <w:rsid w:val="520619D1"/>
    <w:rsid w:val="52574E2D"/>
    <w:rsid w:val="52711649"/>
    <w:rsid w:val="529A1FAF"/>
    <w:rsid w:val="52A667A8"/>
    <w:rsid w:val="52F67D89"/>
    <w:rsid w:val="531B14AC"/>
    <w:rsid w:val="53486019"/>
    <w:rsid w:val="534E654C"/>
    <w:rsid w:val="53591096"/>
    <w:rsid w:val="535D1AC5"/>
    <w:rsid w:val="53600DED"/>
    <w:rsid w:val="538E7ED0"/>
    <w:rsid w:val="538F3C48"/>
    <w:rsid w:val="540240D6"/>
    <w:rsid w:val="54607A2C"/>
    <w:rsid w:val="5474450F"/>
    <w:rsid w:val="54877854"/>
    <w:rsid w:val="548E5813"/>
    <w:rsid w:val="54BC281B"/>
    <w:rsid w:val="54E7304B"/>
    <w:rsid w:val="54EA55DA"/>
    <w:rsid w:val="54EA7388"/>
    <w:rsid w:val="551B5793"/>
    <w:rsid w:val="55500B36"/>
    <w:rsid w:val="55BA31FE"/>
    <w:rsid w:val="55E72F80"/>
    <w:rsid w:val="55F53C2C"/>
    <w:rsid w:val="55FD3133"/>
    <w:rsid w:val="560B12B3"/>
    <w:rsid w:val="562E67F9"/>
    <w:rsid w:val="563C5495"/>
    <w:rsid w:val="56434B55"/>
    <w:rsid w:val="56443940"/>
    <w:rsid w:val="565D3B8A"/>
    <w:rsid w:val="56CA561A"/>
    <w:rsid w:val="57016723"/>
    <w:rsid w:val="571237ED"/>
    <w:rsid w:val="571E01E8"/>
    <w:rsid w:val="57551807"/>
    <w:rsid w:val="576C003B"/>
    <w:rsid w:val="57790E97"/>
    <w:rsid w:val="578565B3"/>
    <w:rsid w:val="5795733C"/>
    <w:rsid w:val="57AF58B5"/>
    <w:rsid w:val="57B97EA1"/>
    <w:rsid w:val="57D57E3D"/>
    <w:rsid w:val="57D7775D"/>
    <w:rsid w:val="580F5357"/>
    <w:rsid w:val="583A7F06"/>
    <w:rsid w:val="58483776"/>
    <w:rsid w:val="58686560"/>
    <w:rsid w:val="587F0726"/>
    <w:rsid w:val="58A107EF"/>
    <w:rsid w:val="58A43CF2"/>
    <w:rsid w:val="58B2640F"/>
    <w:rsid w:val="58C93FD9"/>
    <w:rsid w:val="590040B1"/>
    <w:rsid w:val="591519E0"/>
    <w:rsid w:val="592032E1"/>
    <w:rsid w:val="59350F8E"/>
    <w:rsid w:val="59AB1DA0"/>
    <w:rsid w:val="59C93B3B"/>
    <w:rsid w:val="59EE16C8"/>
    <w:rsid w:val="5A0E1452"/>
    <w:rsid w:val="5A111C53"/>
    <w:rsid w:val="5A271F03"/>
    <w:rsid w:val="5A66205E"/>
    <w:rsid w:val="5A7D0C9E"/>
    <w:rsid w:val="5AC73CC7"/>
    <w:rsid w:val="5AC95C92"/>
    <w:rsid w:val="5AD50438"/>
    <w:rsid w:val="5ADC7773"/>
    <w:rsid w:val="5B1438BC"/>
    <w:rsid w:val="5B4D0D61"/>
    <w:rsid w:val="5B673690"/>
    <w:rsid w:val="5B765E19"/>
    <w:rsid w:val="5B815A94"/>
    <w:rsid w:val="5BB662BF"/>
    <w:rsid w:val="5BF705DC"/>
    <w:rsid w:val="5C03381B"/>
    <w:rsid w:val="5C277114"/>
    <w:rsid w:val="5C391924"/>
    <w:rsid w:val="5C6D5130"/>
    <w:rsid w:val="5C9A1694"/>
    <w:rsid w:val="5CFA2BEB"/>
    <w:rsid w:val="5D113E7C"/>
    <w:rsid w:val="5D2111D8"/>
    <w:rsid w:val="5D3C099D"/>
    <w:rsid w:val="5D3E2C47"/>
    <w:rsid w:val="5D7875A6"/>
    <w:rsid w:val="5DA66C67"/>
    <w:rsid w:val="5DD0013F"/>
    <w:rsid w:val="5DE32AA5"/>
    <w:rsid w:val="5E337FF2"/>
    <w:rsid w:val="5E391380"/>
    <w:rsid w:val="5E4F4700"/>
    <w:rsid w:val="5E622BAC"/>
    <w:rsid w:val="5E8467B7"/>
    <w:rsid w:val="5E90377B"/>
    <w:rsid w:val="5E9E5ED4"/>
    <w:rsid w:val="5EA507C4"/>
    <w:rsid w:val="5EA92586"/>
    <w:rsid w:val="5EB153BA"/>
    <w:rsid w:val="5EB90D2E"/>
    <w:rsid w:val="5EBE4690"/>
    <w:rsid w:val="5ED66BCF"/>
    <w:rsid w:val="5EDA66BF"/>
    <w:rsid w:val="5EDA6A91"/>
    <w:rsid w:val="5EE9582C"/>
    <w:rsid w:val="5F0D0182"/>
    <w:rsid w:val="5F126002"/>
    <w:rsid w:val="5F1A3805"/>
    <w:rsid w:val="5F1F565E"/>
    <w:rsid w:val="5F4673A3"/>
    <w:rsid w:val="5F4A27CC"/>
    <w:rsid w:val="5F5555D5"/>
    <w:rsid w:val="5F623641"/>
    <w:rsid w:val="5F7F7267"/>
    <w:rsid w:val="5F9D5A5D"/>
    <w:rsid w:val="5FDD7FD1"/>
    <w:rsid w:val="5FE80DAB"/>
    <w:rsid w:val="60194FC5"/>
    <w:rsid w:val="603218A9"/>
    <w:rsid w:val="60490780"/>
    <w:rsid w:val="60BB748E"/>
    <w:rsid w:val="60D056F4"/>
    <w:rsid w:val="60F1342B"/>
    <w:rsid w:val="610709AB"/>
    <w:rsid w:val="61152DC7"/>
    <w:rsid w:val="615362B5"/>
    <w:rsid w:val="61581B1D"/>
    <w:rsid w:val="61E810F3"/>
    <w:rsid w:val="61F00415"/>
    <w:rsid w:val="61FC4B9F"/>
    <w:rsid w:val="621427D7"/>
    <w:rsid w:val="626D33A6"/>
    <w:rsid w:val="6293321D"/>
    <w:rsid w:val="62C16EF1"/>
    <w:rsid w:val="62CE062A"/>
    <w:rsid w:val="62E736C8"/>
    <w:rsid w:val="63422A85"/>
    <w:rsid w:val="64013800"/>
    <w:rsid w:val="64294449"/>
    <w:rsid w:val="644764EB"/>
    <w:rsid w:val="644F0FB6"/>
    <w:rsid w:val="64C32BF9"/>
    <w:rsid w:val="64C73242"/>
    <w:rsid w:val="64D378E6"/>
    <w:rsid w:val="651035E2"/>
    <w:rsid w:val="651F72E3"/>
    <w:rsid w:val="655D5D62"/>
    <w:rsid w:val="65903416"/>
    <w:rsid w:val="65AD3D80"/>
    <w:rsid w:val="65FC252E"/>
    <w:rsid w:val="66536C8E"/>
    <w:rsid w:val="667F0B62"/>
    <w:rsid w:val="66AB2855"/>
    <w:rsid w:val="66BC2B4E"/>
    <w:rsid w:val="66DC0AFB"/>
    <w:rsid w:val="66E96069"/>
    <w:rsid w:val="66F24337"/>
    <w:rsid w:val="67167EA1"/>
    <w:rsid w:val="672524A2"/>
    <w:rsid w:val="67635F5D"/>
    <w:rsid w:val="67642FCA"/>
    <w:rsid w:val="67AF51CF"/>
    <w:rsid w:val="67BC2E06"/>
    <w:rsid w:val="67BD2A93"/>
    <w:rsid w:val="67CC7EE1"/>
    <w:rsid w:val="67D7684F"/>
    <w:rsid w:val="67DE49E8"/>
    <w:rsid w:val="67EB5499"/>
    <w:rsid w:val="67F508D2"/>
    <w:rsid w:val="680C2E0D"/>
    <w:rsid w:val="68161BE2"/>
    <w:rsid w:val="682540A2"/>
    <w:rsid w:val="683F78EE"/>
    <w:rsid w:val="68600CBA"/>
    <w:rsid w:val="68615288"/>
    <w:rsid w:val="68A13644"/>
    <w:rsid w:val="68D51363"/>
    <w:rsid w:val="68DE6DAC"/>
    <w:rsid w:val="691E7FBD"/>
    <w:rsid w:val="699B6A4B"/>
    <w:rsid w:val="69C21D45"/>
    <w:rsid w:val="69C25A0D"/>
    <w:rsid w:val="69CF67F1"/>
    <w:rsid w:val="69EC0E79"/>
    <w:rsid w:val="69FB0F56"/>
    <w:rsid w:val="6A050368"/>
    <w:rsid w:val="6A320BDA"/>
    <w:rsid w:val="6A8076B2"/>
    <w:rsid w:val="6AB94C23"/>
    <w:rsid w:val="6ABC1B13"/>
    <w:rsid w:val="6AE25F2E"/>
    <w:rsid w:val="6AE34B4E"/>
    <w:rsid w:val="6AF87D93"/>
    <w:rsid w:val="6B323269"/>
    <w:rsid w:val="6B3929BF"/>
    <w:rsid w:val="6B5275DD"/>
    <w:rsid w:val="6B5A42D3"/>
    <w:rsid w:val="6BA60212"/>
    <w:rsid w:val="6BB54465"/>
    <w:rsid w:val="6BBB0C69"/>
    <w:rsid w:val="6BCC35DE"/>
    <w:rsid w:val="6BED04AF"/>
    <w:rsid w:val="6BF834D4"/>
    <w:rsid w:val="6BF87FC1"/>
    <w:rsid w:val="6C3003AB"/>
    <w:rsid w:val="6C335661"/>
    <w:rsid w:val="6C50283A"/>
    <w:rsid w:val="6C5555D7"/>
    <w:rsid w:val="6C7812C6"/>
    <w:rsid w:val="6C8F2CD6"/>
    <w:rsid w:val="6C9003BD"/>
    <w:rsid w:val="6CAB6FB3"/>
    <w:rsid w:val="6CBD17B5"/>
    <w:rsid w:val="6CE626D3"/>
    <w:rsid w:val="6CFA17F1"/>
    <w:rsid w:val="6D12171A"/>
    <w:rsid w:val="6D1574AE"/>
    <w:rsid w:val="6D4058B3"/>
    <w:rsid w:val="6D451B85"/>
    <w:rsid w:val="6DB2323F"/>
    <w:rsid w:val="6E045376"/>
    <w:rsid w:val="6E510BD5"/>
    <w:rsid w:val="6E53758B"/>
    <w:rsid w:val="6E57633D"/>
    <w:rsid w:val="6E700CB5"/>
    <w:rsid w:val="6E777A87"/>
    <w:rsid w:val="6ED402F5"/>
    <w:rsid w:val="6EF20B58"/>
    <w:rsid w:val="6EFD36FC"/>
    <w:rsid w:val="6F0D2199"/>
    <w:rsid w:val="6F1055D1"/>
    <w:rsid w:val="6F1E43A6"/>
    <w:rsid w:val="6F4436E1"/>
    <w:rsid w:val="6F6C5073"/>
    <w:rsid w:val="6F871F4B"/>
    <w:rsid w:val="6F903864"/>
    <w:rsid w:val="70002AD7"/>
    <w:rsid w:val="704E1BE5"/>
    <w:rsid w:val="70B035B2"/>
    <w:rsid w:val="70DE477E"/>
    <w:rsid w:val="70EB3EFD"/>
    <w:rsid w:val="710B51AC"/>
    <w:rsid w:val="710C4285"/>
    <w:rsid w:val="71165DAF"/>
    <w:rsid w:val="71990C6C"/>
    <w:rsid w:val="71E75101"/>
    <w:rsid w:val="71FB452B"/>
    <w:rsid w:val="721852C6"/>
    <w:rsid w:val="722B014F"/>
    <w:rsid w:val="723F54AE"/>
    <w:rsid w:val="727F515C"/>
    <w:rsid w:val="7285473C"/>
    <w:rsid w:val="7290132D"/>
    <w:rsid w:val="72991C1F"/>
    <w:rsid w:val="72B50B7E"/>
    <w:rsid w:val="72D059B7"/>
    <w:rsid w:val="72E95260"/>
    <w:rsid w:val="73025F26"/>
    <w:rsid w:val="73207868"/>
    <w:rsid w:val="733E3C93"/>
    <w:rsid w:val="7355231E"/>
    <w:rsid w:val="737A5923"/>
    <w:rsid w:val="737B5F85"/>
    <w:rsid w:val="738D1AFA"/>
    <w:rsid w:val="739915E2"/>
    <w:rsid w:val="74201DB5"/>
    <w:rsid w:val="74316401"/>
    <w:rsid w:val="74464F09"/>
    <w:rsid w:val="745D6DE4"/>
    <w:rsid w:val="74F15DD4"/>
    <w:rsid w:val="74F52D8D"/>
    <w:rsid w:val="75055225"/>
    <w:rsid w:val="75233F46"/>
    <w:rsid w:val="75345FBE"/>
    <w:rsid w:val="759D5183"/>
    <w:rsid w:val="75B6111A"/>
    <w:rsid w:val="75CD2682"/>
    <w:rsid w:val="75EB0D5A"/>
    <w:rsid w:val="7634625D"/>
    <w:rsid w:val="763E764A"/>
    <w:rsid w:val="765154F8"/>
    <w:rsid w:val="7658171F"/>
    <w:rsid w:val="76650B0D"/>
    <w:rsid w:val="76780840"/>
    <w:rsid w:val="7696369C"/>
    <w:rsid w:val="76BA70E6"/>
    <w:rsid w:val="76E41B79"/>
    <w:rsid w:val="76EE28B0"/>
    <w:rsid w:val="77043E82"/>
    <w:rsid w:val="770E6B82"/>
    <w:rsid w:val="776B50D2"/>
    <w:rsid w:val="77972F48"/>
    <w:rsid w:val="77C655DB"/>
    <w:rsid w:val="77C817B1"/>
    <w:rsid w:val="77E10287"/>
    <w:rsid w:val="78034139"/>
    <w:rsid w:val="78827754"/>
    <w:rsid w:val="788E0495"/>
    <w:rsid w:val="78A039B3"/>
    <w:rsid w:val="78BF79F2"/>
    <w:rsid w:val="78FD50B1"/>
    <w:rsid w:val="791329C6"/>
    <w:rsid w:val="794443B3"/>
    <w:rsid w:val="79464C25"/>
    <w:rsid w:val="799A6FA8"/>
    <w:rsid w:val="79B17BC5"/>
    <w:rsid w:val="79C76953"/>
    <w:rsid w:val="79D8590D"/>
    <w:rsid w:val="79F0454F"/>
    <w:rsid w:val="7A0B19CB"/>
    <w:rsid w:val="7A1133DF"/>
    <w:rsid w:val="7A1302FC"/>
    <w:rsid w:val="7A5D252C"/>
    <w:rsid w:val="7A6E11E0"/>
    <w:rsid w:val="7A80470C"/>
    <w:rsid w:val="7A885D79"/>
    <w:rsid w:val="7A8B1EC4"/>
    <w:rsid w:val="7AD251AF"/>
    <w:rsid w:val="7B327C17"/>
    <w:rsid w:val="7B4357F6"/>
    <w:rsid w:val="7B5E0F76"/>
    <w:rsid w:val="7B8A4AB6"/>
    <w:rsid w:val="7BA94019"/>
    <w:rsid w:val="7C180B2E"/>
    <w:rsid w:val="7C270D7A"/>
    <w:rsid w:val="7C46000A"/>
    <w:rsid w:val="7C5E5DE2"/>
    <w:rsid w:val="7C943EFA"/>
    <w:rsid w:val="7D38D119"/>
    <w:rsid w:val="7D904A45"/>
    <w:rsid w:val="7DA13F3E"/>
    <w:rsid w:val="7DBD03D9"/>
    <w:rsid w:val="7E253138"/>
    <w:rsid w:val="7E2B5CD8"/>
    <w:rsid w:val="7E3178F8"/>
    <w:rsid w:val="7E397793"/>
    <w:rsid w:val="7E490D14"/>
    <w:rsid w:val="7E5847C3"/>
    <w:rsid w:val="7E6973DE"/>
    <w:rsid w:val="7E7A11D0"/>
    <w:rsid w:val="7EF722B8"/>
    <w:rsid w:val="7EFD0314"/>
    <w:rsid w:val="7F160FB2"/>
    <w:rsid w:val="7F192331"/>
    <w:rsid w:val="7F1B5B78"/>
    <w:rsid w:val="7F2F3DF2"/>
    <w:rsid w:val="7F434F8F"/>
    <w:rsid w:val="7F856EEF"/>
    <w:rsid w:val="7FC23090"/>
    <w:rsid w:val="7FE505C8"/>
    <w:rsid w:val="7FF67C58"/>
    <w:rsid w:val="FEFCAD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0"/>
    <w:qFormat/>
    <w:uiPriority w:val="0"/>
    <w:pPr>
      <w:keepNext/>
      <w:spacing w:before="240" w:after="60"/>
      <w:outlineLvl w:val="1"/>
    </w:pPr>
    <w:rPr>
      <w:rFonts w:ascii="Cambria" w:hAnsi="Cambria"/>
      <w:b/>
      <w:bCs/>
      <w:i/>
      <w:iCs/>
      <w:sz w:val="28"/>
      <w:szCs w:val="28"/>
    </w:rPr>
  </w:style>
  <w:style w:type="paragraph" w:styleId="4">
    <w:name w:val="heading 3"/>
    <w:basedOn w:val="1"/>
    <w:next w:val="1"/>
    <w:link w:val="101"/>
    <w:qFormat/>
    <w:uiPriority w:val="0"/>
    <w:pPr>
      <w:keepNext/>
      <w:spacing w:before="240" w:after="60"/>
      <w:outlineLvl w:val="2"/>
    </w:pPr>
    <w:rPr>
      <w:rFonts w:ascii="Cambria" w:hAnsi="Cambria"/>
      <w:b/>
      <w:bCs/>
      <w:sz w:val="26"/>
      <w:szCs w:val="26"/>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9"/>
    <w:pPr>
      <w:spacing w:before="240" w:after="60"/>
      <w:outlineLvl w:val="4"/>
    </w:pPr>
    <w:rPr>
      <w:b/>
      <w:bCs/>
      <w:i/>
      <w:iCs/>
      <w:sz w:val="26"/>
      <w:szCs w:val="26"/>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40"/>
    <w:semiHidden/>
    <w:unhideWhenUsed/>
    <w:qFormat/>
    <w:uiPriority w:val="99"/>
    <w:rPr>
      <w:rFonts w:ascii="宋体"/>
      <w:sz w:val="18"/>
      <w:szCs w:val="18"/>
    </w:rPr>
  </w:style>
  <w:style w:type="paragraph" w:styleId="8">
    <w:name w:val="annotation text"/>
    <w:basedOn w:val="1"/>
    <w:link w:val="68"/>
    <w:semiHidden/>
    <w:qFormat/>
    <w:uiPriority w:val="0"/>
    <w:pPr>
      <w:jc w:val="left"/>
    </w:pPr>
    <w:rPr>
      <w:rFonts w:asciiTheme="minorHAnsi" w:hAnsiTheme="minorHAnsi" w:cstheme="minorBidi"/>
    </w:rPr>
  </w:style>
  <w:style w:type="paragraph" w:styleId="9">
    <w:name w:val="Body Text"/>
    <w:basedOn w:val="1"/>
    <w:link w:val="59"/>
    <w:qFormat/>
    <w:uiPriority w:val="0"/>
    <w:rPr>
      <w:rFonts w:eastAsia="楷体_GB2312"/>
      <w:sz w:val="28"/>
      <w:szCs w:val="20"/>
    </w:rPr>
  </w:style>
  <w:style w:type="paragraph" w:styleId="10">
    <w:name w:val="Body Text Indent"/>
    <w:basedOn w:val="1"/>
    <w:link w:val="63"/>
    <w:qFormat/>
    <w:uiPriority w:val="0"/>
    <w:pPr>
      <w:spacing w:after="120"/>
      <w:ind w:left="420" w:leftChars="200"/>
    </w:pPr>
  </w:style>
  <w:style w:type="paragraph" w:styleId="11">
    <w:name w:val="toc 5"/>
    <w:basedOn w:val="1"/>
    <w:next w:val="1"/>
    <w:qFormat/>
    <w:uiPriority w:val="0"/>
    <w:pPr>
      <w:tabs>
        <w:tab w:val="right" w:leader="dot" w:pos="8296"/>
      </w:tabs>
      <w:ind w:left="1050" w:leftChars="500"/>
    </w:pPr>
  </w:style>
  <w:style w:type="paragraph" w:styleId="12">
    <w:name w:val="toc 3"/>
    <w:basedOn w:val="1"/>
    <w:next w:val="1"/>
    <w:qFormat/>
    <w:uiPriority w:val="39"/>
    <w:pPr>
      <w:ind w:left="840" w:leftChars="400"/>
    </w:pPr>
  </w:style>
  <w:style w:type="paragraph" w:styleId="13">
    <w:name w:val="Balloon Text"/>
    <w:basedOn w:val="1"/>
    <w:link w:val="39"/>
    <w:semiHidden/>
    <w:unhideWhenUsed/>
    <w:qFormat/>
    <w:uiPriority w:val="99"/>
    <w:rPr>
      <w:sz w:val="18"/>
      <w:szCs w:val="18"/>
    </w:r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629"/>
      </w:tabs>
    </w:pPr>
    <w:rPr>
      <w:b/>
    </w:rPr>
  </w:style>
  <w:style w:type="paragraph" w:styleId="17">
    <w:name w:val="toc 4"/>
    <w:basedOn w:val="1"/>
    <w:next w:val="1"/>
    <w:qFormat/>
    <w:uiPriority w:val="0"/>
    <w:pPr>
      <w:tabs>
        <w:tab w:val="left" w:pos="1890"/>
        <w:tab w:val="right" w:leader="dot" w:pos="8296"/>
      </w:tabs>
      <w:ind w:left="630" w:leftChars="300"/>
    </w:pPr>
  </w:style>
  <w:style w:type="paragraph" w:styleId="18">
    <w:name w:val="toc 2"/>
    <w:basedOn w:val="1"/>
    <w:next w:val="1"/>
    <w:qFormat/>
    <w:uiPriority w:val="39"/>
    <w:pPr>
      <w:tabs>
        <w:tab w:val="right" w:leader="dot" w:pos="9629"/>
      </w:tabs>
      <w:ind w:left="480" w:leftChars="200"/>
    </w:pPr>
    <w:rPr>
      <w:b/>
    </w:rPr>
  </w:style>
  <w:style w:type="paragraph" w:styleId="19">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0">
    <w:name w:val="annotation subject"/>
    <w:basedOn w:val="8"/>
    <w:next w:val="8"/>
    <w:link w:val="44"/>
    <w:semiHidden/>
    <w:unhideWhenUsed/>
    <w:qFormat/>
    <w:uiPriority w:val="99"/>
    <w:rPr>
      <w:rFonts w:ascii="Times New Roman" w:hAnsi="Times New Roman" w:cs="Times New Roman"/>
      <w:b/>
      <w:bCs/>
    </w:rPr>
  </w:style>
  <w:style w:type="paragraph" w:styleId="21">
    <w:name w:val="Body Text First Indent"/>
    <w:basedOn w:val="9"/>
    <w:link w:val="60"/>
    <w:semiHidden/>
    <w:unhideWhenUsed/>
    <w:qFormat/>
    <w:uiPriority w:val="99"/>
    <w:pPr>
      <w:ind w:firstLine="420" w:firstLineChars="100"/>
    </w:pPr>
  </w:style>
  <w:style w:type="paragraph" w:styleId="22">
    <w:name w:val="Body Text First Indent 2"/>
    <w:basedOn w:val="10"/>
    <w:link w:val="64"/>
    <w:qFormat/>
    <w:uiPriority w:val="0"/>
    <w:pPr>
      <w:spacing w:line="276" w:lineRule="auto"/>
      <w:ind w:left="200" w:firstLine="200" w:firstLineChars="200"/>
      <w:jc w:val="left"/>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FollowedHyperlink"/>
    <w:basedOn w:val="25"/>
    <w:semiHidden/>
    <w:unhideWhenUsed/>
    <w:qFormat/>
    <w:uiPriority w:val="99"/>
    <w:rPr>
      <w:color w:val="4D7AD8"/>
      <w:u w:val="none"/>
    </w:rPr>
  </w:style>
  <w:style w:type="character" w:styleId="28">
    <w:name w:val="HTML Definition"/>
    <w:basedOn w:val="25"/>
    <w:semiHidden/>
    <w:unhideWhenUsed/>
    <w:qFormat/>
    <w:uiPriority w:val="99"/>
    <w:rPr>
      <w:i/>
      <w:iCs/>
    </w:rPr>
  </w:style>
  <w:style w:type="character" w:styleId="29">
    <w:name w:val="Hyperlink"/>
    <w:basedOn w:val="25"/>
    <w:qFormat/>
    <w:uiPriority w:val="99"/>
    <w:rPr>
      <w:rFonts w:eastAsia="宋体"/>
      <w:color w:val="0000FF"/>
      <w:sz w:val="24"/>
      <w:u w:val="single"/>
    </w:rPr>
  </w:style>
  <w:style w:type="character" w:styleId="30">
    <w:name w:val="HTML Code"/>
    <w:basedOn w:val="25"/>
    <w:semiHidden/>
    <w:unhideWhenUsed/>
    <w:qFormat/>
    <w:uiPriority w:val="99"/>
    <w:rPr>
      <w:rFonts w:hint="default" w:ascii="Consolas" w:hAnsi="Consolas" w:eastAsia="Consolas" w:cs="Consolas"/>
      <w:sz w:val="21"/>
      <w:szCs w:val="21"/>
      <w:shd w:val="clear" w:color="auto" w:fill="F8F8F8"/>
    </w:rPr>
  </w:style>
  <w:style w:type="character" w:styleId="31">
    <w:name w:val="annotation reference"/>
    <w:basedOn w:val="25"/>
    <w:qFormat/>
    <w:uiPriority w:val="0"/>
    <w:rPr>
      <w:sz w:val="21"/>
      <w:szCs w:val="21"/>
    </w:rPr>
  </w:style>
  <w:style w:type="character" w:styleId="32">
    <w:name w:val="HTML Keyboard"/>
    <w:basedOn w:val="25"/>
    <w:semiHidden/>
    <w:unhideWhenUsed/>
    <w:qFormat/>
    <w:uiPriority w:val="99"/>
    <w:rPr>
      <w:rFonts w:hint="default" w:ascii="Consolas" w:hAnsi="Consolas" w:eastAsia="Consolas" w:cs="Consolas"/>
      <w:sz w:val="21"/>
      <w:szCs w:val="21"/>
    </w:rPr>
  </w:style>
  <w:style w:type="character" w:styleId="33">
    <w:name w:val="HTML Sample"/>
    <w:basedOn w:val="25"/>
    <w:semiHidden/>
    <w:unhideWhenUsed/>
    <w:qFormat/>
    <w:uiPriority w:val="99"/>
    <w:rPr>
      <w:rFonts w:ascii="Consolas" w:hAnsi="Consolas" w:eastAsia="Consolas" w:cs="Consolas"/>
      <w:sz w:val="21"/>
      <w:szCs w:val="21"/>
    </w:rPr>
  </w:style>
  <w:style w:type="paragraph" w:customStyle="1" w:styleId="34">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5">
    <w:name w:val="列出段落1"/>
    <w:basedOn w:val="1"/>
    <w:unhideWhenUsed/>
    <w:qFormat/>
    <w:uiPriority w:val="34"/>
    <w:pPr>
      <w:ind w:firstLine="420" w:firstLineChars="200"/>
    </w:pPr>
    <w:rPr>
      <w:rFonts w:hint="eastAsia"/>
    </w:rPr>
  </w:style>
  <w:style w:type="character" w:customStyle="1" w:styleId="36">
    <w:name w:val="标题 1 字符"/>
    <w:basedOn w:val="25"/>
    <w:link w:val="2"/>
    <w:qFormat/>
    <w:uiPriority w:val="0"/>
    <w:rPr>
      <w:rFonts w:ascii="Times New Roman" w:hAnsi="Times New Roman" w:eastAsia="宋体" w:cs="Times New Roman"/>
      <w:b/>
      <w:bCs/>
      <w:kern w:val="44"/>
      <w:sz w:val="44"/>
      <w:szCs w:val="44"/>
    </w:rPr>
  </w:style>
  <w:style w:type="character" w:customStyle="1" w:styleId="37">
    <w:name w:val="批注文字 字符"/>
    <w:semiHidden/>
    <w:qFormat/>
    <w:uiPriority w:val="0"/>
    <w:rPr>
      <w:rFonts w:eastAsia="宋体"/>
      <w:szCs w:val="24"/>
    </w:rPr>
  </w:style>
  <w:style w:type="character" w:customStyle="1" w:styleId="38">
    <w:name w:val="批注文字 Char1"/>
    <w:basedOn w:val="25"/>
    <w:semiHidden/>
    <w:qFormat/>
    <w:uiPriority w:val="99"/>
    <w:rPr>
      <w:rFonts w:ascii="Times New Roman" w:hAnsi="Times New Roman" w:eastAsia="宋体" w:cs="Times New Roman"/>
      <w:szCs w:val="24"/>
    </w:rPr>
  </w:style>
  <w:style w:type="character" w:customStyle="1" w:styleId="39">
    <w:name w:val="批注框文本 字符"/>
    <w:basedOn w:val="25"/>
    <w:link w:val="13"/>
    <w:semiHidden/>
    <w:qFormat/>
    <w:uiPriority w:val="99"/>
    <w:rPr>
      <w:rFonts w:ascii="Times New Roman" w:hAnsi="Times New Roman" w:eastAsia="宋体" w:cs="Times New Roman"/>
      <w:sz w:val="18"/>
      <w:szCs w:val="18"/>
    </w:rPr>
  </w:style>
  <w:style w:type="character" w:customStyle="1" w:styleId="40">
    <w:name w:val="文档结构图 字符"/>
    <w:basedOn w:val="25"/>
    <w:link w:val="7"/>
    <w:semiHidden/>
    <w:qFormat/>
    <w:uiPriority w:val="99"/>
    <w:rPr>
      <w:rFonts w:ascii="宋体" w:hAnsi="Times New Roman" w:eastAsia="宋体" w:cs="Times New Roman"/>
      <w:sz w:val="18"/>
      <w:szCs w:val="18"/>
    </w:rPr>
  </w:style>
  <w:style w:type="character" w:customStyle="1" w:styleId="41">
    <w:name w:val="页眉 字符"/>
    <w:basedOn w:val="25"/>
    <w:link w:val="15"/>
    <w:qFormat/>
    <w:uiPriority w:val="99"/>
    <w:rPr>
      <w:rFonts w:ascii="Times New Roman" w:hAnsi="Times New Roman" w:eastAsia="宋体" w:cs="Times New Roman"/>
      <w:sz w:val="18"/>
      <w:szCs w:val="18"/>
    </w:rPr>
  </w:style>
  <w:style w:type="character" w:customStyle="1" w:styleId="42">
    <w:name w:val="页脚 字符"/>
    <w:basedOn w:val="25"/>
    <w:link w:val="14"/>
    <w:qFormat/>
    <w:uiPriority w:val="99"/>
    <w:rPr>
      <w:rFonts w:ascii="Times New Roman" w:hAnsi="Times New Roman" w:eastAsia="宋体" w:cs="Times New Roman"/>
      <w:sz w:val="18"/>
      <w:szCs w:val="18"/>
    </w:rPr>
  </w:style>
  <w:style w:type="character" w:customStyle="1" w:styleId="43">
    <w:name w:val="NormalCharacter"/>
    <w:qFormat/>
    <w:uiPriority w:val="0"/>
  </w:style>
  <w:style w:type="character" w:customStyle="1" w:styleId="44">
    <w:name w:val="批注主题 字符"/>
    <w:basedOn w:val="37"/>
    <w:link w:val="20"/>
    <w:semiHidden/>
    <w:qFormat/>
    <w:uiPriority w:val="99"/>
    <w:rPr>
      <w:rFonts w:eastAsia="宋体"/>
      <w:b/>
      <w:bCs/>
      <w:kern w:val="2"/>
      <w:sz w:val="21"/>
      <w:szCs w:val="24"/>
    </w:rPr>
  </w:style>
  <w:style w:type="paragraph" w:customStyle="1" w:styleId="45">
    <w:name w:val="BodyText3"/>
    <w:basedOn w:val="1"/>
    <w:qFormat/>
    <w:uiPriority w:val="0"/>
    <w:pPr>
      <w:spacing w:after="120"/>
    </w:pPr>
    <w:rPr>
      <w:sz w:val="16"/>
      <w:szCs w:val="16"/>
    </w:rPr>
  </w:style>
  <w:style w:type="paragraph" w:customStyle="1" w:styleId="46">
    <w:name w:val="UserStyle_92"/>
    <w:basedOn w:val="1"/>
    <w:qFormat/>
    <w:uiPriority w:val="0"/>
    <w:rPr>
      <w:szCs w:val="21"/>
    </w:rPr>
  </w:style>
  <w:style w:type="paragraph" w:customStyle="1" w:styleId="47">
    <w:name w:val="UserStyle_95"/>
    <w:basedOn w:val="48"/>
    <w:qFormat/>
    <w:uiPriority w:val="0"/>
  </w:style>
  <w:style w:type="paragraph" w:customStyle="1" w:styleId="48">
    <w:name w:val="Heading4"/>
    <w:basedOn w:val="1"/>
    <w:next w:val="1"/>
    <w:qFormat/>
    <w:uiPriority w:val="0"/>
    <w:pPr>
      <w:keepNext/>
      <w:spacing w:before="240" w:after="60"/>
    </w:pPr>
    <w:rPr>
      <w:b/>
      <w:bCs/>
      <w:sz w:val="28"/>
      <w:szCs w:val="28"/>
    </w:rPr>
  </w:style>
  <w:style w:type="paragraph" w:customStyle="1" w:styleId="49">
    <w:name w:val="Heading2"/>
    <w:basedOn w:val="1"/>
    <w:next w:val="1"/>
    <w:qFormat/>
    <w:uiPriority w:val="0"/>
    <w:pPr>
      <w:keepNext/>
      <w:spacing w:before="240" w:after="60"/>
    </w:pPr>
    <w:rPr>
      <w:rFonts w:ascii="Cambria" w:hAnsi="Cambria"/>
      <w:b/>
      <w:bCs/>
      <w:i/>
      <w:iCs/>
      <w:sz w:val="28"/>
      <w:szCs w:val="28"/>
    </w:rPr>
  </w:style>
  <w:style w:type="paragraph" w:customStyle="1" w:styleId="50">
    <w:name w:val="BodyTextIndent"/>
    <w:basedOn w:val="1"/>
    <w:qFormat/>
    <w:uiPriority w:val="0"/>
    <w:pPr>
      <w:spacing w:after="120"/>
      <w:ind w:left="420" w:leftChars="200"/>
    </w:pPr>
    <w:rPr>
      <w:sz w:val="20"/>
    </w:rPr>
  </w:style>
  <w:style w:type="paragraph" w:customStyle="1" w:styleId="51">
    <w:name w:val="Heading3"/>
    <w:basedOn w:val="1"/>
    <w:next w:val="1"/>
    <w:qFormat/>
    <w:uiPriority w:val="0"/>
    <w:pPr>
      <w:keepNext/>
      <w:spacing w:before="240" w:after="60"/>
    </w:pPr>
    <w:rPr>
      <w:rFonts w:ascii="Cambria" w:hAnsi="Cambria"/>
      <w:b/>
      <w:bCs/>
      <w:sz w:val="26"/>
      <w:szCs w:val="26"/>
    </w:rPr>
  </w:style>
  <w:style w:type="paragraph" w:styleId="52">
    <w:name w:val="List Paragraph"/>
    <w:basedOn w:val="1"/>
    <w:unhideWhenUsed/>
    <w:qFormat/>
    <w:uiPriority w:val="34"/>
    <w:pPr>
      <w:ind w:firstLine="420" w:firstLineChars="200"/>
    </w:pPr>
  </w:style>
  <w:style w:type="character" w:customStyle="1" w:styleId="53">
    <w:name w:val="font101"/>
    <w:basedOn w:val="25"/>
    <w:qFormat/>
    <w:uiPriority w:val="0"/>
    <w:rPr>
      <w:rFonts w:hint="eastAsia" w:ascii="仿宋" w:hAnsi="仿宋" w:eastAsia="仿宋" w:cs="仿宋"/>
      <w:color w:val="000000"/>
      <w:sz w:val="28"/>
      <w:szCs w:val="28"/>
      <w:u w:val="none"/>
    </w:rPr>
  </w:style>
  <w:style w:type="paragraph" w:customStyle="1" w:styleId="54">
    <w:name w:val="标题4"/>
    <w:basedOn w:val="5"/>
    <w:qFormat/>
    <w:uiPriority w:val="0"/>
  </w:style>
  <w:style w:type="character" w:customStyle="1" w:styleId="55">
    <w:name w:val="font81"/>
    <w:basedOn w:val="25"/>
    <w:qFormat/>
    <w:uiPriority w:val="0"/>
    <w:rPr>
      <w:rFonts w:hint="eastAsia" w:ascii="仿宋" w:hAnsi="仿宋" w:eastAsia="仿宋" w:cs="仿宋"/>
      <w:color w:val="000000"/>
      <w:sz w:val="24"/>
      <w:szCs w:val="24"/>
      <w:u w:val="none"/>
    </w:rPr>
  </w:style>
  <w:style w:type="character" w:customStyle="1" w:styleId="56">
    <w:name w:val="font11"/>
    <w:basedOn w:val="25"/>
    <w:qFormat/>
    <w:uiPriority w:val="0"/>
    <w:rPr>
      <w:rFonts w:hint="eastAsia" w:ascii="仿宋" w:hAnsi="仿宋" w:eastAsia="仿宋" w:cs="仿宋"/>
      <w:color w:val="000000"/>
      <w:sz w:val="24"/>
      <w:szCs w:val="24"/>
      <w:u w:val="none"/>
    </w:rPr>
  </w:style>
  <w:style w:type="character" w:customStyle="1" w:styleId="57">
    <w:name w:val="font01"/>
    <w:basedOn w:val="25"/>
    <w:qFormat/>
    <w:uiPriority w:val="0"/>
    <w:rPr>
      <w:rFonts w:ascii="Arial" w:hAnsi="Arial" w:cs="Arial"/>
      <w:color w:val="000000"/>
      <w:sz w:val="24"/>
      <w:szCs w:val="24"/>
      <w:u w:val="none"/>
    </w:rPr>
  </w:style>
  <w:style w:type="character" w:customStyle="1" w:styleId="58">
    <w:name w:val="font31"/>
    <w:basedOn w:val="25"/>
    <w:qFormat/>
    <w:uiPriority w:val="0"/>
    <w:rPr>
      <w:rFonts w:hint="eastAsia" w:ascii="仿宋" w:hAnsi="仿宋" w:eastAsia="仿宋" w:cs="仿宋"/>
      <w:color w:val="000000"/>
      <w:sz w:val="28"/>
      <w:szCs w:val="28"/>
      <w:u w:val="none"/>
    </w:rPr>
  </w:style>
  <w:style w:type="character" w:customStyle="1" w:styleId="59">
    <w:name w:val="正文文本 字符"/>
    <w:basedOn w:val="25"/>
    <w:link w:val="9"/>
    <w:qFormat/>
    <w:uiPriority w:val="0"/>
    <w:rPr>
      <w:kern w:val="2"/>
      <w:sz w:val="21"/>
      <w:szCs w:val="24"/>
    </w:rPr>
  </w:style>
  <w:style w:type="character" w:customStyle="1" w:styleId="60">
    <w:name w:val="正文文本首行缩进 字符"/>
    <w:link w:val="21"/>
    <w:qFormat/>
    <w:uiPriority w:val="0"/>
    <w:rPr>
      <w:sz w:val="21"/>
      <w:szCs w:val="21"/>
    </w:rPr>
  </w:style>
  <w:style w:type="character" w:customStyle="1" w:styleId="61">
    <w:name w:val="正文文本缩进 字符"/>
    <w:basedOn w:val="25"/>
    <w:qFormat/>
    <w:uiPriority w:val="0"/>
    <w:rPr>
      <w:sz w:val="21"/>
      <w:szCs w:val="21"/>
    </w:rPr>
  </w:style>
  <w:style w:type="character" w:customStyle="1" w:styleId="62">
    <w:name w:val="正文首行缩进 2 字符"/>
    <w:basedOn w:val="61"/>
    <w:qFormat/>
    <w:uiPriority w:val="0"/>
    <w:rPr>
      <w:sz w:val="21"/>
      <w:szCs w:val="21"/>
    </w:rPr>
  </w:style>
  <w:style w:type="character" w:customStyle="1" w:styleId="63">
    <w:name w:val="正文文本缩进 字符1"/>
    <w:basedOn w:val="25"/>
    <w:link w:val="10"/>
    <w:qFormat/>
    <w:uiPriority w:val="0"/>
    <w:rPr>
      <w:kern w:val="2"/>
      <w:sz w:val="21"/>
      <w:szCs w:val="21"/>
    </w:rPr>
  </w:style>
  <w:style w:type="character" w:customStyle="1" w:styleId="64">
    <w:name w:val="正文文本首行缩进 2 字符"/>
    <w:basedOn w:val="63"/>
    <w:link w:val="22"/>
    <w:qFormat/>
    <w:uiPriority w:val="0"/>
    <w:rPr>
      <w:kern w:val="2"/>
      <w:sz w:val="21"/>
      <w:szCs w:val="21"/>
    </w:rPr>
  </w:style>
  <w:style w:type="paragraph" w:customStyle="1" w:styleId="65">
    <w:name w:val="TOC 标题1"/>
    <w:basedOn w:val="2"/>
    <w:next w:val="1"/>
    <w:qFormat/>
    <w:uiPriority w:val="0"/>
    <w:pPr>
      <w:outlineLvl w:val="9"/>
    </w:pPr>
  </w:style>
  <w:style w:type="paragraph" w:customStyle="1" w:styleId="6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7">
    <w:name w:val="_Style 6"/>
    <w:basedOn w:val="2"/>
    <w:next w:val="1"/>
    <w:qFormat/>
    <w:uiPriority w:val="0"/>
    <w:pPr>
      <w:outlineLvl w:val="9"/>
    </w:pPr>
  </w:style>
  <w:style w:type="character" w:customStyle="1" w:styleId="68">
    <w:name w:val="批注文字 字符1"/>
    <w:basedOn w:val="25"/>
    <w:link w:val="8"/>
    <w:qFormat/>
    <w:uiPriority w:val="0"/>
    <w:rPr>
      <w:rFonts w:hint="default" w:ascii="Times New Roman" w:hAnsi="Times New Roman" w:cs="Times New Roman"/>
      <w:kern w:val="2"/>
      <w:sz w:val="21"/>
      <w:szCs w:val="24"/>
    </w:rPr>
  </w:style>
  <w:style w:type="character" w:customStyle="1" w:styleId="69">
    <w:name w:val="cke_path_empty2"/>
    <w:basedOn w:val="25"/>
    <w:qFormat/>
    <w:uiPriority w:val="0"/>
    <w:rPr>
      <w:b/>
      <w:bCs/>
      <w:color w:val="484848"/>
      <w:sz w:val="16"/>
      <w:szCs w:val="16"/>
      <w:u w:val="none"/>
    </w:rPr>
  </w:style>
  <w:style w:type="character" w:customStyle="1" w:styleId="70">
    <w:name w:val="isrevision"/>
    <w:basedOn w:val="25"/>
    <w:qFormat/>
    <w:uiPriority w:val="0"/>
    <w:rPr>
      <w:color w:val="000000"/>
      <w:sz w:val="18"/>
      <w:szCs w:val="18"/>
      <w:bdr w:val="single" w:color="E9E9E9" w:sz="6" w:space="0"/>
      <w:shd w:val="clear" w:color="auto" w:fill="FFFFFF"/>
    </w:rPr>
  </w:style>
  <w:style w:type="character" w:customStyle="1" w:styleId="71">
    <w:name w:val="ant-tree-iconele"/>
    <w:basedOn w:val="25"/>
    <w:qFormat/>
    <w:uiPriority w:val="0"/>
  </w:style>
  <w:style w:type="character" w:customStyle="1" w:styleId="72">
    <w:name w:val="cke_colorbox"/>
    <w:basedOn w:val="25"/>
    <w:qFormat/>
    <w:uiPriority w:val="0"/>
    <w:rPr>
      <w:bdr w:val="single" w:color="808080" w:sz="6" w:space="0"/>
    </w:rPr>
  </w:style>
  <w:style w:type="character" w:customStyle="1" w:styleId="73">
    <w:name w:val="cke_colorbox1"/>
    <w:basedOn w:val="25"/>
    <w:qFormat/>
    <w:uiPriority w:val="0"/>
  </w:style>
  <w:style w:type="character" w:customStyle="1" w:styleId="74">
    <w:name w:val="cke_colorbox2"/>
    <w:basedOn w:val="25"/>
    <w:qFormat/>
    <w:uiPriority w:val="0"/>
  </w:style>
  <w:style w:type="character" w:customStyle="1" w:styleId="75">
    <w:name w:val="cke_colorbox3"/>
    <w:basedOn w:val="25"/>
    <w:qFormat/>
    <w:uiPriority w:val="0"/>
  </w:style>
  <w:style w:type="character" w:customStyle="1" w:styleId="76">
    <w:name w:val="button"/>
    <w:basedOn w:val="25"/>
    <w:qFormat/>
    <w:uiPriority w:val="0"/>
  </w:style>
  <w:style w:type="character" w:customStyle="1" w:styleId="77">
    <w:name w:val="button1"/>
    <w:basedOn w:val="25"/>
    <w:qFormat/>
    <w:uiPriority w:val="0"/>
  </w:style>
  <w:style w:type="character" w:customStyle="1" w:styleId="78">
    <w:name w:val="ant-radio+*"/>
    <w:basedOn w:val="25"/>
    <w:qFormat/>
    <w:uiPriority w:val="0"/>
  </w:style>
  <w:style w:type="character" w:customStyle="1" w:styleId="79">
    <w:name w:val="tmpztreemove_arrow"/>
    <w:basedOn w:val="25"/>
    <w:qFormat/>
    <w:uiPriority w:val="0"/>
  </w:style>
  <w:style w:type="character" w:customStyle="1" w:styleId="80">
    <w:name w:val="cke_dialog_ui_button"/>
    <w:basedOn w:val="25"/>
    <w:qFormat/>
    <w:uiPriority w:val="0"/>
  </w:style>
  <w:style w:type="character" w:customStyle="1" w:styleId="81">
    <w:name w:val="first-of-type"/>
    <w:basedOn w:val="25"/>
    <w:qFormat/>
    <w:uiPriority w:val="0"/>
    <w:rPr>
      <w:color w:val="FF0000"/>
    </w:rPr>
  </w:style>
  <w:style w:type="character" w:customStyle="1" w:styleId="82">
    <w:name w:val="first-of-type1"/>
    <w:basedOn w:val="25"/>
    <w:qFormat/>
    <w:uiPriority w:val="0"/>
    <w:rPr>
      <w:color w:val="FF0000"/>
    </w:rPr>
  </w:style>
  <w:style w:type="character" w:customStyle="1" w:styleId="83">
    <w:name w:val="not-pass-node"/>
    <w:basedOn w:val="25"/>
    <w:qFormat/>
    <w:uiPriority w:val="0"/>
    <w:rPr>
      <w:bdr w:val="single" w:color="5ABD6B" w:sz="6" w:space="0"/>
      <w:shd w:val="clear" w:color="auto" w:fill="BFF3C3"/>
    </w:rPr>
  </w:style>
  <w:style w:type="character" w:customStyle="1" w:styleId="84">
    <w:name w:val="wea-dropdown-triangle2"/>
    <w:basedOn w:val="25"/>
    <w:qFormat/>
    <w:uiPriority w:val="0"/>
  </w:style>
  <w:style w:type="character" w:customStyle="1" w:styleId="85">
    <w:name w:val="current-node"/>
    <w:basedOn w:val="25"/>
    <w:qFormat/>
    <w:uiPriority w:val="0"/>
    <w:rPr>
      <w:bdr w:val="single" w:color="F5B87B" w:sz="6" w:space="0"/>
      <w:shd w:val="clear" w:color="auto" w:fill="FFE8CC"/>
    </w:rPr>
  </w:style>
  <w:style w:type="character" w:customStyle="1" w:styleId="86">
    <w:name w:val="passed-node"/>
    <w:basedOn w:val="25"/>
    <w:qFormat/>
    <w:uiPriority w:val="0"/>
    <w:rPr>
      <w:bdr w:val="single" w:color="49A8D4" w:sz="6" w:space="0"/>
      <w:shd w:val="clear" w:color="auto" w:fill="A9E3FF"/>
    </w:rPr>
  </w:style>
  <w:style w:type="character" w:customStyle="1" w:styleId="87">
    <w:name w:val="auto-pass-node"/>
    <w:basedOn w:val="25"/>
    <w:qFormat/>
    <w:uiPriority w:val="0"/>
    <w:rPr>
      <w:bdr w:val="single" w:color="DC4446" w:sz="6" w:space="0"/>
      <w:shd w:val="clear" w:color="auto" w:fill="A9E2FF"/>
    </w:rPr>
  </w:style>
  <w:style w:type="character" w:customStyle="1" w:styleId="88">
    <w:name w:val="hover34"/>
    <w:basedOn w:val="25"/>
    <w:qFormat/>
    <w:uiPriority w:val="0"/>
    <w:rPr>
      <w:color w:val="009DFF"/>
    </w:rPr>
  </w:style>
  <w:style w:type="character" w:customStyle="1" w:styleId="89">
    <w:name w:val="hover35"/>
    <w:basedOn w:val="25"/>
    <w:qFormat/>
    <w:uiPriority w:val="0"/>
    <w:rPr>
      <w:color w:val="009DFF"/>
    </w:rPr>
  </w:style>
  <w:style w:type="character" w:customStyle="1" w:styleId="90">
    <w:name w:val="disabled"/>
    <w:basedOn w:val="25"/>
    <w:qFormat/>
    <w:uiPriority w:val="0"/>
    <w:rPr>
      <w:color w:val="AAAAAA"/>
      <w:shd w:val="clear" w:color="auto" w:fill="F7F7F7"/>
    </w:rPr>
  </w:style>
  <w:style w:type="character" w:customStyle="1" w:styleId="91">
    <w:name w:val="ant-select-tree-checkbox"/>
    <w:basedOn w:val="25"/>
    <w:qFormat/>
    <w:uiPriority w:val="0"/>
  </w:style>
  <w:style w:type="character" w:customStyle="1" w:styleId="92">
    <w:name w:val="ant-select-tree-iconele"/>
    <w:basedOn w:val="25"/>
    <w:qFormat/>
    <w:uiPriority w:val="0"/>
  </w:style>
  <w:style w:type="character" w:customStyle="1" w:styleId="93">
    <w:name w:val="ant-select-tree-switcher"/>
    <w:basedOn w:val="25"/>
    <w:qFormat/>
    <w:uiPriority w:val="0"/>
  </w:style>
  <w:style w:type="character" w:customStyle="1" w:styleId="94">
    <w:name w:val="ant-tree-checkbox8"/>
    <w:basedOn w:val="25"/>
    <w:qFormat/>
    <w:uiPriority w:val="0"/>
  </w:style>
  <w:style w:type="character" w:customStyle="1" w:styleId="95">
    <w:name w:val="ant-tree-switcher10"/>
    <w:basedOn w:val="25"/>
    <w:qFormat/>
    <w:uiPriority w:val="0"/>
  </w:style>
  <w:style w:type="character" w:customStyle="1" w:styleId="96">
    <w:name w:val="wea-thumbnails-doc-content-subtitle"/>
    <w:basedOn w:val="25"/>
    <w:qFormat/>
    <w:uiPriority w:val="0"/>
    <w:rPr>
      <w:color w:val="9A9A9A"/>
    </w:rPr>
  </w:style>
  <w:style w:type="character" w:customStyle="1" w:styleId="97">
    <w:name w:val="cke_notification_progress"/>
    <w:basedOn w:val="25"/>
    <w:qFormat/>
    <w:uiPriority w:val="0"/>
    <w:rPr>
      <w:shd w:val="clear" w:color="auto" w:fill="0F74A8"/>
    </w:rPr>
  </w:style>
  <w:style w:type="character" w:customStyle="1" w:styleId="98">
    <w:name w:val="ant-table-row-expand-icon4"/>
    <w:basedOn w:val="25"/>
    <w:qFormat/>
    <w:uiPriority w:val="0"/>
    <w:rPr>
      <w:vanish/>
    </w:rPr>
  </w:style>
  <w:style w:type="paragraph" w:customStyle="1" w:styleId="99">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00">
    <w:name w:val="标题 2 字符"/>
    <w:link w:val="3"/>
    <w:qFormat/>
    <w:uiPriority w:val="0"/>
    <w:rPr>
      <w:rFonts w:ascii="Cambria" w:hAnsi="Cambria"/>
      <w:b/>
      <w:bCs/>
      <w:i/>
      <w:iCs/>
      <w:kern w:val="2"/>
      <w:sz w:val="28"/>
      <w:szCs w:val="28"/>
    </w:rPr>
  </w:style>
  <w:style w:type="character" w:customStyle="1" w:styleId="101">
    <w:name w:val="标题 3 字符"/>
    <w:basedOn w:val="25"/>
    <w:link w:val="4"/>
    <w:qFormat/>
    <w:uiPriority w:val="0"/>
    <w:rPr>
      <w:rFonts w:ascii="Cambria" w:hAnsi="Cambria"/>
      <w:b/>
      <w:bCs/>
      <w:kern w:val="2"/>
      <w:sz w:val="26"/>
      <w:szCs w:val="26"/>
    </w:rPr>
  </w:style>
  <w:style w:type="paragraph" w:customStyle="1" w:styleId="102">
    <w:name w:val="A1-普通段落字体"/>
    <w:basedOn w:val="1"/>
    <w:qFormat/>
    <w:uiPriority w:val="0"/>
    <w:pPr>
      <w:spacing w:line="400" w:lineRule="exact"/>
      <w:ind w:firstLine="747" w:firstLineChars="200"/>
    </w:pPr>
    <w:rPr>
      <w:rFonts w:eastAsia="仿宋" w:cstheme="minorBidi"/>
      <w:color w:val="000000" w:themeColor="text1"/>
      <w:sz w:val="24"/>
      <w14:textFill>
        <w14:solidFill>
          <w14:schemeClr w14:val="tx1"/>
        </w14:solidFill>
      </w14:textFill>
    </w:rPr>
  </w:style>
  <w:style w:type="table" w:customStyle="1" w:styleId="103">
    <w:name w:val="Table Normal"/>
    <w:semiHidden/>
    <w:unhideWhenUsed/>
    <w:qFormat/>
    <w:uiPriority w:val="0"/>
    <w:tblPr>
      <w:tblCellMar>
        <w:top w:w="0" w:type="dxa"/>
        <w:left w:w="0" w:type="dxa"/>
        <w:bottom w:w="0" w:type="dxa"/>
        <w:right w:w="0" w:type="dxa"/>
      </w:tblCellMar>
    </w:tblPr>
  </w:style>
  <w:style w:type="paragraph" w:customStyle="1" w:styleId="104">
    <w:name w:val="Table Text"/>
    <w:basedOn w:val="1"/>
    <w:semiHidden/>
    <w:qFormat/>
    <w:uiPriority w:val="0"/>
    <w:rPr>
      <w:rFonts w:ascii="宋体" w:hAnsi="宋体" w:cs="宋体"/>
      <w:sz w:val="25"/>
      <w:szCs w:val="25"/>
      <w:lang w:eastAsia="en-US"/>
    </w:rPr>
  </w:style>
  <w:style w:type="paragraph" w:customStyle="1" w:styleId="10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103</Pages>
  <Words>54373</Words>
  <Characters>57126</Characters>
  <Lines>384</Lines>
  <Paragraphs>108</Paragraphs>
  <TotalTime>55</TotalTime>
  <ScaleCrop>false</ScaleCrop>
  <LinksUpToDate>false</LinksUpToDate>
  <CharactersWithSpaces>59029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2021-07-02T23:15:00Z</dcterms:created>
  <dc:creator>Windows 用户</dc:creator>
  <cp:lastModifiedBy>王志宇</cp:lastModifiedBy>
  <cp:lastPrinted>2022-03-12T22:20:00Z</cp:lastPrinted>
  <dcterms:modified xsi:type="dcterms:W3CDTF">2024-12-30T02:11:15Z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A6A9D3FB18DF4707A5A916AE1018DD89_13</vt:lpwstr>
  </property>
</Properties>
</file>