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重汽汽金平安租赁业务九恒星系统改造项目招标项目</w:t>
      </w:r>
      <w:r>
        <w:rPr>
          <w:rFonts w:ascii="Calibri" w:hAnsi="Calibri" w:eastAsia="宋体" w:cs="Times New Roman"/>
          <w:b/>
          <w:bCs/>
          <w:color w:val="000000"/>
          <w:spacing w:val="-8"/>
          <w:sz w:val="48"/>
          <w:szCs w:val="44"/>
        </w:rPr>
        <w:t xml:space="preserve"> </w:t>
      </w:r>
    </w:p>
    <w:p>
      <w:pPr>
        <w:pStyle w:val="21"/>
      </w:pPr>
    </w:p>
    <w:p>
      <w:pPr>
        <w:pStyle w:val="21"/>
      </w:pPr>
    </w:p>
    <w:p>
      <w:pPr>
        <w:pStyle w:val="21"/>
      </w:pPr>
    </w:p>
    <w:p>
      <w:pPr>
        <w:pStyle w:val="21"/>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1"/>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8"/>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8"/>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8"/>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8"/>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8"/>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pPr>
            <w:pStyle w:val="28"/>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pPr>
            <w:pStyle w:val="21"/>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1"/>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1"/>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0"/>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3"/>
                <w:rFonts w:hint="eastAsia" w:ascii="宋体" w:hAnsi="宋体" w:eastAsia="宋体" w:cs="宋体"/>
                <w:b/>
                <w:sz w:val="28"/>
                <w:szCs w:val="28"/>
              </w:rPr>
            </w:pPr>
            <w:bookmarkStart w:id="3" w:name="_Toc346372875"/>
            <w:r>
              <w:rPr>
                <w:rStyle w:val="133"/>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3"/>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u w:val="single"/>
              </w:rPr>
              <w:t>重汽汽金平安租赁业务九恒星系统改造项目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yellow"/>
              </w:rPr>
              <w:t>：</w:t>
            </w:r>
            <w:r>
              <w:rPr>
                <w:rFonts w:hint="eastAsia" w:ascii="宋体" w:hAnsi="宋体" w:eastAsia="宋体" w:cs="宋体"/>
                <w:b/>
                <w:bCs/>
                <w:sz w:val="24"/>
                <w:szCs w:val="24"/>
                <w:highlight w:val="yellow"/>
                <w:u w:val="single"/>
              </w:rPr>
              <w:t>FSCZB2025090062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b/>
                <w:bCs/>
                <w:color w:val="000000"/>
                <w:sz w:val="24"/>
                <w:szCs w:val="24"/>
              </w:rPr>
            </w:pPr>
            <w:r>
              <w:rPr>
                <w:rFonts w:hint="eastAsia" w:ascii="宋体" w:hAnsi="宋体" w:eastAsia="宋体" w:cs="宋体"/>
                <w:b/>
                <w:bCs/>
                <w:sz w:val="24"/>
                <w:szCs w:val="24"/>
              </w:rPr>
              <w:t>招标内容：</w:t>
            </w:r>
            <w:r>
              <w:rPr>
                <w:rFonts w:hint="eastAsia" w:ascii="宋体" w:hAnsi="宋体" w:eastAsia="宋体" w:cs="宋体"/>
                <w:b/>
                <w:bCs/>
                <w:sz w:val="24"/>
                <w:szCs w:val="24"/>
                <w:u w:val="single"/>
              </w:rPr>
              <w:t>重汽汽金平安租赁业务九恒星系统改造项目</w:t>
            </w: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rPr>
            </w:pPr>
            <w:r>
              <w:rPr>
                <w:rFonts w:hint="eastAsia" w:ascii="宋体" w:hAnsi="宋体" w:eastAsia="宋体" w:cs="Times New Roman"/>
                <w:b/>
                <w:bCs/>
                <w:color w:val="000000"/>
                <w:sz w:val="24"/>
                <w:szCs w:val="24"/>
              </w:rPr>
              <w:t>建设地点：</w:t>
            </w:r>
            <w:r>
              <w:rPr>
                <w:rFonts w:hint="eastAsia" w:ascii="宋体" w:hAnsi="宋体" w:eastAsia="宋体" w:cs="宋体"/>
                <w:color w:val="000000"/>
                <w:sz w:val="24"/>
                <w:szCs w:val="24"/>
                <w:highlight w:val="yellow"/>
                <w:u w:val="single"/>
              </w:rPr>
              <w:t>重汽汽车金融有限公司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单一来源采购</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赵力</w:t>
            </w:r>
          </w:p>
          <w:p>
            <w:pPr>
              <w:pStyle w:val="21"/>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17860606595</w:t>
            </w:r>
          </w:p>
          <w:p>
            <w:pPr>
              <w:ind w:firstLine="482" w:firstLineChars="200"/>
              <w:rPr>
                <w:rFonts w:hint="eastAsia" w:ascii="宋体" w:hAnsi="宋体" w:eastAsia="宋体" w:cs="宋体"/>
                <w:b/>
                <w:snapToGrid w:val="0"/>
                <w:kern w:val="0"/>
                <w:sz w:val="24"/>
                <w:szCs w:val="24"/>
                <w:highlight w:val="yellow"/>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rPr>
              <w:fldChar w:fldCharType="begin"/>
            </w:r>
            <w:r>
              <w:rPr>
                <w:rFonts w:hint="eastAsia" w:ascii="宋体" w:hAnsi="宋体" w:eastAsia="宋体" w:cs="宋体"/>
                <w:b/>
                <w:snapToGrid w:val="0"/>
                <w:kern w:val="0"/>
                <w:sz w:val="24"/>
                <w:szCs w:val="24"/>
                <w:highlight w:val="yellow"/>
              </w:rPr>
              <w:instrText xml:space="preserve"> HYPERLINK "mailto:zhaoli@sinotruk.com" </w:instrText>
            </w:r>
            <w:r>
              <w:rPr>
                <w:rFonts w:hint="eastAsia" w:ascii="宋体" w:hAnsi="宋体" w:eastAsia="宋体" w:cs="宋体"/>
                <w:b/>
                <w:snapToGrid w:val="0"/>
                <w:kern w:val="0"/>
                <w:sz w:val="24"/>
                <w:szCs w:val="24"/>
                <w:highlight w:val="yellow"/>
              </w:rPr>
              <w:fldChar w:fldCharType="separate"/>
            </w:r>
            <w:r>
              <w:rPr>
                <w:rStyle w:val="48"/>
                <w:rFonts w:hint="eastAsia" w:ascii="宋体" w:hAnsi="宋体" w:eastAsia="宋体" w:cs="宋体"/>
                <w:b/>
                <w:snapToGrid w:val="0"/>
                <w:kern w:val="0"/>
                <w:sz w:val="24"/>
                <w:szCs w:val="24"/>
                <w:highlight w:val="yellow"/>
              </w:rPr>
              <w:t>zhaoli@sinotruk.com</w:t>
            </w:r>
            <w:r>
              <w:rPr>
                <w:rFonts w:hint="eastAsia" w:ascii="宋体" w:hAnsi="宋体" w:eastAsia="宋体" w:cs="宋体"/>
                <w:b/>
                <w:snapToGrid w:val="0"/>
                <w:kern w:val="0"/>
                <w:sz w:val="24"/>
                <w:szCs w:val="24"/>
                <w:highlight w:val="yellow"/>
              </w:rPr>
              <w:fldChar w:fldCharType="end"/>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技术联系人：</w:t>
            </w:r>
            <w:r>
              <w:rPr>
                <w:rFonts w:hint="eastAsia" w:ascii="宋体" w:hAnsi="宋体" w:eastAsia="宋体" w:cs="宋体"/>
                <w:sz w:val="24"/>
                <w:szCs w:val="24"/>
                <w:highlight w:val="yellow"/>
              </w:rPr>
              <w:t>陈全雷</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13356696590</w:t>
            </w:r>
          </w:p>
          <w:p>
            <w:pPr>
              <w:ind w:firstLine="482" w:firstLineChars="200"/>
              <w:rPr>
                <w:rFonts w:hint="eastAsia"/>
              </w:rPr>
            </w:pPr>
            <w:r>
              <w:rPr>
                <w:rFonts w:hint="eastAsia" w:ascii="宋体" w:hAnsi="宋体" w:eastAsia="宋体" w:cs="宋体"/>
                <w:b/>
                <w:bCs/>
                <w:sz w:val="24"/>
                <w:szCs w:val="24"/>
              </w:rPr>
              <w:t>邮箱：</w:t>
            </w:r>
            <w:r>
              <w:rPr>
                <w:rFonts w:hint="eastAsia" w:ascii="宋体" w:hAnsi="宋体" w:eastAsia="宋体" w:cs="宋体"/>
                <w:sz w:val="24"/>
                <w:szCs w:val="24"/>
              </w:rPr>
              <w:t>chenql@sinotruk.com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yellow"/>
              </w:rPr>
              <w:t>人民币8.4000万元（含税，税率13%），超过投标限价无法投标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（1）投标人</w:t>
            </w:r>
            <w:r>
              <w:rPr>
                <w:rFonts w:hint="eastAsia" w:ascii="宋体" w:hAnsi="宋体" w:eastAsia="宋体" w:cs="宋体"/>
                <w:sz w:val="24"/>
                <w:szCs w:val="24"/>
              </w:rPr>
              <w:t>必须是在中华人民共和国境内注册的独立法人机构，具有独立承担民事责任能力；注册资金不少于</w:t>
            </w:r>
            <w:r>
              <w:rPr>
                <w:rFonts w:hint="eastAsia" w:ascii="宋体" w:hAnsi="宋体" w:eastAsia="宋体" w:cs="宋体"/>
                <w:sz w:val="24"/>
                <w:szCs w:val="24"/>
                <w:lang w:val="en-US" w:eastAsia="zh-CN"/>
              </w:rPr>
              <w:t>500</w:t>
            </w:r>
            <w:r>
              <w:rPr>
                <w:rFonts w:hint="eastAsia" w:ascii="宋体" w:hAnsi="宋体" w:eastAsia="宋体" w:cs="宋体"/>
                <w:sz w:val="24"/>
                <w:szCs w:val="24"/>
              </w:rPr>
              <w:t>万人民币（或等值其他货币）；公司成立</w:t>
            </w:r>
            <w:r>
              <w:rPr>
                <w:rFonts w:hint="eastAsia" w:ascii="宋体" w:hAnsi="宋体" w:eastAsia="宋体" w:cs="宋体"/>
                <w:sz w:val="24"/>
                <w:szCs w:val="24"/>
                <w:lang w:val="en-US" w:eastAsia="zh-CN"/>
              </w:rPr>
              <w:t>十</w:t>
            </w:r>
            <w:r>
              <w:rPr>
                <w:rFonts w:hint="eastAsia" w:ascii="宋体" w:hAnsi="宋体" w:eastAsia="宋体" w:cs="宋体"/>
                <w:sz w:val="24"/>
                <w:szCs w:val="24"/>
              </w:rPr>
              <w:t>年以上（以营业执照成立日期到开标当日满</w:t>
            </w:r>
            <w:r>
              <w:rPr>
                <w:rFonts w:hint="eastAsia" w:ascii="宋体" w:hAnsi="宋体" w:eastAsia="宋体" w:cs="宋体"/>
                <w:sz w:val="24"/>
                <w:szCs w:val="24"/>
                <w:lang w:val="en-US" w:eastAsia="zh-CN"/>
              </w:rPr>
              <w:t>十</w:t>
            </w:r>
            <w:r>
              <w:rPr>
                <w:rFonts w:hint="eastAsia" w:ascii="宋体" w:hAnsi="宋体" w:eastAsia="宋体" w:cs="宋体"/>
                <w:sz w:val="24"/>
                <w:szCs w:val="24"/>
              </w:rPr>
              <w:t>年为准），且经营范围满足招标人需求；并在人员等方面具有承担本项目的能力</w:t>
            </w:r>
            <w:r>
              <w:rPr>
                <w:rFonts w:hint="eastAsia" w:ascii="宋体" w:hAnsi="宋体" w:eastAsia="宋体" w:cs="宋体"/>
                <w:sz w:val="24"/>
                <w:szCs w:val="24"/>
                <w:lang w:eastAsia="zh-CN"/>
              </w:rPr>
              <w:t>。</w:t>
            </w:r>
          </w:p>
          <w:p>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（2）投标人具备汽车金融公司、财务公司、银行等金融机构结算系统开发实施经验，能独立承接并成功实施本项目。</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投标人遵守执业准则和执业规范，近</w:t>
            </w:r>
            <w:r>
              <w:rPr>
                <w:rFonts w:hint="eastAsia" w:ascii="宋体" w:hAnsi="宋体" w:eastAsia="宋体" w:cs="宋体"/>
                <w:sz w:val="24"/>
                <w:szCs w:val="24"/>
                <w:lang w:val="en-US" w:eastAsia="zh-CN"/>
              </w:rPr>
              <w:t>三</w:t>
            </w:r>
            <w:r>
              <w:rPr>
                <w:rFonts w:hint="eastAsia" w:ascii="宋体" w:hAnsi="宋体" w:eastAsia="宋体" w:cs="宋体"/>
                <w:sz w:val="24"/>
                <w:szCs w:val="24"/>
              </w:rPr>
              <w:t>年内没有</w:t>
            </w:r>
            <w:r>
              <w:rPr>
                <w:rFonts w:hint="eastAsia" w:ascii="宋体" w:hAnsi="宋体" w:eastAsia="宋体" w:cs="宋体"/>
                <w:sz w:val="24"/>
                <w:szCs w:val="24"/>
                <w:lang w:val="en-US" w:eastAsia="zh-CN"/>
              </w:rPr>
              <w:t>行政处罚或失信</w:t>
            </w:r>
            <w:r>
              <w:rPr>
                <w:rFonts w:hint="eastAsia" w:ascii="宋体" w:hAnsi="宋体" w:eastAsia="宋体" w:cs="宋体"/>
                <w:sz w:val="24"/>
                <w:szCs w:val="24"/>
              </w:rPr>
              <w:t>记录</w:t>
            </w:r>
            <w:r>
              <w:rPr>
                <w:rFonts w:hint="eastAsia" w:ascii="宋体" w:hAnsi="宋体" w:eastAsia="宋体" w:cs="宋体"/>
                <w:sz w:val="24"/>
                <w:szCs w:val="24"/>
                <w:lang w:val="en-US" w:eastAsia="zh-CN"/>
              </w:rPr>
              <w:t>等信息。</w:t>
            </w:r>
          </w:p>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（4）投标人近三年内在经营活动中无与本项目有关的违法及重大违规情况。</w:t>
            </w:r>
          </w:p>
          <w:p>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）投标人</w:t>
            </w:r>
            <w:r>
              <w:rPr>
                <w:rFonts w:hint="eastAsia" w:ascii="宋体" w:hAnsi="宋体" w:eastAsia="宋体" w:cs="宋体"/>
                <w:sz w:val="24"/>
                <w:szCs w:val="24"/>
                <w:lang w:val="en-US" w:eastAsia="zh-CN"/>
              </w:rPr>
              <w:t>无招标违规、谎报年度信息报告、提供虚假纸质材料等行为或其他行政处罚记录，未</w:t>
            </w:r>
            <w:r>
              <w:rPr>
                <w:rFonts w:hint="eastAsia" w:ascii="宋体" w:hAnsi="宋体" w:eastAsia="宋体" w:cs="宋体"/>
                <w:sz w:val="24"/>
                <w:szCs w:val="24"/>
              </w:rPr>
              <w:t>被列入招标人“黑名单”</w:t>
            </w:r>
            <w:r>
              <w:rPr>
                <w:rFonts w:hint="eastAsia" w:ascii="宋体" w:hAnsi="宋体" w:eastAsia="宋体" w:cs="宋体"/>
                <w:sz w:val="24"/>
                <w:szCs w:val="24"/>
                <w:lang w:eastAsia="zh-CN"/>
              </w:rPr>
              <w:t>。</w:t>
            </w:r>
          </w:p>
          <w:p>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）投标人</w:t>
            </w:r>
            <w:r>
              <w:rPr>
                <w:rFonts w:hint="eastAsia" w:ascii="宋体" w:hAnsi="宋体" w:eastAsia="宋体" w:cs="宋体"/>
                <w:sz w:val="24"/>
                <w:szCs w:val="24"/>
                <w:lang w:val="en-US" w:eastAsia="zh-CN"/>
              </w:rPr>
              <w:t>财务状况良好，能提供近三年</w:t>
            </w:r>
            <w:r>
              <w:rPr>
                <w:rFonts w:hint="eastAsia" w:ascii="宋体" w:hAnsi="宋体" w:eastAsia="宋体" w:cs="宋体"/>
                <w:sz w:val="24"/>
                <w:szCs w:val="24"/>
              </w:rPr>
              <w:t>经会计师事务所审计且出具无保留意见的财务审计报告</w:t>
            </w:r>
            <w:r>
              <w:rPr>
                <w:rFonts w:hint="eastAsia" w:ascii="宋体" w:hAnsi="宋体" w:eastAsia="宋体" w:cs="宋体"/>
                <w:sz w:val="24"/>
                <w:szCs w:val="24"/>
                <w:lang w:eastAsia="zh-CN"/>
              </w:rPr>
              <w:t>（</w:t>
            </w:r>
            <w:r>
              <w:rPr>
                <w:rFonts w:hint="eastAsia" w:ascii="宋体" w:hAnsi="宋体" w:eastAsia="宋体" w:cs="宋体"/>
                <w:sz w:val="24"/>
                <w:szCs w:val="24"/>
              </w:rPr>
              <w:t>包括但不限于资产负债表、利润表、现金流量表），且未显示异常</w:t>
            </w:r>
            <w:r>
              <w:rPr>
                <w:rFonts w:hint="eastAsia" w:ascii="宋体" w:hAnsi="宋体" w:eastAsia="宋体" w:cs="宋体"/>
                <w:sz w:val="24"/>
                <w:szCs w:val="24"/>
                <w:lang w:eastAsia="zh-CN"/>
              </w:rPr>
              <w:t>。</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）投标人</w:t>
            </w:r>
            <w:r>
              <w:rPr>
                <w:rFonts w:hint="eastAsia" w:ascii="宋体" w:hAnsi="宋体" w:eastAsia="宋体" w:cs="宋体"/>
                <w:sz w:val="24"/>
                <w:szCs w:val="24"/>
                <w:lang w:val="en-US" w:eastAsia="zh-CN"/>
              </w:rPr>
              <w:t>纳税正常，能提供近半年完税证明。</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）投标人</w:t>
            </w:r>
            <w:r>
              <w:rPr>
                <w:rFonts w:hint="eastAsia" w:ascii="宋体" w:hAnsi="宋体" w:eastAsia="宋体" w:cs="宋体"/>
                <w:sz w:val="24"/>
                <w:szCs w:val="24"/>
                <w:lang w:val="en-US" w:eastAsia="zh-CN"/>
              </w:rPr>
              <w:t>的直接或间接股东、法定代表人、董事、监事、高管非重汽员工及其亲属。</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（9）投标人必须是最终投标、签订合同的单位，不得以任何理由将已中标项目以任何形式转包或者分包给其他单位。</w:t>
            </w:r>
          </w:p>
          <w:p>
            <w:pPr>
              <w:adjustRightInd w:val="0"/>
              <w:snapToGrid w:val="0"/>
              <w:spacing w:line="360" w:lineRule="auto"/>
              <w:ind w:firstLine="573"/>
              <w:jc w:val="left"/>
              <w:rPr>
                <w:rFonts w:hint="eastAsia" w:ascii="宋体" w:hAnsi="宋体" w:eastAsia="宋体" w:cs="仿宋_GB2312"/>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12</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17</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17</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w:t>
            </w:r>
            <w:r>
              <w:rPr>
                <w:rFonts w:hint="eastAsia" w:eastAsia="宋体" w:cs="Times New Roman"/>
                <w:b/>
                <w:bCs/>
                <w:lang w:val="en-US" w:eastAsia="zh-CN"/>
              </w:rPr>
              <w:t>2</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w:t>
            </w:r>
            <w:r>
              <w:rPr>
                <w:rFonts w:hint="eastAsia" w:eastAsia="宋体" w:cs="宋体"/>
                <w:b/>
                <w:lang w:val="en-US" w:eastAsia="zh-CN"/>
              </w:rPr>
              <w:t>3</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highlight w:val="yellow"/>
              </w:rPr>
            </w:pPr>
            <w:r>
              <w:rPr>
                <w:rFonts w:hint="eastAsia" w:eastAsia="宋体" w:cs="宋体"/>
                <w:b/>
                <w:bCs/>
              </w:rPr>
              <w:t>应标截止时间：</w:t>
            </w:r>
            <w:r>
              <w:rPr>
                <w:rFonts w:hint="eastAsia" w:ascii="宋体" w:hAnsi="宋体" w:eastAsia="宋体" w:cs="宋体"/>
                <w:bCs/>
                <w:sz w:val="24"/>
                <w:szCs w:val="24"/>
                <w:highlight w:val="yellow"/>
              </w:rPr>
              <w:t>2025年</w:t>
            </w:r>
            <w:r>
              <w:rPr>
                <w:rFonts w:hint="eastAsia"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eastAsia="宋体" w:cs="宋体"/>
                <w:bCs/>
                <w:sz w:val="24"/>
                <w:szCs w:val="24"/>
                <w:highlight w:val="yellow"/>
                <w:lang w:val="en-US" w:eastAsia="zh-CN"/>
              </w:rPr>
              <w:t>19</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p>
          <w:p>
            <w:pPr>
              <w:pStyle w:val="116"/>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rPr>
                <w:rFonts w:hint="eastAsia" w:hAnsi="宋体" w:eastAsia="宋体" w:cs="Times New Roman"/>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rPr>
                <w:rFonts w:hint="eastAsia" w:eastAsia="宋体" w:cs="宋体" w:asciiTheme="minorHAnsi" w:hAnsiTheme="minorHAnsi"/>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19</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.00元</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pPr>
              <w:ind w:firstLine="482" w:firstLineChars="200"/>
              <w:rPr>
                <w:rFonts w:hint="eastAsia"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19</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20</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4"/>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合理最低价。</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0" w:firstLineChars="200"/>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0" w:firstLineChars="200"/>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4"/>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cs="宋体"/>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4"/>
              <w:jc w:val="center"/>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14"/>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14"/>
              <w:ind w:firstLine="480" w:firstLineChars="200"/>
              <w:rPr>
                <w:rFonts w:hint="eastAsia" w:ascii="宋体" w:hAnsi="宋体" w:eastAsia="宋体" w:cs="宋体"/>
                <w:sz w:val="24"/>
                <w:szCs w:val="24"/>
              </w:rPr>
            </w:pPr>
          </w:p>
        </w:tc>
      </w:tr>
      <w:bookmarkEnd w:id="3"/>
    </w:tbl>
    <w:p>
      <w:pPr>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br w:type="page"/>
      </w:r>
    </w:p>
    <w:p>
      <w:pPr>
        <w:pStyle w:val="21"/>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w:t>
      </w:r>
      <w:r>
        <w:rPr>
          <w:rFonts w:hint="eastAsia" w:ascii="宋体" w:hAnsi="宋体" w:eastAsia="宋体" w:cs="宋体"/>
          <w:b/>
          <w:color w:val="000000"/>
          <w:sz w:val="24"/>
          <w:szCs w:val="24"/>
          <w:highlight w:val="yellow"/>
          <w:lang w:val="en-US" w:eastAsia="zh-CN"/>
        </w:rPr>
        <w:t>3</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w:t>
      </w:r>
      <w:r>
        <w:rPr>
          <w:rFonts w:hint="eastAsia" w:ascii="宋体" w:hAnsi="宋体" w:eastAsia="宋体" w:cs="宋体"/>
          <w:color w:val="000000"/>
          <w:sz w:val="24"/>
          <w:szCs w:val="24"/>
          <w:lang w:val="en-US" w:eastAsia="zh-CN"/>
        </w:rPr>
        <w:t>编制要求准备材料</w:t>
      </w:r>
      <w:r>
        <w:rPr>
          <w:rFonts w:hint="eastAsia" w:ascii="宋体" w:hAnsi="宋体" w:eastAsia="宋体" w:cs="宋体"/>
          <w:color w:val="000000"/>
          <w:sz w:val="24"/>
          <w:szCs w:val="24"/>
        </w:rPr>
        <w:t>，资质审查通过即为报名成功，公示期间请尽快报名。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1"/>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lang w:val="en-US" w:eastAsia="zh-CN"/>
        </w:rPr>
        <w:t>单一来源采购</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21"/>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（14）投标人报价均超过投标限价的；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5</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6" w:name="OLE_LINK27"/>
      <w:bookmarkStart w:id="7" w:name="OLE_LINK25"/>
      <w:bookmarkStart w:id="8" w:name="OLE_LINK29"/>
      <w:bookmarkStart w:id="9" w:name="OLE_LINK26"/>
      <w:bookmarkStart w:id="10" w:name="OLE_LINK28"/>
      <w:r>
        <w:rPr>
          <w:rFonts w:hint="eastAsia" w:ascii="宋体" w:hAnsi="宋体" w:eastAsia="宋体" w:cs="宋体"/>
          <w:bCs/>
          <w:sz w:val="24"/>
          <w:szCs w:val="24"/>
        </w:rPr>
        <w:t>；</w:t>
      </w:r>
      <w:bookmarkEnd w:id="6"/>
      <w:bookmarkEnd w:id="7"/>
      <w:bookmarkEnd w:id="8"/>
      <w:bookmarkEnd w:id="9"/>
      <w:bookmarkEnd w:id="10"/>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21"/>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21"/>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bookmarkEnd w:id="0"/>
    <w:bookmarkEnd w:id="1"/>
    <w:p>
      <w:pPr>
        <w:spacing w:line="360" w:lineRule="auto"/>
        <w:jc w:val="both"/>
        <w:outlineLvl w:val="0"/>
        <w:rPr>
          <w:b/>
          <w:sz w:val="32"/>
          <w:szCs w:val="32"/>
        </w:rPr>
      </w:pPr>
      <w:bookmarkStart w:id="11" w:name="_Toc28859"/>
      <w:r>
        <w:rPr>
          <w:rFonts w:hint="eastAsia"/>
          <w:b/>
          <w:sz w:val="40"/>
          <w:szCs w:val="32"/>
          <w:lang w:val="en-US" w:eastAsia="zh-CN"/>
        </w:rPr>
        <w:t xml:space="preserve">第三部分 </w:t>
      </w:r>
      <w:r>
        <w:rPr>
          <w:rFonts w:hint="eastAsia"/>
          <w:b/>
          <w:sz w:val="40"/>
          <w:szCs w:val="32"/>
        </w:rPr>
        <w:t>技术</w:t>
      </w:r>
      <w:r>
        <w:rPr>
          <w:rFonts w:hint="eastAsia"/>
          <w:b/>
          <w:sz w:val="40"/>
          <w:szCs w:val="32"/>
          <w:lang w:val="en-US" w:eastAsia="zh-CN"/>
        </w:rPr>
        <w:t>标文件</w:t>
      </w:r>
    </w:p>
    <w:p>
      <w:pPr>
        <w:overflowPunct w:val="0"/>
        <w:topLinePunct/>
        <w:spacing w:line="560" w:lineRule="exact"/>
        <w:jc w:val="both"/>
        <w:rPr>
          <w:rFonts w:ascii="黑体" w:eastAsia="黑体"/>
          <w:sz w:val="28"/>
          <w:szCs w:val="28"/>
        </w:rPr>
        <w:sectPr>
          <w:headerReference r:id="rId9" w:type="default"/>
          <w:footerReference r:id="rId10" w:type="even"/>
          <w:pgSz w:w="11907" w:h="16840"/>
          <w:pgMar w:top="1418" w:right="1474" w:bottom="1418" w:left="1474" w:header="851" w:footer="992" w:gutter="0"/>
          <w:cols w:space="720" w:num="1"/>
          <w:docGrid w:type="lines" w:linePitch="318" w:charSpace="0"/>
        </w:sectPr>
      </w:pPr>
    </w:p>
    <w:p>
      <w:pPr>
        <w:pStyle w:val="130"/>
        <w:keepNext/>
        <w:keepLines/>
        <w:widowControl/>
        <w:numPr>
          <w:ilvl w:val="0"/>
          <w:numId w:val="5"/>
        </w:numPr>
        <w:tabs>
          <w:tab w:val="left" w:pos="1002"/>
        </w:tabs>
        <w:spacing w:before="340" w:after="330" w:line="440" w:lineRule="exact"/>
        <w:ind w:firstLineChars="0"/>
        <w:jc w:val="left"/>
        <w:outlineLvl w:val="1"/>
        <w:rPr>
          <w:rFonts w:ascii="微软雅黑" w:hAnsi="微软雅黑" w:eastAsia="仿宋"/>
          <w:b/>
          <w:kern w:val="44"/>
          <w:sz w:val="36"/>
          <w:szCs w:val="36"/>
        </w:rPr>
      </w:pPr>
      <w:bookmarkStart w:id="12" w:name="_Toc171433422"/>
      <w:bookmarkStart w:id="13" w:name="_Toc287879068"/>
      <w:bookmarkStart w:id="14" w:name="_Toc290401057"/>
      <w:bookmarkStart w:id="15" w:name="_Toc533251940"/>
      <w:r>
        <w:rPr>
          <w:rFonts w:hint="eastAsia" w:ascii="仿宋" w:hAnsi="仿宋" w:eastAsia="仿宋"/>
          <w:b/>
          <w:kern w:val="44"/>
          <w:sz w:val="36"/>
          <w:szCs w:val="36"/>
        </w:rPr>
        <w:t>总体需求</w:t>
      </w:r>
      <w:bookmarkEnd w:id="12"/>
      <w:bookmarkEnd w:id="13"/>
      <w:bookmarkEnd w:id="14"/>
      <w:bookmarkEnd w:id="15"/>
    </w:p>
    <w:p>
      <w:pPr>
        <w:spacing w:line="360" w:lineRule="auto"/>
        <w:ind w:left="141" w:leftChars="67"/>
        <w:rPr>
          <w:rFonts w:hint="eastAsia" w:ascii="宋体" w:hAnsi="宋体" w:cs="仿宋"/>
          <w:sz w:val="24"/>
        </w:rPr>
      </w:pPr>
      <w:r>
        <w:rPr>
          <w:rFonts w:hint="eastAsia" w:ascii="宋体" w:hAnsi="宋体" w:cs="仿宋"/>
          <w:sz w:val="24"/>
        </w:rPr>
        <w:t>本项目总体需求如下：</w:t>
      </w:r>
    </w:p>
    <w:p>
      <w:pPr>
        <w:numPr>
          <w:ilvl w:val="0"/>
          <w:numId w:val="0"/>
        </w:numPr>
        <w:spacing w:line="360" w:lineRule="auto"/>
        <w:ind w:leftChars="67"/>
        <w:rPr>
          <w:rFonts w:hint="eastAsia" w:ascii="宋体" w:hAnsi="宋体" w:cs="仿宋"/>
          <w:sz w:val="24"/>
        </w:rPr>
      </w:pPr>
      <w:r>
        <w:rPr>
          <w:rFonts w:hint="eastAsia" w:ascii="宋体" w:hAnsi="宋体" w:cs="仿宋"/>
          <w:sz w:val="24"/>
          <w:lang w:val="en-US" w:eastAsia="zh-CN"/>
        </w:rPr>
        <w:t>1、</w:t>
      </w:r>
      <w:r>
        <w:rPr>
          <w:rFonts w:hint="eastAsia" w:ascii="宋体" w:hAnsi="宋体" w:cs="仿宋"/>
          <w:sz w:val="24"/>
        </w:rPr>
        <w:t>联合租赁做账规则设计与实现</w:t>
      </w:r>
    </w:p>
    <w:p>
      <w:pPr>
        <w:numPr>
          <w:ilvl w:val="0"/>
          <w:numId w:val="0"/>
        </w:numPr>
        <w:spacing w:line="360" w:lineRule="auto"/>
        <w:ind w:leftChars="67"/>
        <w:rPr>
          <w:rFonts w:hint="eastAsia" w:ascii="宋体" w:hAnsi="宋体" w:cs="仿宋"/>
          <w:sz w:val="24"/>
        </w:rPr>
      </w:pPr>
      <w:r>
        <w:rPr>
          <w:rFonts w:hint="eastAsia" w:ascii="宋体" w:hAnsi="宋体" w:cs="仿宋"/>
          <w:sz w:val="24"/>
          <w:lang w:val="en-US" w:eastAsia="zh-CN"/>
        </w:rPr>
        <w:t>2、贴息业务做账规则设计与实现等</w:t>
      </w:r>
    </w:p>
    <w:p>
      <w:pPr>
        <w:pStyle w:val="130"/>
        <w:keepNext/>
        <w:keepLines/>
        <w:widowControl/>
        <w:numPr>
          <w:ilvl w:val="0"/>
          <w:numId w:val="5"/>
        </w:numPr>
        <w:tabs>
          <w:tab w:val="left" w:pos="1002"/>
        </w:tabs>
        <w:spacing w:before="340" w:after="330" w:line="360" w:lineRule="auto"/>
        <w:ind w:firstLineChars="0"/>
        <w:jc w:val="left"/>
        <w:outlineLvl w:val="1"/>
        <w:rPr>
          <w:rFonts w:hint="eastAsia" w:ascii="仿宋" w:hAnsi="仿宋" w:eastAsia="仿宋"/>
          <w:b/>
          <w:kern w:val="44"/>
          <w:sz w:val="36"/>
          <w:szCs w:val="36"/>
        </w:rPr>
      </w:pPr>
      <w:r>
        <w:rPr>
          <w:rFonts w:hint="eastAsia" w:ascii="仿宋" w:hAnsi="仿宋" w:eastAsia="仿宋"/>
          <w:b/>
          <w:kern w:val="44"/>
          <w:sz w:val="36"/>
          <w:szCs w:val="36"/>
        </w:rPr>
        <w:t>技术要求</w:t>
      </w:r>
    </w:p>
    <w:p>
      <w:pPr>
        <w:spacing w:line="360" w:lineRule="auto"/>
        <w:ind w:left="141" w:leftChars="67"/>
        <w:rPr>
          <w:rFonts w:hint="eastAsia" w:ascii="宋体" w:hAnsi="宋体" w:cs="仿宋"/>
          <w:sz w:val="24"/>
        </w:rPr>
      </w:pPr>
      <w:r>
        <w:rPr>
          <w:rFonts w:hint="eastAsia" w:ascii="宋体" w:hAnsi="宋体" w:cs="仿宋"/>
          <w:sz w:val="24"/>
        </w:rPr>
        <w:t>九恒星系统通过开发对应业务类别，嵌入账务处理逻辑，接收汽车金融系统传输的数据，实现</w:t>
      </w:r>
      <w:r>
        <w:rPr>
          <w:rFonts w:hint="eastAsia" w:ascii="宋体" w:hAnsi="宋体" w:cs="仿宋"/>
          <w:sz w:val="24"/>
          <w:lang w:val="en-US" w:eastAsia="zh-CN"/>
        </w:rPr>
        <w:t>联合租赁业务和贴息业务的</w:t>
      </w:r>
      <w:r>
        <w:rPr>
          <w:rFonts w:hint="eastAsia" w:ascii="宋体" w:hAnsi="宋体" w:cs="仿宋"/>
          <w:sz w:val="24"/>
        </w:rPr>
        <w:t>自动做账处理。</w:t>
      </w:r>
    </w:p>
    <w:p>
      <w:pPr>
        <w:spacing w:line="360" w:lineRule="auto"/>
        <w:ind w:left="141" w:leftChars="67"/>
        <w:rPr>
          <w:rFonts w:hint="eastAsia" w:ascii="宋体" w:hAnsi="宋体" w:cs="仿宋"/>
          <w:sz w:val="24"/>
        </w:rPr>
      </w:pPr>
      <w:r>
        <w:rPr>
          <w:rFonts w:hint="eastAsia" w:ascii="宋体" w:hAnsi="宋体" w:cs="仿宋"/>
          <w:sz w:val="24"/>
        </w:rPr>
        <w:t>1、放款</w:t>
      </w:r>
    </w:p>
    <w:p>
      <w:pPr>
        <w:spacing w:line="360" w:lineRule="auto"/>
        <w:ind w:left="141" w:leftChars="67"/>
        <w:rPr>
          <w:rFonts w:hint="eastAsia" w:ascii="宋体" w:hAnsi="宋体" w:cs="仿宋"/>
          <w:sz w:val="24"/>
        </w:rPr>
      </w:pPr>
      <w:r>
        <w:rPr>
          <w:rFonts w:hint="eastAsia" w:ascii="宋体" w:hAnsi="宋体" w:cs="仿宋"/>
          <w:sz w:val="24"/>
        </w:rPr>
        <w:t>1.1、平安审批通过，并向金融公司放款专户发放30%租金时</w:t>
      </w:r>
    </w:p>
    <w:p>
      <w:pPr>
        <w:spacing w:line="360" w:lineRule="auto"/>
        <w:ind w:left="141" w:leftChars="67"/>
        <w:rPr>
          <w:rFonts w:hint="eastAsia" w:ascii="宋体" w:hAnsi="宋体" w:cs="仿宋"/>
          <w:sz w:val="24"/>
        </w:rPr>
      </w:pPr>
      <w:r>
        <w:rPr>
          <w:rFonts w:hint="eastAsia" w:ascii="宋体" w:hAnsi="宋体" w:cs="仿宋"/>
          <w:sz w:val="24"/>
        </w:rPr>
        <w:t>（1）收到平安租金</w:t>
      </w:r>
    </w:p>
    <w:p>
      <w:pPr>
        <w:spacing w:line="360" w:lineRule="auto"/>
        <w:ind w:left="141" w:leftChars="67"/>
        <w:rPr>
          <w:rFonts w:hint="eastAsia" w:ascii="宋体" w:hAnsi="宋体" w:cs="仿宋"/>
          <w:sz w:val="24"/>
        </w:rPr>
      </w:pPr>
      <w:r>
        <w:rPr>
          <w:rFonts w:hint="eastAsia" w:ascii="宋体" w:hAnsi="宋体" w:cs="仿宋"/>
          <w:sz w:val="24"/>
        </w:rPr>
        <w:t>借：存放同业- 平安租赁放款户【总租金成本--30%】</w:t>
      </w:r>
    </w:p>
    <w:p>
      <w:pPr>
        <w:spacing w:line="360" w:lineRule="auto"/>
        <w:ind w:left="141" w:leftChars="67"/>
        <w:rPr>
          <w:rFonts w:hint="eastAsia" w:ascii="宋体" w:hAnsi="宋体" w:cs="仿宋"/>
          <w:sz w:val="24"/>
        </w:rPr>
      </w:pPr>
      <w:r>
        <w:rPr>
          <w:rFonts w:hint="eastAsia" w:ascii="宋体" w:hAnsi="宋体" w:cs="仿宋"/>
          <w:sz w:val="24"/>
        </w:rPr>
        <w:t>贷：其他应付款-平安租赁租金成本【总租金成本--30%】</w:t>
      </w:r>
    </w:p>
    <w:p>
      <w:pPr>
        <w:spacing w:line="360" w:lineRule="auto"/>
        <w:ind w:left="141" w:leftChars="67"/>
        <w:rPr>
          <w:rFonts w:hint="eastAsia" w:ascii="宋体" w:hAnsi="宋体" w:cs="仿宋"/>
          <w:sz w:val="24"/>
        </w:rPr>
      </w:pPr>
      <w:r>
        <w:rPr>
          <w:rFonts w:hint="eastAsia" w:ascii="宋体" w:hAnsi="宋体" w:cs="仿宋"/>
          <w:sz w:val="24"/>
        </w:rPr>
        <w:t>（2）放款到经销商</w:t>
      </w:r>
    </w:p>
    <w:p>
      <w:pPr>
        <w:spacing w:line="360" w:lineRule="auto"/>
        <w:ind w:left="141" w:leftChars="67"/>
        <w:rPr>
          <w:rFonts w:hint="eastAsia" w:ascii="宋体" w:hAnsi="宋体" w:cs="仿宋"/>
          <w:sz w:val="24"/>
        </w:rPr>
      </w:pPr>
      <w:r>
        <w:rPr>
          <w:rFonts w:hint="eastAsia" w:ascii="宋体" w:hAnsi="宋体" w:cs="仿宋"/>
          <w:sz w:val="24"/>
        </w:rPr>
        <w:t>借：其他应付款-平安租赁租金成本【总租金成本--30%】</w:t>
      </w:r>
    </w:p>
    <w:p>
      <w:pPr>
        <w:spacing w:line="360" w:lineRule="auto"/>
        <w:ind w:left="141" w:leftChars="67"/>
        <w:rPr>
          <w:rFonts w:hint="eastAsia" w:ascii="宋体" w:hAnsi="宋体" w:cs="仿宋"/>
          <w:sz w:val="24"/>
        </w:rPr>
      </w:pPr>
      <w:r>
        <w:rPr>
          <w:rFonts w:hint="eastAsia" w:ascii="宋体" w:hAnsi="宋体" w:cs="仿宋"/>
          <w:sz w:val="24"/>
        </w:rPr>
        <w:t>贷：其他应付款-（经销商）【总租金成本--30%】</w:t>
      </w:r>
    </w:p>
    <w:p>
      <w:pPr>
        <w:spacing w:line="360" w:lineRule="auto"/>
        <w:ind w:left="141" w:leftChars="67"/>
        <w:rPr>
          <w:rFonts w:hint="eastAsia" w:ascii="宋体" w:hAnsi="宋体" w:cs="仿宋"/>
          <w:sz w:val="24"/>
        </w:rPr>
      </w:pPr>
      <w:r>
        <w:rPr>
          <w:rFonts w:hint="eastAsia" w:ascii="宋体" w:hAnsi="宋体" w:cs="仿宋"/>
          <w:sz w:val="24"/>
        </w:rPr>
        <w:t>2、金融公司审批通过</w:t>
      </w:r>
    </w:p>
    <w:p>
      <w:pPr>
        <w:spacing w:line="360" w:lineRule="auto"/>
        <w:ind w:left="141" w:leftChars="67"/>
        <w:rPr>
          <w:rFonts w:hint="eastAsia" w:ascii="宋体" w:hAnsi="宋体" w:cs="仿宋"/>
          <w:sz w:val="24"/>
        </w:rPr>
      </w:pPr>
      <w:r>
        <w:rPr>
          <w:rFonts w:hint="eastAsia" w:ascii="宋体" w:hAnsi="宋体" w:cs="仿宋"/>
          <w:sz w:val="24"/>
        </w:rPr>
        <w:t>（1）放款到经销商（不贴息）</w:t>
      </w:r>
    </w:p>
    <w:p>
      <w:pPr>
        <w:spacing w:line="360" w:lineRule="auto"/>
        <w:ind w:left="141" w:leftChars="67"/>
        <w:rPr>
          <w:rFonts w:hint="eastAsia" w:ascii="宋体" w:hAnsi="宋体" w:cs="仿宋"/>
          <w:sz w:val="24"/>
        </w:rPr>
      </w:pPr>
      <w:r>
        <w:rPr>
          <w:rFonts w:hint="eastAsia" w:ascii="宋体" w:hAnsi="宋体" w:cs="仿宋"/>
          <w:sz w:val="24"/>
        </w:rPr>
        <w:t>借：长期应收款-客户租金【总租金成本--70%】</w:t>
      </w:r>
    </w:p>
    <w:p>
      <w:pPr>
        <w:spacing w:line="360" w:lineRule="auto"/>
        <w:ind w:left="141" w:leftChars="67"/>
        <w:rPr>
          <w:rFonts w:hint="eastAsia" w:ascii="宋体" w:hAnsi="宋体" w:cs="仿宋"/>
          <w:sz w:val="24"/>
        </w:rPr>
      </w:pPr>
      <w:r>
        <w:rPr>
          <w:rFonts w:hint="eastAsia" w:ascii="宋体" w:hAnsi="宋体" w:cs="仿宋"/>
          <w:sz w:val="24"/>
        </w:rPr>
        <w:t>借：长期应收款-客户租金【总租金收益--70%】</w:t>
      </w:r>
    </w:p>
    <w:p>
      <w:pPr>
        <w:spacing w:line="360" w:lineRule="auto"/>
        <w:ind w:left="141" w:leftChars="67"/>
        <w:rPr>
          <w:rFonts w:hint="eastAsia" w:ascii="宋体" w:hAnsi="宋体" w:cs="仿宋"/>
          <w:sz w:val="24"/>
        </w:rPr>
      </w:pPr>
      <w:r>
        <w:rPr>
          <w:rFonts w:hint="eastAsia" w:ascii="宋体" w:hAnsi="宋体" w:cs="仿宋"/>
          <w:sz w:val="24"/>
        </w:rPr>
        <w:t>贷：未确认融资租赁收益5</w:t>
      </w:r>
    </w:p>
    <w:p>
      <w:pPr>
        <w:spacing w:line="360" w:lineRule="auto"/>
        <w:ind w:left="141" w:leftChars="67"/>
        <w:rPr>
          <w:rFonts w:hint="eastAsia" w:ascii="宋体" w:hAnsi="宋体" w:cs="仿宋"/>
          <w:sz w:val="24"/>
        </w:rPr>
      </w:pPr>
      <w:r>
        <w:rPr>
          <w:rFonts w:hint="eastAsia" w:ascii="宋体" w:hAnsi="宋体" w:cs="仿宋"/>
          <w:sz w:val="24"/>
        </w:rPr>
        <w:t>贷：其他应付款-经销商【总租金成本--70%】</w:t>
      </w:r>
    </w:p>
    <w:p>
      <w:pPr>
        <w:spacing w:line="360" w:lineRule="auto"/>
        <w:ind w:left="141" w:leftChars="67"/>
        <w:rPr>
          <w:rFonts w:hint="eastAsia" w:ascii="宋体" w:hAnsi="宋体" w:cs="仿宋"/>
          <w:sz w:val="24"/>
        </w:rPr>
      </w:pPr>
      <w:r>
        <w:rPr>
          <w:rFonts w:hint="eastAsia" w:ascii="宋体" w:hAnsi="宋体" w:cs="仿宋"/>
          <w:sz w:val="24"/>
        </w:rPr>
        <w:t>（2）放款到经销商（贴息）</w:t>
      </w:r>
    </w:p>
    <w:p>
      <w:pPr>
        <w:spacing w:line="360" w:lineRule="auto"/>
        <w:ind w:left="141" w:leftChars="67"/>
        <w:rPr>
          <w:rFonts w:hint="eastAsia" w:ascii="宋体" w:hAnsi="宋体" w:cs="仿宋"/>
          <w:sz w:val="24"/>
        </w:rPr>
      </w:pPr>
      <w:r>
        <w:rPr>
          <w:rFonts w:hint="eastAsia" w:ascii="宋体" w:hAnsi="宋体" w:cs="仿宋"/>
          <w:sz w:val="24"/>
        </w:rPr>
        <w:t>借：长期应收款-客户本金【总租金成本--70%】</w:t>
      </w:r>
    </w:p>
    <w:p>
      <w:pPr>
        <w:spacing w:line="360" w:lineRule="auto"/>
        <w:ind w:left="141" w:leftChars="67"/>
        <w:rPr>
          <w:rFonts w:hint="eastAsia" w:ascii="宋体" w:hAnsi="宋体" w:cs="仿宋"/>
          <w:sz w:val="24"/>
        </w:rPr>
      </w:pPr>
      <w:r>
        <w:rPr>
          <w:rFonts w:hint="eastAsia" w:ascii="宋体" w:hAnsi="宋体" w:cs="仿宋"/>
          <w:sz w:val="24"/>
        </w:rPr>
        <w:t>贷：其他应付款-经销商【总租金成本--70%】</w:t>
      </w:r>
    </w:p>
    <w:p>
      <w:pPr>
        <w:spacing w:line="360" w:lineRule="auto"/>
        <w:ind w:left="141" w:leftChars="67"/>
        <w:rPr>
          <w:rFonts w:hint="eastAsia" w:ascii="宋体" w:hAnsi="宋体" w:cs="仿宋"/>
          <w:sz w:val="24"/>
        </w:rPr>
      </w:pPr>
      <w:r>
        <w:rPr>
          <w:rFonts w:hint="eastAsia" w:ascii="宋体" w:hAnsi="宋体" w:cs="仿宋"/>
          <w:sz w:val="24"/>
        </w:rPr>
        <w:t>（3）经销商贴息业务（扣除贴息款）</w:t>
      </w:r>
    </w:p>
    <w:p>
      <w:pPr>
        <w:spacing w:line="360" w:lineRule="auto"/>
        <w:ind w:left="141" w:leftChars="67"/>
        <w:rPr>
          <w:rFonts w:hint="eastAsia" w:ascii="宋体" w:hAnsi="宋体" w:cs="仿宋"/>
          <w:sz w:val="24"/>
        </w:rPr>
      </w:pPr>
      <w:r>
        <w:rPr>
          <w:rFonts w:hint="eastAsia" w:ascii="宋体" w:hAnsi="宋体" w:cs="仿宋"/>
          <w:sz w:val="24"/>
        </w:rPr>
        <w:t>借：其他应付款-经销商（贴息款金融公司部分）</w:t>
      </w:r>
    </w:p>
    <w:p>
      <w:pPr>
        <w:spacing w:line="360" w:lineRule="auto"/>
        <w:ind w:left="141" w:leftChars="67"/>
        <w:rPr>
          <w:rFonts w:hint="eastAsia" w:ascii="宋体" w:hAnsi="宋体" w:cs="仿宋"/>
          <w:sz w:val="24"/>
        </w:rPr>
      </w:pPr>
      <w:r>
        <w:rPr>
          <w:rFonts w:hint="eastAsia" w:ascii="宋体" w:hAnsi="宋体" w:cs="仿宋"/>
          <w:sz w:val="24"/>
        </w:rPr>
        <w:t>贷：未确认融资租赁收益</w:t>
      </w:r>
    </w:p>
    <w:p>
      <w:pPr>
        <w:spacing w:line="360" w:lineRule="auto"/>
        <w:ind w:left="141" w:leftChars="67"/>
        <w:rPr>
          <w:rFonts w:hint="eastAsia" w:ascii="宋体" w:hAnsi="宋体" w:cs="仿宋"/>
          <w:sz w:val="24"/>
        </w:rPr>
      </w:pPr>
      <w:r>
        <w:rPr>
          <w:rFonts w:hint="eastAsia" w:ascii="宋体" w:hAnsi="宋体" w:cs="仿宋"/>
          <w:sz w:val="24"/>
        </w:rPr>
        <w:t>3、金融公司对外支款时</w:t>
      </w:r>
    </w:p>
    <w:p>
      <w:pPr>
        <w:spacing w:line="360" w:lineRule="auto"/>
        <w:ind w:left="141" w:leftChars="67"/>
        <w:rPr>
          <w:rFonts w:hint="eastAsia" w:ascii="宋体" w:hAnsi="宋体" w:cs="仿宋"/>
          <w:sz w:val="24"/>
        </w:rPr>
      </w:pPr>
      <w:r>
        <w:rPr>
          <w:rFonts w:hint="eastAsia" w:ascii="宋体" w:hAnsi="宋体" w:cs="仿宋"/>
          <w:sz w:val="24"/>
        </w:rPr>
        <w:t>借：其他应付款-经销商【总租金成本--100%】</w:t>
      </w:r>
    </w:p>
    <w:p>
      <w:pPr>
        <w:spacing w:line="360" w:lineRule="auto"/>
        <w:ind w:left="141" w:leftChars="67"/>
        <w:rPr>
          <w:rFonts w:hint="eastAsia" w:ascii="宋体" w:hAnsi="宋体" w:cs="仿宋"/>
          <w:sz w:val="24"/>
        </w:rPr>
      </w:pPr>
      <w:r>
        <w:rPr>
          <w:rFonts w:hint="eastAsia" w:ascii="宋体" w:hAnsi="宋体" w:cs="仿宋"/>
          <w:sz w:val="24"/>
        </w:rPr>
        <w:t>贷：存放同业-放款户【总租金成本--100%】</w:t>
      </w:r>
    </w:p>
    <w:p>
      <w:pPr>
        <w:spacing w:line="360" w:lineRule="auto"/>
        <w:ind w:left="141" w:leftChars="67"/>
        <w:rPr>
          <w:rFonts w:hint="eastAsia" w:ascii="宋体" w:hAnsi="宋体" w:cs="仿宋"/>
          <w:sz w:val="24"/>
        </w:rPr>
      </w:pPr>
      <w:r>
        <w:rPr>
          <w:rFonts w:hint="eastAsia" w:ascii="宋体" w:hAnsi="宋体" w:cs="仿宋"/>
          <w:sz w:val="24"/>
        </w:rPr>
        <w:t>2、还款</w:t>
      </w:r>
    </w:p>
    <w:p>
      <w:pPr>
        <w:spacing w:line="360" w:lineRule="auto"/>
        <w:ind w:left="141" w:leftChars="67"/>
        <w:rPr>
          <w:rFonts w:hint="eastAsia" w:ascii="宋体" w:hAnsi="宋体" w:cs="仿宋"/>
          <w:sz w:val="24"/>
        </w:rPr>
      </w:pPr>
      <w:r>
        <w:rPr>
          <w:rFonts w:hint="eastAsia" w:ascii="宋体" w:hAnsi="宋体" w:cs="仿宋"/>
          <w:sz w:val="24"/>
        </w:rPr>
        <w:t>2.1、还款日根据还款计划摊销租赁收益</w:t>
      </w:r>
    </w:p>
    <w:p>
      <w:pPr>
        <w:spacing w:line="360" w:lineRule="auto"/>
        <w:ind w:left="141" w:leftChars="67"/>
        <w:rPr>
          <w:rFonts w:hint="eastAsia" w:ascii="宋体" w:hAnsi="宋体" w:cs="仿宋"/>
          <w:sz w:val="24"/>
        </w:rPr>
      </w:pPr>
      <w:r>
        <w:rPr>
          <w:rFonts w:hint="eastAsia" w:ascii="宋体" w:hAnsi="宋体" w:cs="仿宋"/>
          <w:sz w:val="24"/>
        </w:rPr>
        <w:t>（1）金融公司摊销收益（非贴息）</w:t>
      </w:r>
    </w:p>
    <w:p>
      <w:pPr>
        <w:spacing w:line="360" w:lineRule="auto"/>
        <w:ind w:left="141" w:leftChars="67"/>
        <w:rPr>
          <w:rFonts w:hint="eastAsia" w:ascii="宋体" w:hAnsi="宋体" w:cs="仿宋"/>
          <w:sz w:val="24"/>
        </w:rPr>
      </w:pPr>
      <w:r>
        <w:rPr>
          <w:rFonts w:hint="eastAsia" w:ascii="宋体" w:hAnsi="宋体" w:cs="仿宋"/>
          <w:sz w:val="24"/>
        </w:rPr>
        <w:t>借：未确认融资租赁收益-租金利息</w:t>
      </w:r>
    </w:p>
    <w:p>
      <w:pPr>
        <w:spacing w:line="360" w:lineRule="auto"/>
        <w:ind w:left="141" w:leftChars="67"/>
        <w:rPr>
          <w:rFonts w:hint="eastAsia" w:ascii="宋体" w:hAnsi="宋体" w:cs="仿宋"/>
          <w:sz w:val="24"/>
        </w:rPr>
      </w:pPr>
      <w:r>
        <w:rPr>
          <w:rFonts w:hint="eastAsia" w:ascii="宋体" w:hAnsi="宋体" w:cs="仿宋"/>
          <w:sz w:val="24"/>
        </w:rPr>
        <w:t>贷：租赁收入-租金利息</w:t>
      </w:r>
    </w:p>
    <w:p>
      <w:pPr>
        <w:spacing w:line="360" w:lineRule="auto"/>
        <w:ind w:left="141" w:leftChars="67"/>
        <w:rPr>
          <w:rFonts w:hint="eastAsia" w:ascii="宋体" w:hAnsi="宋体" w:cs="仿宋"/>
          <w:sz w:val="24"/>
        </w:rPr>
      </w:pPr>
      <w:r>
        <w:rPr>
          <w:rFonts w:hint="eastAsia" w:ascii="宋体" w:hAnsi="宋体" w:cs="仿宋"/>
          <w:sz w:val="24"/>
        </w:rPr>
        <w:t>借：租赁收入-租金利息（关机后做加税分离）</w:t>
      </w:r>
    </w:p>
    <w:p>
      <w:pPr>
        <w:spacing w:line="360" w:lineRule="auto"/>
        <w:ind w:left="141" w:leftChars="67"/>
        <w:rPr>
          <w:rFonts w:hint="eastAsia" w:ascii="宋体" w:hAnsi="宋体" w:cs="仿宋"/>
          <w:sz w:val="24"/>
        </w:rPr>
      </w:pPr>
      <w:r>
        <w:rPr>
          <w:rFonts w:hint="eastAsia" w:ascii="宋体" w:hAnsi="宋体" w:cs="仿宋"/>
          <w:sz w:val="24"/>
        </w:rPr>
        <w:t>贷：应交税金-应交增值税-销项税（关机后做加税分离）</w:t>
      </w:r>
    </w:p>
    <w:p>
      <w:pPr>
        <w:spacing w:line="360" w:lineRule="auto"/>
        <w:ind w:left="141" w:leftChars="67"/>
        <w:rPr>
          <w:rFonts w:hint="eastAsia" w:ascii="宋体" w:hAnsi="宋体" w:cs="仿宋"/>
          <w:sz w:val="24"/>
        </w:rPr>
      </w:pPr>
      <w:r>
        <w:rPr>
          <w:rFonts w:hint="eastAsia" w:ascii="宋体" w:hAnsi="宋体" w:cs="仿宋"/>
          <w:sz w:val="24"/>
        </w:rPr>
        <w:t>（2）金融公司摊销收益（主营单位/经销商贴息）</w:t>
      </w:r>
    </w:p>
    <w:p>
      <w:pPr>
        <w:spacing w:line="360" w:lineRule="auto"/>
        <w:ind w:left="141" w:leftChars="67"/>
        <w:rPr>
          <w:rFonts w:hint="eastAsia" w:ascii="宋体" w:hAnsi="宋体" w:cs="仿宋"/>
          <w:sz w:val="24"/>
        </w:rPr>
      </w:pPr>
      <w:r>
        <w:rPr>
          <w:rFonts w:hint="eastAsia" w:ascii="宋体" w:hAnsi="宋体" w:cs="仿宋"/>
          <w:sz w:val="24"/>
        </w:rPr>
        <w:t>借：未确认融资租赁收益-租金利息</w:t>
      </w:r>
    </w:p>
    <w:p>
      <w:pPr>
        <w:spacing w:line="360" w:lineRule="auto"/>
        <w:ind w:left="141" w:leftChars="67"/>
        <w:rPr>
          <w:rFonts w:hint="eastAsia" w:ascii="宋体" w:hAnsi="宋体" w:cs="仿宋"/>
          <w:sz w:val="24"/>
        </w:rPr>
      </w:pPr>
      <w:r>
        <w:rPr>
          <w:rFonts w:hint="eastAsia" w:ascii="宋体" w:hAnsi="宋体" w:cs="仿宋"/>
          <w:sz w:val="24"/>
        </w:rPr>
        <w:t>贷：租赁收入-租金利息</w:t>
      </w:r>
    </w:p>
    <w:p>
      <w:pPr>
        <w:spacing w:line="360" w:lineRule="auto"/>
        <w:ind w:left="141" w:leftChars="67"/>
        <w:rPr>
          <w:rFonts w:hint="eastAsia" w:ascii="宋体" w:hAnsi="宋体" w:cs="仿宋"/>
          <w:sz w:val="24"/>
        </w:rPr>
      </w:pPr>
      <w:r>
        <w:rPr>
          <w:rFonts w:hint="eastAsia" w:ascii="宋体" w:hAnsi="宋体" w:cs="仿宋"/>
          <w:sz w:val="24"/>
        </w:rPr>
        <w:t>2.2、客户还款成功</w:t>
      </w:r>
    </w:p>
    <w:p>
      <w:pPr>
        <w:spacing w:line="360" w:lineRule="auto"/>
        <w:ind w:left="141" w:leftChars="67"/>
        <w:rPr>
          <w:rFonts w:hint="eastAsia" w:ascii="宋体" w:hAnsi="宋体" w:cs="仿宋"/>
          <w:sz w:val="24"/>
        </w:rPr>
      </w:pPr>
      <w:r>
        <w:rPr>
          <w:rFonts w:hint="eastAsia" w:ascii="宋体" w:hAnsi="宋体" w:cs="仿宋"/>
          <w:sz w:val="24"/>
        </w:rPr>
        <w:t>借：存放同业-公司一般户【100%】</w:t>
      </w:r>
    </w:p>
    <w:p>
      <w:pPr>
        <w:spacing w:line="360" w:lineRule="auto"/>
        <w:ind w:left="141" w:leftChars="67"/>
        <w:rPr>
          <w:rFonts w:hint="eastAsia" w:ascii="宋体" w:hAnsi="宋体" w:cs="仿宋"/>
          <w:sz w:val="24"/>
        </w:rPr>
      </w:pPr>
      <w:r>
        <w:rPr>
          <w:rFonts w:hint="eastAsia" w:ascii="宋体" w:hAnsi="宋体" w:cs="仿宋"/>
          <w:sz w:val="24"/>
        </w:rPr>
        <w:t>贷：其他应付款-暂存款（客户）【100%】</w:t>
      </w:r>
    </w:p>
    <w:p>
      <w:pPr>
        <w:spacing w:line="360" w:lineRule="auto"/>
        <w:ind w:left="141" w:leftChars="67"/>
        <w:rPr>
          <w:rFonts w:hint="eastAsia" w:ascii="宋体" w:hAnsi="宋体" w:cs="仿宋"/>
          <w:sz w:val="24"/>
        </w:rPr>
      </w:pPr>
      <w:r>
        <w:rPr>
          <w:rFonts w:hint="eastAsia" w:ascii="宋体" w:hAnsi="宋体" w:cs="仿宋"/>
          <w:sz w:val="24"/>
        </w:rPr>
        <w:t>借：其他应付款-暂存款（客户）【金融公司部分】</w:t>
      </w:r>
    </w:p>
    <w:p>
      <w:pPr>
        <w:spacing w:line="360" w:lineRule="auto"/>
        <w:ind w:left="141" w:leftChars="67"/>
        <w:rPr>
          <w:rFonts w:hint="eastAsia" w:ascii="宋体" w:hAnsi="宋体" w:cs="仿宋"/>
          <w:sz w:val="24"/>
        </w:rPr>
      </w:pPr>
      <w:r>
        <w:rPr>
          <w:rFonts w:hint="eastAsia" w:ascii="宋体" w:hAnsi="宋体" w:cs="仿宋"/>
          <w:sz w:val="24"/>
        </w:rPr>
        <w:t>贷：长期应收款-客户租金【金融公司部分】</w:t>
      </w:r>
    </w:p>
    <w:p>
      <w:pPr>
        <w:spacing w:line="360" w:lineRule="auto"/>
        <w:ind w:left="141" w:leftChars="67"/>
        <w:rPr>
          <w:rFonts w:hint="eastAsia" w:ascii="宋体" w:hAnsi="宋体" w:cs="仿宋"/>
          <w:sz w:val="24"/>
        </w:rPr>
      </w:pPr>
      <w:r>
        <w:rPr>
          <w:rFonts w:hint="eastAsia" w:ascii="宋体" w:hAnsi="宋体" w:cs="仿宋"/>
          <w:sz w:val="24"/>
        </w:rPr>
        <w:t>2.3、还平安租赁租金</w:t>
      </w:r>
    </w:p>
    <w:p>
      <w:pPr>
        <w:spacing w:line="360" w:lineRule="auto"/>
        <w:ind w:left="141" w:leftChars="67"/>
        <w:rPr>
          <w:rFonts w:hint="eastAsia" w:ascii="宋体" w:hAnsi="宋体" w:cs="仿宋"/>
          <w:sz w:val="24"/>
        </w:rPr>
      </w:pPr>
      <w:r>
        <w:rPr>
          <w:rFonts w:hint="eastAsia" w:ascii="宋体" w:hAnsi="宋体" w:cs="仿宋"/>
          <w:sz w:val="24"/>
        </w:rPr>
        <w:t>（1）客户还平安租金</w:t>
      </w:r>
    </w:p>
    <w:p>
      <w:pPr>
        <w:spacing w:line="360" w:lineRule="auto"/>
        <w:ind w:left="141" w:leftChars="67"/>
        <w:rPr>
          <w:rFonts w:hint="eastAsia" w:ascii="宋体" w:hAnsi="宋体" w:cs="仿宋"/>
          <w:sz w:val="24"/>
        </w:rPr>
      </w:pPr>
      <w:r>
        <w:rPr>
          <w:rFonts w:hint="eastAsia" w:ascii="宋体" w:hAnsi="宋体" w:cs="仿宋"/>
          <w:sz w:val="24"/>
        </w:rPr>
        <w:t>借：其他应付款-暂存款（客户）【平安租赁部分】</w:t>
      </w:r>
    </w:p>
    <w:p>
      <w:pPr>
        <w:spacing w:line="360" w:lineRule="auto"/>
        <w:ind w:left="141" w:leftChars="67"/>
        <w:rPr>
          <w:rFonts w:hint="eastAsia" w:ascii="宋体" w:hAnsi="宋体" w:cs="仿宋"/>
          <w:sz w:val="24"/>
        </w:rPr>
      </w:pPr>
      <w:r>
        <w:rPr>
          <w:rFonts w:hint="eastAsia" w:ascii="宋体" w:hAnsi="宋体" w:cs="仿宋"/>
          <w:sz w:val="24"/>
        </w:rPr>
        <w:t xml:space="preserve">贷：其他应付款-平安租赁【平安租赁部分】 </w:t>
      </w:r>
    </w:p>
    <w:p>
      <w:pPr>
        <w:spacing w:line="360" w:lineRule="auto"/>
        <w:ind w:left="141" w:leftChars="67"/>
        <w:rPr>
          <w:rFonts w:hint="eastAsia" w:ascii="宋体" w:hAnsi="宋体" w:cs="仿宋"/>
          <w:sz w:val="24"/>
        </w:rPr>
      </w:pPr>
      <w:r>
        <w:rPr>
          <w:rFonts w:hint="eastAsia" w:ascii="宋体" w:hAnsi="宋体" w:cs="仿宋"/>
          <w:sz w:val="24"/>
        </w:rPr>
        <w:t>（2）将应付平安租赁租金划款到还款专户</w:t>
      </w:r>
    </w:p>
    <w:p>
      <w:pPr>
        <w:spacing w:line="360" w:lineRule="auto"/>
        <w:ind w:left="141" w:leftChars="67"/>
        <w:rPr>
          <w:rFonts w:hint="eastAsia" w:ascii="宋体" w:hAnsi="宋体" w:cs="仿宋"/>
          <w:sz w:val="24"/>
        </w:rPr>
      </w:pPr>
      <w:r>
        <w:rPr>
          <w:rFonts w:hint="eastAsia" w:ascii="宋体" w:hAnsi="宋体" w:cs="仿宋"/>
          <w:sz w:val="24"/>
        </w:rPr>
        <w:t>借：存放同业-平安租赁还款户【平安租赁部分】</w:t>
      </w:r>
    </w:p>
    <w:p>
      <w:pPr>
        <w:spacing w:line="360" w:lineRule="auto"/>
        <w:ind w:left="141" w:leftChars="67"/>
        <w:rPr>
          <w:rFonts w:hint="eastAsia" w:ascii="宋体" w:hAnsi="宋体" w:cs="仿宋"/>
          <w:sz w:val="24"/>
        </w:rPr>
      </w:pPr>
      <w:r>
        <w:rPr>
          <w:rFonts w:hint="eastAsia" w:ascii="宋体" w:hAnsi="宋体" w:cs="仿宋"/>
          <w:sz w:val="24"/>
        </w:rPr>
        <w:t>贷：存放同业-公司一般户【平安租赁部分】</w:t>
      </w:r>
    </w:p>
    <w:p>
      <w:pPr>
        <w:spacing w:line="360" w:lineRule="auto"/>
        <w:ind w:left="141" w:leftChars="67"/>
        <w:rPr>
          <w:rFonts w:hint="eastAsia" w:ascii="宋体" w:hAnsi="宋体" w:cs="仿宋"/>
          <w:sz w:val="24"/>
        </w:rPr>
      </w:pPr>
      <w:r>
        <w:rPr>
          <w:rFonts w:hint="eastAsia" w:ascii="宋体" w:hAnsi="宋体" w:cs="仿宋"/>
          <w:sz w:val="24"/>
        </w:rPr>
        <w:t>（3）划款冲平安应付租金</w:t>
      </w:r>
    </w:p>
    <w:p>
      <w:pPr>
        <w:spacing w:line="360" w:lineRule="auto"/>
        <w:ind w:left="141" w:leftChars="67"/>
        <w:rPr>
          <w:rFonts w:hint="eastAsia" w:ascii="宋体" w:hAnsi="宋体" w:cs="仿宋"/>
          <w:sz w:val="24"/>
        </w:rPr>
      </w:pPr>
      <w:r>
        <w:rPr>
          <w:rFonts w:hint="eastAsia" w:ascii="宋体" w:hAnsi="宋体" w:cs="仿宋"/>
          <w:sz w:val="24"/>
        </w:rPr>
        <w:t>借：其他应付款-平安租赁【平安租赁部分】</w:t>
      </w:r>
    </w:p>
    <w:p>
      <w:pPr>
        <w:spacing w:line="360" w:lineRule="auto"/>
        <w:ind w:left="141" w:leftChars="67"/>
        <w:rPr>
          <w:rFonts w:hint="eastAsia" w:ascii="宋体" w:hAnsi="宋体" w:cs="仿宋"/>
          <w:sz w:val="24"/>
        </w:rPr>
      </w:pPr>
      <w:r>
        <w:rPr>
          <w:rFonts w:hint="eastAsia" w:ascii="宋体" w:hAnsi="宋体" w:cs="仿宋"/>
          <w:sz w:val="24"/>
        </w:rPr>
        <w:t>贷：存放同业-平安租赁还款户【平安租赁部分】</w:t>
      </w:r>
    </w:p>
    <w:p>
      <w:pPr>
        <w:spacing w:line="360" w:lineRule="auto"/>
        <w:ind w:left="141" w:leftChars="67"/>
        <w:rPr>
          <w:rFonts w:hint="eastAsia" w:ascii="宋体" w:hAnsi="宋体" w:cs="仿宋"/>
          <w:sz w:val="24"/>
        </w:rPr>
      </w:pPr>
      <w:r>
        <w:rPr>
          <w:rFonts w:hint="eastAsia" w:ascii="宋体" w:hAnsi="宋体" w:cs="仿宋"/>
          <w:sz w:val="24"/>
        </w:rPr>
        <w:t>3、逾期违约金的计提分录与正常业务相同，数据取值为金融公司未还租金为基数计算的应还罚息。</w:t>
      </w:r>
    </w:p>
    <w:p>
      <w:pPr>
        <w:spacing w:line="360" w:lineRule="auto"/>
        <w:ind w:left="141" w:leftChars="67"/>
        <w:rPr>
          <w:rFonts w:hint="eastAsia" w:ascii="宋体" w:hAnsi="宋体" w:cs="仿宋"/>
          <w:sz w:val="24"/>
        </w:rPr>
      </w:pPr>
      <w:r>
        <w:rPr>
          <w:rFonts w:hint="eastAsia" w:ascii="宋体" w:hAnsi="宋体" w:cs="仿宋"/>
          <w:sz w:val="24"/>
        </w:rPr>
        <w:t>平安租赁违约金</w:t>
      </w:r>
    </w:p>
    <w:p>
      <w:pPr>
        <w:spacing w:line="360" w:lineRule="auto"/>
        <w:ind w:left="141" w:leftChars="67"/>
        <w:rPr>
          <w:rFonts w:hint="eastAsia" w:ascii="宋体" w:hAnsi="宋体" w:cs="仿宋"/>
          <w:sz w:val="24"/>
        </w:rPr>
      </w:pPr>
      <w:r>
        <w:rPr>
          <w:rFonts w:hint="eastAsia" w:ascii="宋体" w:hAnsi="宋体" w:cs="仿宋"/>
          <w:sz w:val="24"/>
        </w:rPr>
        <w:t>借：其他应付款-暂存款（客户）【平安租赁部分】</w:t>
      </w:r>
    </w:p>
    <w:p>
      <w:pPr>
        <w:spacing w:line="360" w:lineRule="auto"/>
        <w:ind w:left="141" w:leftChars="67"/>
        <w:rPr>
          <w:rFonts w:hint="eastAsia" w:ascii="宋体" w:hAnsi="宋体" w:cs="仿宋"/>
          <w:sz w:val="24"/>
        </w:rPr>
      </w:pPr>
      <w:r>
        <w:rPr>
          <w:rFonts w:hint="eastAsia" w:ascii="宋体" w:hAnsi="宋体" w:cs="仿宋"/>
          <w:sz w:val="24"/>
        </w:rPr>
        <w:t xml:space="preserve">贷：其他应付款-平安租赁【平安租赁部分】 </w:t>
      </w:r>
    </w:p>
    <w:p>
      <w:pPr>
        <w:spacing w:line="360" w:lineRule="auto"/>
        <w:ind w:left="141" w:leftChars="67"/>
        <w:rPr>
          <w:rFonts w:hint="eastAsia" w:ascii="宋体" w:hAnsi="宋体" w:cs="仿宋"/>
          <w:sz w:val="24"/>
        </w:rPr>
      </w:pPr>
      <w:r>
        <w:rPr>
          <w:rFonts w:hint="eastAsia" w:ascii="宋体" w:hAnsi="宋体" w:cs="仿宋"/>
          <w:sz w:val="24"/>
        </w:rPr>
        <w:t>借：其他应付款-平安租赁【平安租赁部分】</w:t>
      </w:r>
    </w:p>
    <w:p>
      <w:pPr>
        <w:spacing w:line="360" w:lineRule="auto"/>
        <w:ind w:left="141" w:leftChars="67"/>
        <w:rPr>
          <w:rFonts w:ascii="宋体" w:hAnsi="宋体" w:cs="仿宋"/>
          <w:sz w:val="24"/>
        </w:rPr>
      </w:pPr>
      <w:r>
        <w:rPr>
          <w:rFonts w:hint="eastAsia" w:ascii="宋体" w:hAnsi="宋体" w:cs="仿宋"/>
          <w:sz w:val="24"/>
        </w:rPr>
        <w:t>贷：存放同业-平安租赁还款户【平安租赁部分】。</w:t>
      </w:r>
    </w:p>
    <w:p>
      <w:pPr>
        <w:pStyle w:val="130"/>
        <w:keepNext/>
        <w:keepLines/>
        <w:widowControl/>
        <w:numPr>
          <w:ilvl w:val="0"/>
          <w:numId w:val="5"/>
        </w:numPr>
        <w:tabs>
          <w:tab w:val="left" w:pos="1002"/>
        </w:tabs>
        <w:spacing w:before="340" w:after="330" w:line="440" w:lineRule="exact"/>
        <w:ind w:firstLineChars="0"/>
        <w:jc w:val="left"/>
        <w:outlineLvl w:val="1"/>
        <w:rPr>
          <w:rFonts w:ascii="仿宋" w:hAnsi="仿宋" w:eastAsia="仿宋"/>
          <w:b/>
          <w:kern w:val="44"/>
          <w:sz w:val="36"/>
          <w:szCs w:val="36"/>
        </w:rPr>
      </w:pPr>
      <w:r>
        <w:rPr>
          <w:rFonts w:hint="eastAsia" w:ascii="仿宋" w:hAnsi="仿宋" w:eastAsia="仿宋"/>
          <w:b/>
          <w:kern w:val="44"/>
          <w:sz w:val="36"/>
          <w:szCs w:val="36"/>
        </w:rPr>
        <w:t>实施要求</w:t>
      </w:r>
    </w:p>
    <w:p>
      <w:pPr>
        <w:tabs>
          <w:tab w:val="left" w:pos="840"/>
        </w:tabs>
        <w:spacing w:line="360" w:lineRule="auto"/>
        <w:ind w:firstLine="480" w:firstLineChars="200"/>
        <w:jc w:val="left"/>
        <w:outlineLvl w:val="2"/>
        <w:rPr>
          <w:rFonts w:ascii="宋体" w:hAnsi="宋体"/>
          <w:b/>
          <w:sz w:val="24"/>
        </w:rPr>
      </w:pPr>
      <w:bookmarkStart w:id="16" w:name="_Toc533251958"/>
      <w:r>
        <w:rPr>
          <w:rFonts w:hint="eastAsia" w:ascii="宋体" w:hAnsi="宋体"/>
          <w:b/>
          <w:sz w:val="24"/>
        </w:rPr>
        <w:t>1、实施体系</w:t>
      </w:r>
      <w:bookmarkEnd w:id="16"/>
    </w:p>
    <w:p>
      <w:pPr>
        <w:tabs>
          <w:tab w:val="left" w:pos="840"/>
        </w:tabs>
        <w:spacing w:line="360" w:lineRule="auto"/>
        <w:ind w:firstLine="480" w:firstLineChars="200"/>
        <w:jc w:val="left"/>
        <w:rPr>
          <w:rFonts w:ascii="宋体" w:hAnsi="宋体"/>
          <w:sz w:val="24"/>
        </w:rPr>
      </w:pPr>
      <w:r>
        <w:rPr>
          <w:rFonts w:hint="eastAsia" w:ascii="宋体" w:hAnsi="宋体"/>
          <w:sz w:val="24"/>
        </w:rPr>
        <w:t>实施工作遵从系统、科学、完整、可行的实施方法论体系。</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参照行业最佳业务实践，向重汽汽车金融有限公司提供管理改进建议。但同时也必须具有在公司管理现状基础上进行快速实施导入的方法。</w:t>
      </w:r>
      <w:bookmarkStart w:id="17" w:name="_Toc523326842"/>
    </w:p>
    <w:p>
      <w:pPr>
        <w:tabs>
          <w:tab w:val="left" w:pos="840"/>
        </w:tabs>
        <w:spacing w:line="360" w:lineRule="auto"/>
        <w:ind w:firstLine="480" w:firstLineChars="200"/>
        <w:jc w:val="left"/>
        <w:rPr>
          <w:rFonts w:ascii="宋体" w:hAnsi="宋体"/>
          <w:sz w:val="24"/>
        </w:rPr>
      </w:pPr>
      <w:r>
        <w:rPr>
          <w:rFonts w:hint="eastAsia" w:ascii="宋体" w:hAnsi="宋体"/>
          <w:sz w:val="24"/>
        </w:rPr>
        <w:t>乙</w:t>
      </w:r>
      <w:r>
        <w:rPr>
          <w:rFonts w:ascii="宋体" w:hAnsi="宋体"/>
          <w:sz w:val="24"/>
        </w:rPr>
        <w:t>方负责提供功能</w:t>
      </w:r>
      <w:r>
        <w:rPr>
          <w:rFonts w:hint="eastAsia" w:ascii="宋体" w:hAnsi="宋体"/>
          <w:sz w:val="24"/>
        </w:rPr>
        <w:t>需</w:t>
      </w:r>
      <w:r>
        <w:rPr>
          <w:rFonts w:ascii="宋体" w:hAnsi="宋体"/>
          <w:sz w:val="24"/>
        </w:rPr>
        <w:t>求中所有系统的安装、界面开发、数据集成</w:t>
      </w:r>
      <w:r>
        <w:rPr>
          <w:rFonts w:hint="eastAsia" w:ascii="宋体" w:hAnsi="宋体"/>
          <w:sz w:val="24"/>
        </w:rPr>
        <w:t>、</w:t>
      </w:r>
      <w:r>
        <w:rPr>
          <w:rFonts w:ascii="宋体" w:hAnsi="宋体"/>
          <w:sz w:val="24"/>
        </w:rPr>
        <w:t>部署</w:t>
      </w:r>
      <w:r>
        <w:rPr>
          <w:rFonts w:hint="eastAsia" w:ascii="宋体" w:hAnsi="宋体"/>
          <w:sz w:val="24"/>
        </w:rPr>
        <w:t>培训所需的环境</w:t>
      </w:r>
      <w:r>
        <w:rPr>
          <w:rFonts w:ascii="宋体" w:hAnsi="宋体"/>
          <w:sz w:val="24"/>
        </w:rPr>
        <w:t>。</w:t>
      </w:r>
    </w:p>
    <w:p>
      <w:pPr>
        <w:tabs>
          <w:tab w:val="left" w:pos="840"/>
        </w:tabs>
        <w:spacing w:line="360" w:lineRule="auto"/>
        <w:ind w:firstLine="480" w:firstLineChars="200"/>
        <w:jc w:val="left"/>
        <w:rPr>
          <w:rFonts w:ascii="宋体" w:hAnsi="宋体"/>
          <w:sz w:val="24"/>
        </w:rPr>
      </w:pPr>
      <w:r>
        <w:rPr>
          <w:rFonts w:hint="eastAsia" w:ascii="宋体" w:hAnsi="宋体"/>
          <w:sz w:val="24"/>
        </w:rPr>
        <w:t>乙</w:t>
      </w:r>
      <w:r>
        <w:rPr>
          <w:rFonts w:ascii="宋体" w:hAnsi="宋体"/>
          <w:sz w:val="24"/>
        </w:rPr>
        <w:t>方</w:t>
      </w:r>
      <w:r>
        <w:rPr>
          <w:rFonts w:hint="eastAsia" w:ascii="宋体" w:hAnsi="宋体"/>
          <w:sz w:val="24"/>
        </w:rPr>
        <w:t>提供的软件系统在技术上应是先进、实用和安全的，符合信息技术发展的主流趋势，具有实施简易、技术先进、灵活性强、开放性高、维护性好、可移植性强、集成性好的基本特点。</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（1）实施计划</w:t>
      </w:r>
      <w:bookmarkEnd w:id="17"/>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参照九恒星结算系统改造</w:t>
      </w:r>
      <w:r>
        <w:rPr>
          <w:rFonts w:ascii="宋体" w:hAnsi="宋体"/>
          <w:sz w:val="24"/>
        </w:rPr>
        <w:t>规划</w:t>
      </w:r>
      <w:r>
        <w:rPr>
          <w:rFonts w:hint="eastAsia" w:ascii="宋体" w:hAnsi="宋体"/>
          <w:sz w:val="24"/>
        </w:rPr>
        <w:t>，制定详细的实施计划与明细步骤。</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以相近案例企业说明实施计划的可行性与前提保障。</w:t>
      </w:r>
    </w:p>
    <w:p>
      <w:pPr>
        <w:tabs>
          <w:tab w:val="left" w:pos="420"/>
          <w:tab w:val="left" w:pos="840"/>
        </w:tabs>
        <w:spacing w:line="360" w:lineRule="auto"/>
        <w:ind w:firstLine="480" w:firstLineChars="200"/>
        <w:jc w:val="left"/>
        <w:rPr>
          <w:rFonts w:ascii="宋体" w:hAnsi="宋体"/>
          <w:sz w:val="24"/>
        </w:rPr>
      </w:pPr>
      <w:bookmarkStart w:id="18" w:name="_Toc523326843"/>
      <w:r>
        <w:rPr>
          <w:rFonts w:hint="eastAsia" w:ascii="宋体" w:hAnsi="宋体"/>
          <w:sz w:val="24"/>
        </w:rPr>
        <w:t>（2）实施组织</w:t>
      </w:r>
      <w:bookmarkEnd w:id="18"/>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提出参与实施各方的项目实施组织架构建议，确保实施分工科学合理、项目各方紧密协调合作，共同完成项目的实施工作。</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明确实施组织内各方、各级人员的工作职责。</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明确项目实施过程中的管理与协调机制。</w:t>
      </w:r>
      <w:bookmarkStart w:id="19" w:name="_Toc523326844"/>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（3）实施人员</w:t>
      </w:r>
      <w:bookmarkEnd w:id="19"/>
    </w:p>
    <w:p>
      <w:pPr>
        <w:tabs>
          <w:tab w:val="left" w:pos="420"/>
          <w:tab w:val="left" w:pos="840"/>
        </w:tabs>
        <w:spacing w:line="360" w:lineRule="auto"/>
        <w:ind w:firstLine="480" w:firstLineChars="200"/>
        <w:jc w:val="left"/>
        <w:rPr>
          <w:rFonts w:ascii="宋体" w:hAnsi="宋体"/>
          <w:color w:val="auto"/>
          <w:sz w:val="24"/>
        </w:rPr>
      </w:pPr>
      <w:r>
        <w:rPr>
          <w:rFonts w:ascii="宋体" w:hAnsi="宋体"/>
          <w:color w:val="auto"/>
          <w:sz w:val="24"/>
        </w:rPr>
        <w:t>不少于</w:t>
      </w:r>
      <w:r>
        <w:rPr>
          <w:rFonts w:hint="eastAsia" w:ascii="宋体" w:hAnsi="宋体"/>
          <w:color w:val="auto"/>
          <w:sz w:val="24"/>
        </w:rPr>
        <w:t>2人</w:t>
      </w:r>
      <w:r>
        <w:rPr>
          <w:rFonts w:ascii="宋体" w:hAnsi="宋体"/>
          <w:color w:val="auto"/>
          <w:sz w:val="24"/>
        </w:rPr>
        <w:t>的实施服务</w:t>
      </w:r>
      <w:r>
        <w:rPr>
          <w:rFonts w:hint="eastAsia" w:ascii="宋体" w:hAnsi="宋体"/>
          <w:color w:val="auto"/>
          <w:sz w:val="24"/>
        </w:rPr>
        <w:t>，</w:t>
      </w:r>
      <w:r>
        <w:rPr>
          <w:rFonts w:ascii="宋体" w:hAnsi="宋体"/>
          <w:color w:val="auto"/>
          <w:sz w:val="24"/>
        </w:rPr>
        <w:t>项目经理</w:t>
      </w:r>
      <w:r>
        <w:rPr>
          <w:rFonts w:hint="eastAsia" w:ascii="宋体" w:hAnsi="宋体"/>
          <w:color w:val="auto"/>
          <w:sz w:val="24"/>
        </w:rPr>
        <w:t>1名</w:t>
      </w:r>
      <w:r>
        <w:rPr>
          <w:rFonts w:ascii="宋体" w:hAnsi="宋体"/>
          <w:color w:val="auto"/>
          <w:sz w:val="24"/>
        </w:rPr>
        <w:t>，</w:t>
      </w:r>
      <w:r>
        <w:rPr>
          <w:rFonts w:hint="eastAsia" w:ascii="宋体" w:hAnsi="宋体"/>
          <w:color w:val="auto"/>
          <w:sz w:val="24"/>
        </w:rPr>
        <w:t>在项目实施</w:t>
      </w:r>
      <w:r>
        <w:rPr>
          <w:rFonts w:ascii="宋体" w:hAnsi="宋体"/>
          <w:color w:val="auto"/>
          <w:sz w:val="24"/>
        </w:rPr>
        <w:t>周期内不能兼职</w:t>
      </w:r>
      <w:r>
        <w:rPr>
          <w:rFonts w:hint="eastAsia" w:ascii="宋体" w:hAnsi="宋体"/>
          <w:color w:val="auto"/>
          <w:sz w:val="24"/>
        </w:rPr>
        <w:t>其他</w:t>
      </w:r>
      <w:r>
        <w:rPr>
          <w:rFonts w:ascii="宋体" w:hAnsi="宋体"/>
          <w:color w:val="auto"/>
          <w:sz w:val="24"/>
        </w:rPr>
        <w:t>项目</w:t>
      </w:r>
      <w:r>
        <w:rPr>
          <w:rFonts w:hint="eastAsia" w:ascii="宋体" w:hAnsi="宋体"/>
          <w:color w:val="auto"/>
          <w:sz w:val="24"/>
        </w:rPr>
        <w:t>工作；</w:t>
      </w:r>
      <w:r>
        <w:rPr>
          <w:rFonts w:ascii="宋体" w:hAnsi="宋体"/>
          <w:color w:val="auto"/>
          <w:sz w:val="24"/>
        </w:rPr>
        <w:t>顾问及技术人员应在工作需要时到现场配合</w:t>
      </w:r>
      <w:r>
        <w:rPr>
          <w:rFonts w:hint="eastAsia" w:ascii="宋体" w:hAnsi="宋体"/>
          <w:color w:val="auto"/>
          <w:sz w:val="24"/>
        </w:rPr>
        <w:t>。</w:t>
      </w:r>
    </w:p>
    <w:p>
      <w:pPr>
        <w:tabs>
          <w:tab w:val="left" w:pos="420"/>
          <w:tab w:val="left" w:pos="840"/>
        </w:tabs>
        <w:spacing w:line="360" w:lineRule="auto"/>
        <w:ind w:firstLine="480" w:firstLineChars="200"/>
        <w:jc w:val="left"/>
        <w:rPr>
          <w:rFonts w:ascii="宋体" w:hAnsi="宋体"/>
          <w:color w:val="auto"/>
          <w:sz w:val="24"/>
        </w:rPr>
      </w:pPr>
      <w:r>
        <w:rPr>
          <w:rFonts w:hint="eastAsia" w:ascii="宋体" w:hAnsi="宋体"/>
          <w:color w:val="auto"/>
          <w:sz w:val="24"/>
        </w:rPr>
        <w:t>乙方实施人员需具备良好的实施和沟通能力，1年以上工作经验且具有</w:t>
      </w:r>
      <w:r>
        <w:rPr>
          <w:rFonts w:ascii="宋体" w:hAnsi="宋体"/>
          <w:color w:val="auto"/>
          <w:sz w:val="24"/>
        </w:rPr>
        <w:t>至少</w:t>
      </w:r>
      <w:r>
        <w:rPr>
          <w:rFonts w:hint="eastAsia" w:ascii="宋体" w:hAnsi="宋体"/>
          <w:color w:val="auto"/>
          <w:sz w:val="24"/>
        </w:rPr>
        <w:t>1个</w:t>
      </w:r>
      <w:r>
        <w:rPr>
          <w:rFonts w:ascii="宋体" w:hAnsi="宋体"/>
          <w:color w:val="auto"/>
          <w:sz w:val="24"/>
        </w:rPr>
        <w:t>以上大型集团化实施</w:t>
      </w:r>
      <w:r>
        <w:rPr>
          <w:rFonts w:hint="eastAsia" w:ascii="宋体" w:hAnsi="宋体"/>
          <w:color w:val="auto"/>
          <w:sz w:val="24"/>
        </w:rPr>
        <w:t>经历。</w:t>
      </w:r>
    </w:p>
    <w:p>
      <w:pPr>
        <w:tabs>
          <w:tab w:val="left" w:pos="420"/>
          <w:tab w:val="left" w:pos="840"/>
        </w:tabs>
        <w:spacing w:line="360" w:lineRule="auto"/>
        <w:ind w:firstLine="480" w:firstLineChars="200"/>
        <w:jc w:val="left"/>
        <w:rPr>
          <w:rFonts w:hint="eastAsia" w:ascii="宋体" w:hAnsi="宋体"/>
          <w:color w:val="auto"/>
          <w:sz w:val="24"/>
        </w:rPr>
      </w:pPr>
      <w:r>
        <w:rPr>
          <w:rFonts w:hint="eastAsia" w:ascii="宋体" w:hAnsi="宋体"/>
          <w:color w:val="auto"/>
          <w:sz w:val="24"/>
        </w:rPr>
        <w:t>乙方项目经理需要具有丰富的实施管理经验，具有</w:t>
      </w:r>
      <w:r>
        <w:rPr>
          <w:rFonts w:ascii="宋体" w:hAnsi="宋体"/>
          <w:color w:val="auto"/>
          <w:sz w:val="24"/>
        </w:rPr>
        <w:t>至少</w:t>
      </w:r>
      <w:r>
        <w:rPr>
          <w:rFonts w:hint="eastAsia" w:ascii="宋体" w:hAnsi="宋体"/>
          <w:color w:val="auto"/>
          <w:sz w:val="24"/>
        </w:rPr>
        <w:t>5个</w:t>
      </w:r>
      <w:r>
        <w:rPr>
          <w:rFonts w:ascii="宋体" w:hAnsi="宋体"/>
          <w:color w:val="auto"/>
          <w:sz w:val="24"/>
        </w:rPr>
        <w:t>以上大型集团化企业</w:t>
      </w:r>
      <w:r>
        <w:rPr>
          <w:rFonts w:hint="eastAsia" w:ascii="宋体" w:hAnsi="宋体"/>
          <w:color w:val="auto"/>
          <w:sz w:val="24"/>
        </w:rPr>
        <w:t>项目管理</w:t>
      </w:r>
      <w:r>
        <w:rPr>
          <w:rFonts w:ascii="宋体" w:hAnsi="宋体"/>
          <w:color w:val="auto"/>
          <w:sz w:val="24"/>
        </w:rPr>
        <w:t>经验</w:t>
      </w:r>
      <w:r>
        <w:rPr>
          <w:rFonts w:hint="eastAsia" w:ascii="宋体" w:hAnsi="宋体"/>
          <w:color w:val="auto"/>
          <w:sz w:val="24"/>
        </w:rPr>
        <w:t>，能够迅速深入地理解公司的业务现状，并具有良好的和公司的高层、中层管理人员之间沟通、协调能力。</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乙方</w:t>
      </w:r>
      <w:r>
        <w:rPr>
          <w:rFonts w:ascii="宋体" w:hAnsi="宋体"/>
          <w:sz w:val="24"/>
        </w:rPr>
        <w:t>实施顾问</w:t>
      </w:r>
      <w:r>
        <w:rPr>
          <w:rFonts w:hint="eastAsia" w:ascii="宋体" w:hAnsi="宋体"/>
          <w:sz w:val="24"/>
        </w:rPr>
        <w:t>需要具有丰富项目实施经验，具有</w:t>
      </w:r>
      <w:r>
        <w:rPr>
          <w:rFonts w:ascii="宋体" w:hAnsi="宋体"/>
          <w:sz w:val="24"/>
        </w:rPr>
        <w:t>至少</w:t>
      </w:r>
      <w:r>
        <w:rPr>
          <w:rFonts w:hint="eastAsia" w:ascii="宋体" w:hAnsi="宋体"/>
          <w:sz w:val="24"/>
        </w:rPr>
        <w:t>5个</w:t>
      </w:r>
      <w:r>
        <w:rPr>
          <w:rFonts w:ascii="宋体" w:hAnsi="宋体"/>
          <w:sz w:val="24"/>
        </w:rPr>
        <w:t>以上大型集团化企项目实施经验</w:t>
      </w:r>
      <w:r>
        <w:rPr>
          <w:rFonts w:hint="eastAsia" w:ascii="宋体" w:hAnsi="宋体"/>
          <w:sz w:val="24"/>
        </w:rPr>
        <w:t>，</w:t>
      </w:r>
      <w:r>
        <w:rPr>
          <w:rFonts w:ascii="宋体" w:hAnsi="宋体"/>
          <w:sz w:val="24"/>
        </w:rPr>
        <w:t>具备良好的业</w:t>
      </w:r>
      <w:r>
        <w:rPr>
          <w:rFonts w:hint="eastAsia" w:ascii="宋体" w:hAnsi="宋体"/>
          <w:sz w:val="24"/>
        </w:rPr>
        <w:t>项目管理</w:t>
      </w:r>
      <w:r>
        <w:rPr>
          <w:rFonts w:ascii="宋体" w:hAnsi="宋体"/>
          <w:sz w:val="24"/>
        </w:rPr>
        <w:t>经验</w:t>
      </w:r>
      <w:r>
        <w:rPr>
          <w:rFonts w:hint="eastAsia" w:ascii="宋体" w:hAnsi="宋体"/>
          <w:sz w:val="24"/>
        </w:rPr>
        <w:t>，并必须具有良好的与公司的中层管理人员和普通业务人员之间沟通、协调能力。</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乙方需至少指派一名技术支持人员，负责所有的技术开发工作，并按照要求的计划时间内完成。</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（4）培训</w:t>
      </w:r>
      <w:r>
        <w:rPr>
          <w:rFonts w:ascii="宋体" w:hAnsi="宋体"/>
          <w:sz w:val="24"/>
        </w:rPr>
        <w:t>要求</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制订完善的培训计划，</w:t>
      </w:r>
      <w:r>
        <w:rPr>
          <w:rFonts w:ascii="宋体" w:hAnsi="宋体"/>
          <w:sz w:val="24"/>
        </w:rPr>
        <w:t>并根据项目工作计划组织</w:t>
      </w:r>
      <w:r>
        <w:rPr>
          <w:rFonts w:hint="eastAsia" w:ascii="宋体" w:hAnsi="宋体"/>
          <w:sz w:val="24"/>
        </w:rPr>
        <w:t>并提供</w:t>
      </w:r>
      <w:r>
        <w:rPr>
          <w:rFonts w:ascii="宋体" w:hAnsi="宋体"/>
          <w:sz w:val="24"/>
        </w:rPr>
        <w:t>管理层培训、用户培训、系统</w:t>
      </w:r>
      <w:r>
        <w:rPr>
          <w:rFonts w:hint="eastAsia" w:ascii="宋体" w:hAnsi="宋体"/>
          <w:sz w:val="24"/>
        </w:rPr>
        <w:t>管理员</w:t>
      </w:r>
      <w:r>
        <w:rPr>
          <w:rFonts w:ascii="宋体" w:hAnsi="宋体"/>
          <w:sz w:val="24"/>
        </w:rPr>
        <w:t>培训</w:t>
      </w:r>
      <w:r>
        <w:rPr>
          <w:rFonts w:hint="eastAsia" w:ascii="宋体" w:hAnsi="宋体"/>
          <w:sz w:val="24"/>
        </w:rPr>
        <w:t>，培训</w:t>
      </w:r>
      <w:r>
        <w:rPr>
          <w:rFonts w:ascii="宋体" w:hAnsi="宋体"/>
          <w:sz w:val="24"/>
        </w:rPr>
        <w:t>课件需结合用户实际需求</w:t>
      </w:r>
      <w:r>
        <w:rPr>
          <w:rFonts w:hint="eastAsia" w:ascii="宋体" w:hAnsi="宋体"/>
          <w:sz w:val="24"/>
        </w:rPr>
        <w:t>进行</w:t>
      </w:r>
      <w:r>
        <w:rPr>
          <w:rFonts w:ascii="宋体" w:hAnsi="宋体"/>
          <w:sz w:val="24"/>
        </w:rPr>
        <w:t>准备，培训</w:t>
      </w:r>
      <w:r>
        <w:rPr>
          <w:rFonts w:hint="eastAsia" w:ascii="宋体" w:hAnsi="宋体"/>
          <w:sz w:val="24"/>
        </w:rPr>
        <w:t>次数</w:t>
      </w:r>
      <w:r>
        <w:rPr>
          <w:rFonts w:ascii="宋体" w:hAnsi="宋体"/>
          <w:sz w:val="24"/>
        </w:rPr>
        <w:t>根据</w:t>
      </w:r>
      <w:r>
        <w:rPr>
          <w:rFonts w:hint="eastAsia" w:ascii="宋体" w:hAnsi="宋体"/>
          <w:sz w:val="24"/>
        </w:rPr>
        <w:t>用户</w:t>
      </w:r>
      <w:r>
        <w:rPr>
          <w:rFonts w:ascii="宋体" w:hAnsi="宋体"/>
          <w:sz w:val="24"/>
        </w:rPr>
        <w:t>实际需求进行组织安排，</w:t>
      </w:r>
      <w:r>
        <w:rPr>
          <w:rFonts w:hint="eastAsia" w:ascii="宋体" w:hAnsi="宋体"/>
          <w:sz w:val="24"/>
        </w:rPr>
        <w:t>供应商</w:t>
      </w:r>
      <w:r>
        <w:rPr>
          <w:rFonts w:ascii="宋体" w:hAnsi="宋体"/>
          <w:sz w:val="24"/>
        </w:rPr>
        <w:t>不能</w:t>
      </w:r>
      <w:r>
        <w:rPr>
          <w:rFonts w:hint="eastAsia" w:ascii="宋体" w:hAnsi="宋体"/>
          <w:sz w:val="24"/>
        </w:rPr>
        <w:t>限定培训</w:t>
      </w:r>
      <w:r>
        <w:rPr>
          <w:rFonts w:ascii="宋体" w:hAnsi="宋体"/>
          <w:sz w:val="24"/>
        </w:rPr>
        <w:t>次数。</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（5）技术支持要求</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要求乙方提供全套的技术支持，包括售前技术支持和售后技术支持。合同到期前（售前技术支持），在项目实施时由甲方确定需求，乙方技术人员负责系统整体的实施和搭建，具体包括流程、知识、人员、权限、集成开发等。项目实施后，因实施过程中考虑不周到、系统错误或配置不当导致修订时，由乙方技术人员根据要求直接修订；因组织人员调整、业务需求变更及其他原因导致修订时，由甲方确定需求后，乙方再进行调整和修订；项目实施过程中，因业务需求产生的二次开发和集成设置，由乙方技术人员进行开发和配置。</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合同到期后，由乙方技术人员培训甲方运维人员，并提供售后服务的技术支持，2小时内回执；若系统错误或者系统重大问题发生时，应立即响应驻场8小时内解决；</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系统升级服务由乙方出具升级方案和开发明细，需按照甲方规定的时间进行驻场升级，如发生问题，2小时内解决。</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（6）项目规划</w:t>
      </w:r>
    </w:p>
    <w:p>
      <w:pPr>
        <w:tabs>
          <w:tab w:val="left" w:pos="420"/>
          <w:tab w:val="left" w:pos="840"/>
        </w:tabs>
        <w:spacing w:line="360" w:lineRule="auto"/>
        <w:ind w:firstLine="480" w:firstLineChars="200"/>
        <w:jc w:val="left"/>
        <w:rPr>
          <w:rFonts w:ascii="宋体" w:hAnsi="宋体"/>
          <w:sz w:val="24"/>
        </w:rPr>
      </w:pPr>
      <w:r>
        <w:rPr>
          <w:rFonts w:hint="eastAsia" w:ascii="宋体" w:hAnsi="宋体"/>
          <w:color w:val="auto"/>
          <w:sz w:val="24"/>
        </w:rPr>
        <w:t>乙方应提供系统建设的方案，</w:t>
      </w:r>
      <w:r>
        <w:rPr>
          <w:rFonts w:hint="eastAsia" w:ascii="宋体" w:hAnsi="宋体"/>
          <w:sz w:val="24"/>
        </w:rPr>
        <w:t>并出具标杆项目的业务流程清单、流程图、表单等，同时结合公司的现状和目前信息化水平，提供针对性的规划方案和各功能的推广计划。</w:t>
      </w:r>
    </w:p>
    <w:p>
      <w:pPr>
        <w:tabs>
          <w:tab w:val="left" w:pos="840"/>
        </w:tabs>
        <w:spacing w:line="360" w:lineRule="auto"/>
        <w:ind w:firstLine="480" w:firstLineChars="200"/>
        <w:jc w:val="left"/>
        <w:outlineLvl w:val="2"/>
        <w:rPr>
          <w:rFonts w:ascii="宋体" w:hAnsi="宋体"/>
          <w:b/>
          <w:sz w:val="24"/>
        </w:rPr>
      </w:pPr>
      <w:bookmarkStart w:id="20" w:name="_Toc523326846"/>
      <w:bookmarkStart w:id="21" w:name="_Toc533251959"/>
      <w:r>
        <w:rPr>
          <w:rFonts w:ascii="宋体" w:hAnsi="宋体"/>
          <w:b/>
          <w:sz w:val="24"/>
        </w:rPr>
        <w:t>2</w:t>
      </w:r>
      <w:r>
        <w:rPr>
          <w:rFonts w:hint="eastAsia" w:ascii="宋体" w:hAnsi="宋体"/>
          <w:b/>
          <w:sz w:val="24"/>
        </w:rPr>
        <w:t>、</w:t>
      </w:r>
      <w:bookmarkEnd w:id="20"/>
      <w:bookmarkEnd w:id="21"/>
      <w:r>
        <w:rPr>
          <w:rFonts w:hint="eastAsia" w:ascii="宋体" w:hAnsi="宋体"/>
          <w:b/>
          <w:sz w:val="24"/>
        </w:rPr>
        <w:t>升级后安装调试</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（1）乙方负责升级后的软件安装和调试，保证买方的应用软件正常运行。</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（2）乙方负责软件的基础运维及升级、迭代优化工作。</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（3）乙方负责对用户进行使用、维护等方面的现场培训，以及相关的技术培训和指导，并提供最新版的用户使用手册。</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（4）培训应能使关键用户熟练使用，信息科技部门能排除和解决一般软件故障。</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（5）卖方提</w:t>
      </w:r>
      <w:r>
        <w:rPr>
          <w:rFonts w:hint="eastAsia" w:ascii="宋体" w:hAnsi="宋体"/>
          <w:color w:val="auto"/>
          <w:sz w:val="24"/>
        </w:rPr>
        <w:t>供一年免费的软件版本升级服务</w:t>
      </w:r>
      <w:r>
        <w:rPr>
          <w:rFonts w:hint="eastAsia" w:ascii="宋体" w:hAnsi="宋体"/>
          <w:sz w:val="24"/>
        </w:rPr>
        <w:t>，并保证现有软件版本数据能够平滑升级到新版软件系统中，并保证数据的一致性、完整性和可用性。如果出现问题，供方应免费更换软件版本并提供免费的现场升级及服务，直至问题解决。</w:t>
      </w:r>
    </w:p>
    <w:p>
      <w:pPr>
        <w:tabs>
          <w:tab w:val="left" w:pos="840"/>
        </w:tabs>
        <w:spacing w:line="360" w:lineRule="auto"/>
        <w:ind w:firstLine="480" w:firstLineChars="200"/>
        <w:jc w:val="left"/>
        <w:outlineLvl w:val="2"/>
        <w:rPr>
          <w:rFonts w:ascii="宋体" w:hAnsi="宋体"/>
          <w:b/>
          <w:sz w:val="24"/>
        </w:rPr>
      </w:pPr>
      <w:r>
        <w:rPr>
          <w:rFonts w:ascii="宋体" w:hAnsi="宋体"/>
          <w:b/>
          <w:sz w:val="24"/>
        </w:rPr>
        <w:t>3</w:t>
      </w:r>
      <w:r>
        <w:rPr>
          <w:rFonts w:hint="eastAsia" w:ascii="宋体" w:hAnsi="宋体"/>
          <w:b/>
          <w:sz w:val="24"/>
        </w:rPr>
        <w:t>、项目技术</w:t>
      </w:r>
      <w:r>
        <w:rPr>
          <w:rFonts w:ascii="宋体" w:hAnsi="宋体"/>
          <w:b/>
          <w:sz w:val="24"/>
        </w:rPr>
        <w:t>方案要求</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供应商需要参照上述技术需求说明，撰写完善详细的技术方案，</w:t>
      </w:r>
      <w:r>
        <w:rPr>
          <w:rFonts w:ascii="宋体" w:hAnsi="宋体"/>
          <w:sz w:val="24"/>
        </w:rPr>
        <w:t>并</w:t>
      </w:r>
      <w:r>
        <w:rPr>
          <w:rFonts w:hint="eastAsia" w:ascii="宋体" w:hAnsi="宋体"/>
          <w:sz w:val="24"/>
        </w:rPr>
        <w:t>对以下内容作出重点说明：</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（1）项目</w:t>
      </w:r>
      <w:r>
        <w:rPr>
          <w:rFonts w:ascii="宋体" w:hAnsi="宋体"/>
          <w:sz w:val="24"/>
        </w:rPr>
        <w:t>需求分析</w:t>
      </w:r>
      <w:r>
        <w:rPr>
          <w:rFonts w:hint="eastAsia" w:ascii="宋体" w:hAnsi="宋体"/>
          <w:sz w:val="24"/>
        </w:rPr>
        <w:t>。</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（2）项目总体规划</w:t>
      </w:r>
      <w:r>
        <w:rPr>
          <w:rFonts w:ascii="宋体" w:hAnsi="宋体"/>
          <w:sz w:val="24"/>
        </w:rPr>
        <w:t>方案</w:t>
      </w:r>
      <w:r>
        <w:rPr>
          <w:rFonts w:hint="eastAsia" w:ascii="宋体" w:hAnsi="宋体"/>
          <w:sz w:val="24"/>
        </w:rPr>
        <w:t>（建设目标</w:t>
      </w:r>
      <w:r>
        <w:rPr>
          <w:rFonts w:ascii="宋体" w:hAnsi="宋体"/>
          <w:sz w:val="24"/>
        </w:rPr>
        <w:t>、</w:t>
      </w:r>
      <w:r>
        <w:rPr>
          <w:rFonts w:hint="eastAsia" w:ascii="宋体" w:hAnsi="宋体"/>
          <w:sz w:val="24"/>
        </w:rPr>
        <w:t>总体架构</w:t>
      </w:r>
      <w:r>
        <w:rPr>
          <w:rFonts w:ascii="宋体" w:hAnsi="宋体"/>
          <w:sz w:val="24"/>
        </w:rPr>
        <w:t>、</w:t>
      </w:r>
      <w:r>
        <w:rPr>
          <w:rFonts w:hint="eastAsia" w:ascii="宋体" w:hAnsi="宋体"/>
          <w:sz w:val="24"/>
        </w:rPr>
        <w:t>建设</w:t>
      </w:r>
      <w:r>
        <w:rPr>
          <w:rFonts w:ascii="宋体" w:hAnsi="宋体"/>
          <w:sz w:val="24"/>
        </w:rPr>
        <w:t>原则、</w:t>
      </w:r>
      <w:r>
        <w:rPr>
          <w:rFonts w:hint="eastAsia" w:ascii="宋体" w:hAnsi="宋体"/>
          <w:sz w:val="24"/>
        </w:rPr>
        <w:t>分期</w:t>
      </w:r>
      <w:r>
        <w:rPr>
          <w:rFonts w:ascii="宋体" w:hAnsi="宋体"/>
          <w:sz w:val="24"/>
        </w:rPr>
        <w:t>规划</w:t>
      </w:r>
      <w:r>
        <w:rPr>
          <w:rFonts w:hint="eastAsia" w:ascii="宋体" w:hAnsi="宋体"/>
          <w:sz w:val="24"/>
        </w:rPr>
        <w:t>）。</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（3）项目技术</w:t>
      </w:r>
      <w:r>
        <w:rPr>
          <w:rFonts w:ascii="宋体" w:hAnsi="宋体"/>
          <w:sz w:val="24"/>
        </w:rPr>
        <w:t>需求</w:t>
      </w:r>
      <w:r>
        <w:rPr>
          <w:rFonts w:hint="eastAsia" w:ascii="宋体" w:hAnsi="宋体"/>
          <w:sz w:val="24"/>
        </w:rPr>
        <w:t>详细实现方案（结合系统功能需求</w:t>
      </w:r>
      <w:r>
        <w:rPr>
          <w:rFonts w:ascii="宋体" w:hAnsi="宋体"/>
          <w:sz w:val="24"/>
        </w:rPr>
        <w:t>描述</w:t>
      </w:r>
      <w:r>
        <w:rPr>
          <w:rFonts w:hint="eastAsia" w:ascii="宋体" w:hAnsi="宋体"/>
          <w:sz w:val="24"/>
        </w:rPr>
        <w:t>软件详细</w:t>
      </w:r>
      <w:r>
        <w:rPr>
          <w:rFonts w:ascii="宋体" w:hAnsi="宋体"/>
          <w:sz w:val="24"/>
        </w:rPr>
        <w:t>功能</w:t>
      </w:r>
      <w:r>
        <w:rPr>
          <w:rFonts w:hint="eastAsia" w:ascii="宋体" w:hAnsi="宋体"/>
          <w:sz w:val="24"/>
        </w:rPr>
        <w:t>）。</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（4）升级后</w:t>
      </w:r>
      <w:r>
        <w:rPr>
          <w:rFonts w:hint="eastAsia" w:ascii="宋体" w:hAnsi="宋体"/>
          <w:color w:val="auto"/>
          <w:sz w:val="24"/>
        </w:rPr>
        <w:t>系统及合同内第三方产品</w:t>
      </w:r>
      <w:r>
        <w:rPr>
          <w:rFonts w:ascii="宋体" w:hAnsi="宋体"/>
          <w:color w:val="auto"/>
          <w:sz w:val="24"/>
        </w:rPr>
        <w:t>部署方案及</w:t>
      </w:r>
      <w:r>
        <w:rPr>
          <w:rFonts w:hint="eastAsia" w:ascii="宋体" w:hAnsi="宋体"/>
          <w:color w:val="auto"/>
          <w:sz w:val="24"/>
        </w:rPr>
        <w:t>推荐</w:t>
      </w:r>
      <w:r>
        <w:rPr>
          <w:rFonts w:ascii="宋体" w:hAnsi="宋体"/>
          <w:color w:val="auto"/>
          <w:sz w:val="24"/>
        </w:rPr>
        <w:t>配置</w:t>
      </w:r>
      <w:r>
        <w:rPr>
          <w:rFonts w:hint="eastAsia" w:ascii="宋体" w:hAnsi="宋体"/>
          <w:color w:val="auto"/>
          <w:sz w:val="24"/>
        </w:rPr>
        <w:t>。</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（5）项目实施</w:t>
      </w:r>
      <w:r>
        <w:rPr>
          <w:rFonts w:ascii="宋体" w:hAnsi="宋体"/>
          <w:sz w:val="24"/>
        </w:rPr>
        <w:t>方案</w:t>
      </w:r>
      <w:r>
        <w:rPr>
          <w:rFonts w:hint="eastAsia" w:ascii="宋体" w:hAnsi="宋体"/>
          <w:sz w:val="24"/>
        </w:rPr>
        <w:t>与</w:t>
      </w:r>
      <w:r>
        <w:rPr>
          <w:rFonts w:ascii="宋体" w:hAnsi="宋体"/>
          <w:sz w:val="24"/>
        </w:rPr>
        <w:t>质量保证</w:t>
      </w:r>
      <w:r>
        <w:rPr>
          <w:rFonts w:hint="eastAsia" w:ascii="宋体" w:hAnsi="宋体"/>
          <w:sz w:val="24"/>
        </w:rPr>
        <w:t>（提供</w:t>
      </w:r>
      <w:r>
        <w:rPr>
          <w:rFonts w:ascii="宋体" w:hAnsi="宋体"/>
          <w:sz w:val="24"/>
        </w:rPr>
        <w:t>项目实施主体计划</w:t>
      </w:r>
      <w:r>
        <w:rPr>
          <w:rFonts w:hint="eastAsia" w:ascii="宋体" w:hAnsi="宋体"/>
          <w:sz w:val="24"/>
        </w:rPr>
        <w:t>）。</w:t>
      </w:r>
    </w:p>
    <w:p>
      <w:pPr>
        <w:tabs>
          <w:tab w:val="left" w:pos="420"/>
          <w:tab w:val="left" w:pos="840"/>
        </w:tabs>
        <w:spacing w:line="360" w:lineRule="auto"/>
        <w:ind w:firstLine="480" w:firstLineChars="200"/>
        <w:jc w:val="left"/>
        <w:rPr>
          <w:rFonts w:ascii="宋体" w:hAnsi="宋体"/>
          <w:sz w:val="24"/>
        </w:rPr>
      </w:pPr>
      <w:r>
        <w:rPr>
          <w:rFonts w:hint="eastAsia" w:ascii="宋体" w:hAnsi="宋体"/>
          <w:sz w:val="24"/>
        </w:rPr>
        <w:t>（6）项目组织和</w:t>
      </w:r>
      <w:r>
        <w:rPr>
          <w:rFonts w:ascii="宋体" w:hAnsi="宋体"/>
          <w:sz w:val="24"/>
        </w:rPr>
        <w:t>人员安排</w:t>
      </w:r>
      <w:r>
        <w:rPr>
          <w:rFonts w:hint="eastAsia" w:ascii="宋体" w:hAnsi="宋体"/>
          <w:sz w:val="24"/>
        </w:rPr>
        <w:t>及团队</w:t>
      </w:r>
      <w:r>
        <w:rPr>
          <w:rFonts w:ascii="宋体" w:hAnsi="宋体"/>
          <w:sz w:val="24"/>
        </w:rPr>
        <w:t>人员信息</w:t>
      </w:r>
      <w:r>
        <w:rPr>
          <w:rFonts w:hint="eastAsia" w:ascii="宋体" w:hAnsi="宋体"/>
          <w:sz w:val="24"/>
        </w:rPr>
        <w:t>。</w:t>
      </w:r>
    </w:p>
    <w:p>
      <w:pPr>
        <w:tabs>
          <w:tab w:val="left" w:pos="420"/>
          <w:tab w:val="left" w:pos="840"/>
        </w:tabs>
        <w:spacing w:line="360" w:lineRule="auto"/>
        <w:ind w:firstLine="480" w:firstLineChars="200"/>
        <w:jc w:val="left"/>
        <w:rPr>
          <w:rFonts w:hint="eastAsia" w:ascii="宋体" w:hAnsi="宋体" w:eastAsia="宋体" w:cs="Times New Roman"/>
          <w:b/>
          <w:sz w:val="36"/>
          <w:szCs w:val="36"/>
        </w:rPr>
      </w:pPr>
      <w:r>
        <w:rPr>
          <w:rFonts w:hint="eastAsia" w:ascii="宋体" w:hAnsi="宋体"/>
          <w:sz w:val="24"/>
        </w:rPr>
        <w:t>（7）项目</w:t>
      </w:r>
      <w:r>
        <w:rPr>
          <w:rFonts w:ascii="宋体" w:hAnsi="宋体"/>
          <w:sz w:val="24"/>
        </w:rPr>
        <w:t>服务承诺</w:t>
      </w:r>
      <w:r>
        <w:rPr>
          <w:rFonts w:hint="eastAsia" w:ascii="宋体" w:hAnsi="宋体"/>
          <w:sz w:val="24"/>
        </w:rPr>
        <w:t>和</w:t>
      </w:r>
      <w:r>
        <w:rPr>
          <w:rFonts w:ascii="宋体" w:hAnsi="宋体"/>
          <w:sz w:val="24"/>
        </w:rPr>
        <w:t>运维方案</w:t>
      </w:r>
      <w:r>
        <w:rPr>
          <w:rFonts w:hint="eastAsia" w:ascii="宋体" w:hAnsi="宋体"/>
          <w:sz w:val="24"/>
        </w:rPr>
        <w:t>。</w:t>
      </w:r>
    </w:p>
    <w:p>
      <w:pPr>
        <w:pStyle w:val="146"/>
        <w:widowControl/>
        <w:numPr>
          <w:ilvl w:val="0"/>
          <w:numId w:val="0"/>
        </w:numPr>
        <w:spacing w:line="240" w:lineRule="auto"/>
        <w:ind w:left="480" w:leftChars="0"/>
        <w:jc w:val="left"/>
        <w:outlineLvl w:val="0"/>
        <w:rPr>
          <w:rFonts w:hint="default" w:ascii="宋体" w:hAnsi="宋体" w:eastAsia="宋体" w:cs="宋体"/>
          <w:b/>
          <w:bCs/>
          <w:i w:val="0"/>
          <w:strike w:val="0"/>
          <w:color w:val="auto"/>
          <w:sz w:val="28"/>
          <w:highlight w:val="none"/>
          <w:u w:val="none"/>
          <w:lang w:val="en-US" w:eastAsia="zh-CN"/>
        </w:rPr>
      </w:pPr>
      <w:r>
        <w:rPr>
          <w:rFonts w:hint="eastAsia" w:ascii="宋体" w:hAnsi="宋体" w:cs="宋体"/>
          <w:b/>
          <w:bCs/>
          <w:i w:val="0"/>
          <w:strike w:val="0"/>
          <w:color w:val="auto"/>
          <w:sz w:val="28"/>
          <w:highlight w:val="none"/>
          <w:u w:val="none"/>
          <w:lang w:val="en-US" w:eastAsia="zh-CN"/>
        </w:rPr>
        <w:t>第四部分 商务要求</w:t>
      </w:r>
    </w:p>
    <w:p>
      <w:pPr>
        <w:pStyle w:val="146"/>
        <w:widowControl/>
        <w:numPr>
          <w:ilvl w:val="0"/>
          <w:numId w:val="0"/>
        </w:numPr>
        <w:spacing w:line="240" w:lineRule="auto"/>
        <w:ind w:left="480" w:leftChars="0"/>
        <w:jc w:val="left"/>
        <w:outlineLvl w:val="1"/>
        <w:rPr>
          <w:rFonts w:hint="eastAsia" w:ascii="宋体" w:hAnsi="宋体" w:eastAsia="宋体" w:cs="宋体"/>
          <w:b/>
          <w:i w:val="0"/>
          <w:strike w:val="0"/>
          <w:color w:val="auto"/>
          <w:sz w:val="28"/>
          <w:highlight w:val="none"/>
          <w:u w:val="none"/>
        </w:rPr>
      </w:pPr>
      <w:r>
        <w:rPr>
          <w:rFonts w:hint="eastAsia" w:ascii="宋体" w:hAnsi="宋体" w:eastAsia="宋体" w:cs="宋体"/>
          <w:b/>
          <w:bCs/>
          <w:i w:val="0"/>
          <w:strike w:val="0"/>
          <w:color w:val="auto"/>
          <w:sz w:val="28"/>
          <w:highlight w:val="none"/>
          <w:u w:val="none"/>
          <w:lang w:val="en-US" w:eastAsia="zh-CN"/>
        </w:rPr>
        <w:t>一、</w:t>
      </w:r>
      <w:r>
        <w:rPr>
          <w:rFonts w:hint="eastAsia" w:ascii="宋体" w:hAnsi="宋体" w:eastAsia="宋体" w:cs="宋体"/>
          <w:b/>
          <w:bCs/>
          <w:i w:val="0"/>
          <w:strike w:val="0"/>
          <w:color w:val="auto"/>
          <w:sz w:val="28"/>
          <w:highlight w:val="none"/>
          <w:u w:val="none"/>
        </w:rPr>
        <w:t>资质文件</w:t>
      </w:r>
      <w:r>
        <w:rPr>
          <w:rFonts w:hint="eastAsia" w:ascii="宋体" w:hAnsi="宋体" w:eastAsia="宋体" w:cs="宋体"/>
          <w:b/>
          <w:i w:val="0"/>
          <w:strike w:val="0"/>
          <w:color w:val="auto"/>
          <w:sz w:val="28"/>
          <w:highlight w:val="none"/>
          <w:u w:val="none"/>
        </w:rPr>
        <w:t>（独立封装在一个档案袋，一式两份）：</w:t>
      </w:r>
    </w:p>
    <w:p>
      <w:pPr>
        <w:pStyle w:val="146"/>
        <w:widowControl/>
        <w:spacing w:after="120"/>
        <w:ind w:firstLine="480"/>
        <w:jc w:val="left"/>
        <w:rPr>
          <w:rFonts w:hint="eastAsia" w:ascii="宋体" w:hAnsi="宋体" w:eastAsia="宋体" w:cs="宋体"/>
          <w:b w:val="0"/>
          <w:i w:val="0"/>
          <w:strike w:val="0"/>
          <w:color w:val="auto"/>
          <w:sz w:val="24"/>
          <w:highlight w:val="none"/>
          <w:u w:val="none"/>
        </w:rPr>
      </w:pPr>
      <w:r>
        <w:rPr>
          <w:rFonts w:hint="eastAsia" w:ascii="宋体" w:hAnsi="宋体" w:eastAsia="宋体" w:cs="宋体"/>
          <w:b w:val="0"/>
          <w:i w:val="0"/>
          <w:strike w:val="0"/>
          <w:color w:val="auto"/>
          <w:sz w:val="24"/>
          <w:szCs w:val="22"/>
          <w:highlight w:val="none"/>
          <w:u w:val="none"/>
          <w:lang w:val="en-US" w:eastAsia="zh-CN"/>
        </w:rPr>
        <w:t>1）</w:t>
      </w:r>
      <w:r>
        <w:rPr>
          <w:rFonts w:hint="eastAsia" w:ascii="宋体" w:hAnsi="宋体" w:eastAsia="宋体" w:cs="宋体"/>
          <w:b w:val="0"/>
          <w:i w:val="0"/>
          <w:strike w:val="0"/>
          <w:color w:val="auto"/>
          <w:sz w:val="24"/>
          <w:szCs w:val="22"/>
          <w:highlight w:val="none"/>
          <w:u w:val="none"/>
        </w:rPr>
        <w:t>营业执照副本复印件（需加盖公章</w:t>
      </w:r>
      <w:r>
        <w:rPr>
          <w:rFonts w:hint="eastAsia" w:ascii="宋体" w:hAnsi="宋体" w:eastAsia="宋体" w:cs="宋体"/>
          <w:b w:val="0"/>
          <w:i w:val="0"/>
          <w:strike w:val="0"/>
          <w:color w:val="auto"/>
          <w:sz w:val="24"/>
          <w:szCs w:val="22"/>
          <w:highlight w:val="none"/>
          <w:u w:val="none"/>
          <w:lang w:eastAsia="zh-CN"/>
        </w:rPr>
        <w:t>，</w:t>
      </w:r>
      <w:r>
        <w:rPr>
          <w:rFonts w:hint="eastAsia" w:ascii="宋体" w:hAnsi="宋体" w:eastAsia="宋体" w:cs="宋体"/>
          <w:b w:val="0"/>
          <w:i w:val="0"/>
          <w:strike w:val="0"/>
          <w:color w:val="auto"/>
          <w:sz w:val="24"/>
          <w:highlight w:val="none"/>
          <w:u w:val="none"/>
        </w:rPr>
        <w:t>按规定需要年检的，年检章要清楚）</w:t>
      </w:r>
      <w:r>
        <w:rPr>
          <w:rFonts w:hint="eastAsia" w:ascii="宋体" w:hAnsi="宋体" w:eastAsia="宋体" w:cs="宋体"/>
          <w:b w:val="0"/>
          <w:i w:val="0"/>
          <w:strike w:val="0"/>
          <w:color w:val="auto"/>
          <w:sz w:val="24"/>
          <w:highlight w:val="none"/>
          <w:u w:val="none"/>
          <w:lang w:eastAsia="zh-CN"/>
        </w:rPr>
        <w:t>。</w:t>
      </w:r>
    </w:p>
    <w:p>
      <w:pPr>
        <w:pStyle w:val="146"/>
        <w:widowControl/>
        <w:spacing w:after="120"/>
        <w:ind w:firstLine="480"/>
        <w:jc w:val="left"/>
        <w:rPr>
          <w:rFonts w:hint="eastAsia" w:ascii="宋体" w:hAnsi="宋体" w:eastAsia="宋体" w:cs="宋体"/>
          <w:b w:val="0"/>
          <w:i w:val="0"/>
          <w:strike w:val="0"/>
          <w:color w:val="auto"/>
          <w:sz w:val="24"/>
          <w:highlight w:val="none"/>
          <w:u w:val="none"/>
          <w:lang w:eastAsia="zh-CN"/>
        </w:rPr>
      </w:pPr>
      <w:r>
        <w:rPr>
          <w:rFonts w:hint="eastAsia" w:ascii="宋体" w:hAnsi="宋体" w:eastAsia="宋体" w:cs="宋体"/>
          <w:b w:val="0"/>
          <w:i w:val="0"/>
          <w:strike w:val="0"/>
          <w:color w:val="auto"/>
          <w:sz w:val="24"/>
          <w:highlight w:val="none"/>
          <w:u w:val="none"/>
          <w:lang w:val="en-US" w:eastAsia="zh-CN"/>
        </w:rPr>
        <w:t>2）</w:t>
      </w:r>
      <w:r>
        <w:rPr>
          <w:rFonts w:hint="eastAsia" w:ascii="宋体" w:hAnsi="宋体" w:eastAsia="宋体" w:cs="宋体"/>
          <w:b w:val="0"/>
          <w:i w:val="0"/>
          <w:strike w:val="0"/>
          <w:color w:val="auto"/>
          <w:sz w:val="24"/>
          <w:highlight w:val="none"/>
          <w:u w:val="none"/>
        </w:rPr>
        <w:t>法定代表人授权委托书（见附件2）</w:t>
      </w:r>
      <w:r>
        <w:rPr>
          <w:rFonts w:hint="eastAsia" w:ascii="宋体" w:hAnsi="宋体" w:eastAsia="宋体" w:cs="宋体"/>
          <w:b w:val="0"/>
          <w:i w:val="0"/>
          <w:strike w:val="0"/>
          <w:color w:val="auto"/>
          <w:sz w:val="24"/>
          <w:highlight w:val="none"/>
          <w:u w:val="none"/>
          <w:lang w:eastAsia="zh-CN"/>
        </w:rPr>
        <w:t>，法定代表人参加投标的，提供法人身份证明文件（</w:t>
      </w:r>
      <w:r>
        <w:rPr>
          <w:rFonts w:hint="eastAsia" w:ascii="宋体" w:hAnsi="宋体" w:eastAsia="宋体" w:cs="宋体"/>
          <w:b w:val="0"/>
          <w:i w:val="0"/>
          <w:strike w:val="0"/>
          <w:color w:val="auto"/>
          <w:sz w:val="24"/>
          <w:highlight w:val="none"/>
          <w:u w:val="none"/>
        </w:rPr>
        <w:t>盖有法人单位公章的复印件，包括正反两面</w:t>
      </w:r>
      <w:r>
        <w:rPr>
          <w:rFonts w:hint="eastAsia" w:ascii="宋体" w:hAnsi="宋体" w:eastAsia="宋体" w:cs="宋体"/>
          <w:b w:val="0"/>
          <w:i w:val="0"/>
          <w:strike w:val="0"/>
          <w:color w:val="auto"/>
          <w:sz w:val="24"/>
          <w:highlight w:val="none"/>
          <w:u w:val="none"/>
          <w:lang w:eastAsia="zh-CN"/>
        </w:rPr>
        <w:t>）；被授权人参加投标的，需提供法定代表人授权委托书（含法人身份证和被授权人身份证正反面复印件，</w:t>
      </w:r>
      <w:r>
        <w:rPr>
          <w:rFonts w:hint="eastAsia" w:ascii="宋体" w:hAnsi="宋体" w:eastAsia="宋体" w:cs="宋体"/>
          <w:b w:val="0"/>
          <w:i w:val="0"/>
          <w:strike w:val="0"/>
          <w:color w:val="auto"/>
          <w:sz w:val="24"/>
          <w:highlight w:val="none"/>
          <w:u w:val="none"/>
        </w:rPr>
        <w:t>盖有法人单位公章</w:t>
      </w:r>
      <w:r>
        <w:rPr>
          <w:rFonts w:hint="eastAsia" w:ascii="宋体" w:hAnsi="宋体" w:eastAsia="宋体" w:cs="宋体"/>
          <w:b w:val="0"/>
          <w:i w:val="0"/>
          <w:strike w:val="0"/>
          <w:color w:val="auto"/>
          <w:sz w:val="24"/>
          <w:highlight w:val="none"/>
          <w:u w:val="none"/>
          <w:lang w:eastAsia="zh-CN"/>
        </w:rPr>
        <w:t>）。</w:t>
      </w:r>
    </w:p>
    <w:p>
      <w:pPr>
        <w:pStyle w:val="146"/>
        <w:widowControl/>
        <w:spacing w:after="120"/>
        <w:jc w:val="left"/>
        <w:rPr>
          <w:rFonts w:hint="eastAsia" w:ascii="宋体" w:hAnsi="宋体" w:eastAsia="宋体" w:cs="宋体"/>
          <w:b w:val="0"/>
          <w:i w:val="0"/>
          <w:strike w:val="0"/>
          <w:color w:val="auto"/>
          <w:sz w:val="24"/>
          <w:highlight w:val="none"/>
          <w:u w:val="none"/>
          <w:lang w:eastAsia="zh-CN"/>
        </w:rPr>
      </w:pPr>
      <w:r>
        <w:rPr>
          <w:rFonts w:hint="eastAsia" w:ascii="宋体" w:hAnsi="宋体" w:eastAsia="宋体" w:cs="宋体"/>
          <w:b w:val="0"/>
          <w:i w:val="0"/>
          <w:strike w:val="0"/>
          <w:color w:val="auto"/>
          <w:sz w:val="24"/>
          <w:szCs w:val="22"/>
          <w:highlight w:val="none"/>
          <w:u w:val="none"/>
          <w:lang w:val="en-US" w:eastAsia="zh-CN"/>
        </w:rPr>
        <w:t>3）</w:t>
      </w:r>
      <w:r>
        <w:rPr>
          <w:rFonts w:hint="eastAsia" w:ascii="宋体" w:hAnsi="宋体" w:eastAsia="宋体" w:cs="宋体"/>
          <w:b w:val="0"/>
          <w:i w:val="0"/>
          <w:strike w:val="0"/>
          <w:color w:val="auto"/>
          <w:sz w:val="24"/>
          <w:highlight w:val="none"/>
          <w:u w:val="none"/>
        </w:rPr>
        <w:t>竞标人资格证明文件（附件3）</w:t>
      </w:r>
      <w:r>
        <w:rPr>
          <w:rFonts w:hint="eastAsia" w:ascii="宋体" w:hAnsi="宋体" w:eastAsia="宋体" w:cs="宋体"/>
          <w:b w:val="0"/>
          <w:i w:val="0"/>
          <w:strike w:val="0"/>
          <w:color w:val="auto"/>
          <w:sz w:val="24"/>
          <w:highlight w:val="none"/>
          <w:u w:val="none"/>
          <w:lang w:eastAsia="zh-CN"/>
        </w:rPr>
        <w:t>。</w:t>
      </w:r>
    </w:p>
    <w:p>
      <w:pPr>
        <w:pStyle w:val="146"/>
        <w:widowControl/>
        <w:spacing w:after="120"/>
        <w:ind w:firstLine="480"/>
        <w:jc w:val="left"/>
        <w:rPr>
          <w:rFonts w:hint="eastAsia" w:ascii="宋体" w:hAnsi="宋体" w:eastAsia="宋体" w:cs="宋体"/>
          <w:b w:val="0"/>
          <w:i w:val="0"/>
          <w:strike w:val="0"/>
          <w:color w:val="auto"/>
          <w:sz w:val="24"/>
          <w:szCs w:val="22"/>
          <w:highlight w:val="none"/>
          <w:u w:val="none"/>
        </w:rPr>
      </w:pPr>
      <w:r>
        <w:rPr>
          <w:rFonts w:hint="eastAsia" w:ascii="宋体" w:hAnsi="宋体" w:eastAsia="宋体" w:cs="宋体"/>
          <w:b w:val="0"/>
          <w:i w:val="0"/>
          <w:strike w:val="0"/>
          <w:color w:val="auto"/>
          <w:sz w:val="24"/>
          <w:szCs w:val="22"/>
          <w:highlight w:val="none"/>
          <w:u w:val="none"/>
          <w:lang w:val="en-US" w:eastAsia="zh-CN"/>
        </w:rPr>
        <w:t>4）</w:t>
      </w:r>
      <w:r>
        <w:rPr>
          <w:rFonts w:hint="eastAsia" w:ascii="宋体" w:hAnsi="宋体" w:eastAsia="宋体" w:cs="宋体"/>
          <w:b w:val="0"/>
          <w:i w:val="0"/>
          <w:strike w:val="0"/>
          <w:color w:val="auto"/>
          <w:sz w:val="24"/>
          <w:szCs w:val="22"/>
          <w:highlight w:val="none"/>
          <w:u w:val="none"/>
        </w:rPr>
        <w:t>近半年的完税证明</w:t>
      </w:r>
      <w:r>
        <w:rPr>
          <w:rFonts w:hint="eastAsia" w:ascii="宋体" w:hAnsi="宋体" w:eastAsia="宋体" w:cs="宋体"/>
          <w:b w:val="0"/>
          <w:i w:val="0"/>
          <w:strike w:val="0"/>
          <w:color w:val="auto"/>
          <w:sz w:val="24"/>
          <w:szCs w:val="22"/>
          <w:highlight w:val="none"/>
          <w:u w:val="none"/>
          <w:lang w:eastAsia="zh-CN"/>
        </w:rPr>
        <w:t>，</w:t>
      </w:r>
      <w:r>
        <w:rPr>
          <w:rFonts w:hint="eastAsia" w:ascii="宋体" w:hAnsi="宋体" w:eastAsia="宋体" w:cs="宋体"/>
          <w:b w:val="0"/>
          <w:i w:val="0"/>
          <w:strike w:val="0"/>
          <w:color w:val="auto"/>
          <w:sz w:val="24"/>
          <w:szCs w:val="22"/>
          <w:highlight w:val="none"/>
          <w:u w:val="none"/>
          <w:lang w:val="en-US" w:eastAsia="zh-CN"/>
        </w:rPr>
        <w:t>并附</w:t>
      </w:r>
      <w:r>
        <w:rPr>
          <w:rFonts w:hint="eastAsia" w:ascii="宋体" w:hAnsi="宋体" w:eastAsia="宋体" w:cs="宋体"/>
          <w:b w:val="0"/>
          <w:i w:val="0"/>
          <w:strike w:val="0"/>
          <w:color w:val="auto"/>
          <w:sz w:val="24"/>
          <w:szCs w:val="22"/>
          <w:highlight w:val="none"/>
          <w:u w:val="none"/>
        </w:rPr>
        <w:t>年度纳税信用评价信息（可从电子税务局查询截图，需加盖公章）</w:t>
      </w:r>
      <w:r>
        <w:rPr>
          <w:rFonts w:hint="eastAsia" w:ascii="宋体" w:hAnsi="宋体" w:eastAsia="宋体" w:cs="宋体"/>
          <w:b w:val="0"/>
          <w:i w:val="0"/>
          <w:strike w:val="0"/>
          <w:color w:val="auto"/>
          <w:sz w:val="24"/>
          <w:szCs w:val="22"/>
          <w:highlight w:val="none"/>
          <w:u w:val="none"/>
          <w:lang w:eastAsia="zh-CN"/>
        </w:rPr>
        <w:t>。</w:t>
      </w:r>
    </w:p>
    <w:p>
      <w:pPr>
        <w:pStyle w:val="146"/>
        <w:widowControl/>
        <w:numPr>
          <w:ilvl w:val="-1"/>
          <w:numId w:val="0"/>
        </w:numPr>
        <w:spacing w:after="120"/>
        <w:ind w:firstLine="480" w:firstLineChars="200"/>
        <w:jc w:val="left"/>
        <w:rPr>
          <w:rFonts w:hint="eastAsia" w:ascii="宋体" w:hAnsi="宋体" w:eastAsia="宋体" w:cs="宋体"/>
          <w:b w:val="0"/>
          <w:i w:val="0"/>
          <w:strike w:val="0"/>
          <w:color w:val="auto"/>
          <w:sz w:val="24"/>
          <w:szCs w:val="22"/>
          <w:highlight w:val="none"/>
          <w:u w:val="none"/>
          <w:lang w:eastAsia="zh-CN"/>
        </w:rPr>
      </w:pPr>
      <w:r>
        <w:rPr>
          <w:rFonts w:hint="eastAsia" w:ascii="宋体" w:hAnsi="宋体" w:eastAsia="宋体" w:cs="宋体"/>
          <w:b w:val="0"/>
          <w:i w:val="0"/>
          <w:strike w:val="0"/>
          <w:color w:val="auto"/>
          <w:sz w:val="24"/>
          <w:szCs w:val="22"/>
          <w:highlight w:val="none"/>
          <w:u w:val="none"/>
          <w:lang w:val="en-US" w:eastAsia="zh-CN"/>
        </w:rPr>
        <w:t>5）</w:t>
      </w:r>
      <w:r>
        <w:rPr>
          <w:rFonts w:hint="eastAsia" w:ascii="宋体" w:hAnsi="宋体" w:eastAsia="宋体" w:cs="宋体"/>
          <w:b w:val="0"/>
          <w:i w:val="0"/>
          <w:strike w:val="0"/>
          <w:color w:val="auto"/>
          <w:sz w:val="24"/>
          <w:szCs w:val="22"/>
          <w:highlight w:val="none"/>
          <w:u w:val="none"/>
        </w:rPr>
        <w:t>近</w:t>
      </w:r>
      <w:r>
        <w:rPr>
          <w:rFonts w:hint="eastAsia" w:ascii="宋体" w:hAnsi="宋体" w:eastAsia="宋体" w:cs="宋体"/>
          <w:b w:val="0"/>
          <w:i w:val="0"/>
          <w:strike w:val="0"/>
          <w:color w:val="auto"/>
          <w:sz w:val="24"/>
          <w:szCs w:val="22"/>
          <w:highlight w:val="none"/>
          <w:u w:val="none"/>
          <w:lang w:val="en-US" w:eastAsia="zh-CN"/>
        </w:rPr>
        <w:t>三年经第三方机构审计的</w:t>
      </w:r>
      <w:r>
        <w:rPr>
          <w:rFonts w:hint="eastAsia" w:ascii="宋体" w:hAnsi="宋体" w:eastAsia="宋体" w:cs="宋体"/>
          <w:b w:val="0"/>
          <w:i w:val="0"/>
          <w:strike w:val="0"/>
          <w:color w:val="auto"/>
          <w:sz w:val="24"/>
          <w:szCs w:val="22"/>
          <w:highlight w:val="none"/>
          <w:u w:val="none"/>
        </w:rPr>
        <w:t>财务报表（</w:t>
      </w:r>
      <w:r>
        <w:rPr>
          <w:rFonts w:hint="eastAsia" w:ascii="宋体" w:hAnsi="宋体" w:eastAsia="宋体" w:cs="宋体"/>
          <w:b w:val="0"/>
          <w:i w:val="0"/>
          <w:strike w:val="0"/>
          <w:color w:val="auto"/>
          <w:sz w:val="24"/>
          <w:szCs w:val="22"/>
          <w:highlight w:val="none"/>
          <w:u w:val="none"/>
          <w:lang w:val="en-US" w:eastAsia="zh-CN"/>
        </w:rPr>
        <w:t>报告页、</w:t>
      </w:r>
      <w:r>
        <w:rPr>
          <w:rFonts w:hint="eastAsia" w:ascii="宋体" w:hAnsi="宋体" w:eastAsia="宋体" w:cs="宋体"/>
          <w:b w:val="0"/>
          <w:i w:val="0"/>
          <w:strike w:val="0"/>
          <w:color w:val="auto"/>
          <w:sz w:val="24"/>
          <w:szCs w:val="22"/>
          <w:highlight w:val="none"/>
          <w:u w:val="none"/>
        </w:rPr>
        <w:t>资产负债表、损益表、现金流量表）复印件（需加盖公章）</w:t>
      </w:r>
      <w:r>
        <w:rPr>
          <w:rFonts w:hint="eastAsia" w:ascii="宋体" w:hAnsi="宋体" w:eastAsia="宋体" w:cs="宋体"/>
          <w:b w:val="0"/>
          <w:i w:val="0"/>
          <w:strike w:val="0"/>
          <w:color w:val="auto"/>
          <w:sz w:val="24"/>
          <w:szCs w:val="22"/>
          <w:highlight w:val="none"/>
          <w:u w:val="none"/>
          <w:lang w:eastAsia="zh-CN"/>
        </w:rPr>
        <w:t>。</w:t>
      </w:r>
    </w:p>
    <w:p>
      <w:pPr>
        <w:pStyle w:val="146"/>
        <w:widowControl/>
        <w:numPr>
          <w:ilvl w:val="-1"/>
          <w:numId w:val="0"/>
        </w:numPr>
        <w:spacing w:after="120"/>
        <w:ind w:firstLine="480" w:firstLineChars="20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szCs w:val="22"/>
          <w:highlight w:val="none"/>
          <w:u w:val="none"/>
          <w:lang w:val="en-US" w:eastAsia="zh-CN"/>
        </w:rPr>
        <w:t>6）</w:t>
      </w:r>
      <w:r>
        <w:rPr>
          <w:rFonts w:hint="eastAsia" w:ascii="宋体" w:hAnsi="宋体" w:eastAsia="宋体" w:cs="宋体"/>
          <w:b w:val="0"/>
          <w:i w:val="0"/>
          <w:strike w:val="0"/>
          <w:color w:val="auto"/>
          <w:sz w:val="24"/>
          <w:highlight w:val="none"/>
          <w:u w:val="none"/>
        </w:rPr>
        <w:t>在“国家企业信用信息公示系统”或“信用中国”等信息平台中，无行政处罚及失信记录等信息</w:t>
      </w:r>
      <w:r>
        <w:rPr>
          <w:rFonts w:hint="eastAsia" w:ascii="宋体" w:hAnsi="宋体" w:eastAsia="宋体" w:cs="宋体"/>
          <w:b w:val="0"/>
          <w:i w:val="0"/>
          <w:strike w:val="0"/>
          <w:color w:val="auto"/>
          <w:sz w:val="24"/>
          <w:highlight w:val="none"/>
          <w:u w:val="none"/>
          <w:lang w:val="en-US" w:eastAsia="zh-CN"/>
        </w:rPr>
        <w:t>截图（加盖公章）。</w:t>
      </w:r>
    </w:p>
    <w:p>
      <w:pPr>
        <w:pStyle w:val="146"/>
        <w:spacing w:after="120"/>
        <w:ind w:firstLine="480"/>
        <w:jc w:val="left"/>
        <w:rPr>
          <w:rFonts w:hint="eastAsia" w:ascii="宋体" w:hAnsi="宋体" w:eastAsia="宋体" w:cs="宋体"/>
          <w:b w:val="0"/>
          <w:i w:val="0"/>
          <w:strike w:val="0"/>
          <w:color w:val="auto"/>
          <w:sz w:val="24"/>
          <w:highlight w:val="none"/>
          <w:u w:val="none"/>
          <w:lang w:eastAsia="zh-CN"/>
        </w:rPr>
      </w:pPr>
      <w:r>
        <w:rPr>
          <w:rFonts w:hint="eastAsia" w:ascii="宋体" w:hAnsi="宋体" w:eastAsia="宋体" w:cs="宋体"/>
          <w:b w:val="0"/>
          <w:i w:val="0"/>
          <w:strike w:val="0"/>
          <w:color w:val="auto"/>
          <w:sz w:val="24"/>
          <w:szCs w:val="22"/>
          <w:highlight w:val="none"/>
          <w:u w:val="none"/>
          <w:lang w:val="en-US" w:eastAsia="zh-CN"/>
        </w:rPr>
        <w:t>7）</w:t>
      </w:r>
      <w:r>
        <w:rPr>
          <w:rFonts w:hint="eastAsia" w:ascii="宋体" w:hAnsi="宋体" w:eastAsia="宋体" w:cs="宋体"/>
          <w:b w:val="0"/>
          <w:i w:val="0"/>
          <w:strike w:val="0"/>
          <w:color w:val="auto"/>
          <w:sz w:val="24"/>
          <w:highlight w:val="none"/>
          <w:u w:val="none"/>
        </w:rPr>
        <w:t>企业对外担保证明</w:t>
      </w:r>
      <w:r>
        <w:rPr>
          <w:rFonts w:hint="eastAsia" w:ascii="宋体" w:hAnsi="宋体" w:eastAsia="宋体" w:cs="宋体"/>
          <w:b w:val="0"/>
          <w:i w:val="0"/>
          <w:strike w:val="0"/>
          <w:color w:val="auto"/>
          <w:sz w:val="24"/>
          <w:highlight w:val="none"/>
          <w:u w:val="none"/>
          <w:lang w:eastAsia="zh-CN"/>
        </w:rPr>
        <w:t>（</w:t>
      </w:r>
      <w:r>
        <w:rPr>
          <w:rFonts w:hint="eastAsia" w:ascii="宋体" w:hAnsi="宋体" w:eastAsia="宋体" w:cs="宋体"/>
          <w:b w:val="0"/>
          <w:i w:val="0"/>
          <w:strike w:val="0"/>
          <w:color w:val="auto"/>
          <w:sz w:val="24"/>
          <w:highlight w:val="none"/>
          <w:u w:val="none"/>
          <w:lang w:val="en-US" w:eastAsia="zh-CN"/>
        </w:rPr>
        <w:t>须加盖公章</w:t>
      </w:r>
      <w:r>
        <w:rPr>
          <w:rFonts w:hint="eastAsia" w:ascii="宋体" w:hAnsi="宋体" w:eastAsia="宋体" w:cs="宋体"/>
          <w:b w:val="0"/>
          <w:i w:val="0"/>
          <w:strike w:val="0"/>
          <w:color w:val="auto"/>
          <w:sz w:val="24"/>
          <w:highlight w:val="none"/>
          <w:u w:val="none"/>
          <w:lang w:eastAsia="zh-CN"/>
        </w:rPr>
        <w:t>）。</w:t>
      </w:r>
    </w:p>
    <w:p>
      <w:pPr>
        <w:pStyle w:val="146"/>
        <w:widowControl/>
        <w:numPr>
          <w:ilvl w:val="0"/>
          <w:numId w:val="0"/>
        </w:numPr>
        <w:spacing w:line="240" w:lineRule="auto"/>
        <w:ind w:left="480" w:leftChars="0"/>
        <w:jc w:val="left"/>
        <w:outlineLvl w:val="1"/>
        <w:rPr>
          <w:rFonts w:hint="eastAsia" w:ascii="宋体" w:hAnsi="宋体" w:eastAsia="宋体" w:cs="宋体"/>
          <w:b/>
          <w:bCs/>
          <w:i w:val="0"/>
          <w:strike w:val="0"/>
          <w:color w:val="auto"/>
          <w:sz w:val="28"/>
          <w:highlight w:val="none"/>
          <w:u w:val="none"/>
          <w:lang w:val="en-US" w:eastAsia="zh-CN"/>
        </w:rPr>
      </w:pPr>
      <w:r>
        <w:rPr>
          <w:rFonts w:hint="eastAsia" w:ascii="宋体" w:hAnsi="宋体" w:eastAsia="宋体" w:cs="宋体"/>
          <w:b/>
          <w:bCs/>
          <w:i w:val="0"/>
          <w:strike w:val="0"/>
          <w:color w:val="auto"/>
          <w:sz w:val="28"/>
          <w:highlight w:val="none"/>
          <w:u w:val="none"/>
          <w:lang w:val="en-US" w:eastAsia="zh-CN"/>
        </w:rPr>
        <w:t>二、商务标（独立封装在一个档案袋，一式三份，其中正本一份，副本两份）：</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1）投标函（见附件1）。</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2）开标一览表（见附件4）。</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3）开标一览表中所有报价均采用人民币报价，其金额应包括：项目实施费、税费等一切费用。</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4）商务条款偏离表（见附件5）。</w:t>
      </w:r>
    </w:p>
    <w:p>
      <w:pPr>
        <w:pStyle w:val="146"/>
        <w:spacing w:after="120"/>
        <w:ind w:firstLine="480"/>
        <w:jc w:val="left"/>
        <w:rPr>
          <w:rFonts w:hint="default"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5）技术规格、参数偏离表（见附件6）</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6）服务承诺及优惠条件。</w:t>
      </w:r>
    </w:p>
    <w:p>
      <w:pPr>
        <w:pStyle w:val="146"/>
        <w:spacing w:after="120"/>
        <w:ind w:firstLine="480"/>
        <w:jc w:val="left"/>
        <w:rPr>
          <w:rFonts w:hint="eastAsia" w:ascii="宋体" w:hAnsi="宋体" w:eastAsia="宋体" w:cs="宋体"/>
          <w:b w:val="0"/>
          <w:i w:val="0"/>
          <w:strike w:val="0"/>
          <w:color w:val="auto"/>
          <w:sz w:val="24"/>
          <w:highlight w:val="none"/>
          <w:u w:val="none"/>
          <w:lang w:val="en-US" w:eastAsia="zh-CN"/>
        </w:rPr>
      </w:pPr>
      <w:r>
        <w:rPr>
          <w:rFonts w:hint="eastAsia" w:ascii="宋体" w:hAnsi="宋体" w:eastAsia="宋体" w:cs="宋体"/>
          <w:b w:val="0"/>
          <w:i w:val="0"/>
          <w:strike w:val="0"/>
          <w:color w:val="auto"/>
          <w:sz w:val="24"/>
          <w:highlight w:val="none"/>
          <w:u w:val="none"/>
          <w:lang w:val="en-US" w:eastAsia="zh-CN"/>
        </w:rPr>
        <w:t>7）其他需要说明的事项。</w:t>
      </w:r>
    </w:p>
    <w:p>
      <w:pPr>
        <w:pStyle w:val="146"/>
        <w:widowControl/>
        <w:numPr>
          <w:ilvl w:val="0"/>
          <w:numId w:val="0"/>
        </w:numPr>
        <w:spacing w:line="240" w:lineRule="auto"/>
        <w:ind w:left="480" w:leftChars="0"/>
        <w:jc w:val="left"/>
        <w:outlineLvl w:val="1"/>
        <w:rPr>
          <w:rFonts w:hint="eastAsia" w:ascii="宋体" w:hAnsi="宋体" w:eastAsia="宋体" w:cs="宋体"/>
          <w:b/>
          <w:bCs/>
          <w:i w:val="0"/>
          <w:strike w:val="0"/>
          <w:color w:val="auto"/>
          <w:sz w:val="28"/>
          <w:highlight w:val="none"/>
          <w:u w:val="none"/>
          <w:lang w:val="en-US" w:eastAsia="zh-CN"/>
        </w:rPr>
      </w:pPr>
      <w:bookmarkStart w:id="22" w:name="_Toc683"/>
      <w:bookmarkStart w:id="23" w:name="_Toc95148185"/>
      <w:bookmarkStart w:id="24" w:name="_Toc109031558"/>
      <w:bookmarkStart w:id="25" w:name="_Toc4403"/>
      <w:bookmarkStart w:id="26" w:name="_Toc23072"/>
      <w:bookmarkStart w:id="27" w:name="_Toc74143844"/>
      <w:r>
        <w:rPr>
          <w:rFonts w:hint="eastAsia" w:ascii="宋体" w:hAnsi="宋体" w:eastAsia="宋体" w:cs="宋体"/>
          <w:b/>
          <w:bCs/>
          <w:i w:val="0"/>
          <w:strike w:val="0"/>
          <w:color w:val="auto"/>
          <w:sz w:val="28"/>
          <w:highlight w:val="none"/>
          <w:u w:val="none"/>
          <w:lang w:val="en-US" w:eastAsia="zh-CN"/>
        </w:rPr>
        <w:t>三、</w:t>
      </w:r>
      <w:r>
        <w:rPr>
          <w:rFonts w:hint="default" w:ascii="宋体" w:hAnsi="宋体" w:eastAsia="宋体" w:cs="宋体"/>
          <w:b/>
          <w:bCs/>
          <w:i w:val="0"/>
          <w:strike w:val="0"/>
          <w:color w:val="auto"/>
          <w:sz w:val="28"/>
          <w:highlight w:val="none"/>
          <w:u w:val="none"/>
          <w:lang w:val="en-US" w:eastAsia="zh-CN"/>
        </w:rPr>
        <w:t>投标文件格式</w:t>
      </w:r>
      <w:bookmarkEnd w:id="22"/>
      <w:bookmarkEnd w:id="23"/>
      <w:bookmarkEnd w:id="24"/>
      <w:bookmarkEnd w:id="25"/>
      <w:bookmarkEnd w:id="26"/>
      <w:bookmarkEnd w:id="27"/>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1）投标文件语言应采用中文。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2）投标文件字体书写必须工整清楚，易于辨认，文义明白准确。投标文件不得涂改和增删。如因字迹潦草或表达不清所引起的后果由投标人负责。</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3）投标文件必须用不褪色的墨水填写或打印。</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4）投标文件必须由法人代表或授权代表签署，投标人应填写全称，并加盖公章（含骑缝章）。</w:t>
      </w:r>
    </w:p>
    <w:p>
      <w:pPr>
        <w:pStyle w:val="146"/>
        <w:widowControl/>
        <w:numPr>
          <w:ilvl w:val="0"/>
          <w:numId w:val="0"/>
        </w:numPr>
        <w:spacing w:line="240" w:lineRule="auto"/>
        <w:ind w:left="480" w:leftChars="0"/>
        <w:jc w:val="left"/>
        <w:outlineLvl w:val="1"/>
        <w:rPr>
          <w:rFonts w:hint="eastAsia" w:ascii="宋体" w:hAnsi="宋体" w:eastAsia="宋体" w:cs="宋体"/>
          <w:b/>
          <w:bCs/>
          <w:i w:val="0"/>
          <w:strike w:val="0"/>
          <w:color w:val="auto"/>
          <w:sz w:val="28"/>
          <w:highlight w:val="none"/>
          <w:u w:val="none"/>
          <w:lang w:val="en-US" w:eastAsia="zh-CN"/>
        </w:rPr>
      </w:pPr>
      <w:bookmarkStart w:id="28" w:name="_Toc74143845"/>
      <w:bookmarkStart w:id="29" w:name="_Toc95148186"/>
      <w:bookmarkStart w:id="30" w:name="_Toc234922354"/>
      <w:bookmarkStart w:id="31" w:name="_Toc264881859"/>
      <w:bookmarkStart w:id="32" w:name="_Toc29346"/>
      <w:bookmarkStart w:id="33" w:name="_Toc265850579"/>
      <w:bookmarkStart w:id="34" w:name="_Toc109031559"/>
      <w:bookmarkStart w:id="35" w:name="_Toc1055"/>
      <w:bookmarkStart w:id="36" w:name="_Toc9620"/>
      <w:r>
        <w:rPr>
          <w:rFonts w:hint="eastAsia" w:ascii="宋体" w:hAnsi="宋体" w:eastAsia="宋体" w:cs="宋体"/>
          <w:b/>
          <w:bCs/>
          <w:i w:val="0"/>
          <w:strike w:val="0"/>
          <w:color w:val="auto"/>
          <w:sz w:val="28"/>
          <w:highlight w:val="none"/>
          <w:u w:val="none"/>
          <w:lang w:val="en-US" w:eastAsia="zh-CN"/>
        </w:rPr>
        <w:t>四、</w:t>
      </w:r>
      <w:r>
        <w:rPr>
          <w:rFonts w:hint="default" w:ascii="宋体" w:hAnsi="宋体" w:eastAsia="宋体" w:cs="宋体"/>
          <w:b/>
          <w:bCs/>
          <w:i w:val="0"/>
          <w:strike w:val="0"/>
          <w:color w:val="auto"/>
          <w:sz w:val="28"/>
          <w:highlight w:val="none"/>
          <w:u w:val="none"/>
          <w:lang w:val="en-US" w:eastAsia="zh-CN"/>
        </w:rPr>
        <w:t>投标文件的装袋、密封和递交</w:t>
      </w:r>
      <w:bookmarkEnd w:id="28"/>
      <w:bookmarkEnd w:id="29"/>
      <w:bookmarkEnd w:id="30"/>
      <w:bookmarkEnd w:id="31"/>
      <w:bookmarkEnd w:id="32"/>
      <w:bookmarkEnd w:id="33"/>
      <w:bookmarkEnd w:id="34"/>
      <w:bookmarkEnd w:id="35"/>
      <w:bookmarkEnd w:id="36"/>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1）投标文件在封页正面右上角标明“正本”“副本”字样，保证正本与副本的内容一致。如果正本与副本内容不一致以正本为准。提交电子版标书一份。</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2）正面封皮应标明投标人单位名称、地址，并在单位名称处加盖公章。</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3）投标书正本内封和投标书副本内封封口处应有投标全权代表的签字或投标单位公章，并注明“开标时启封”字样。</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4）开标一览表内封封口处应加盖投标单位公章。</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5）投标文件由投标人在开标日前邮寄到发标方或由投标人自行带到开标现场，在开标时当场交予招标负责人。</w:t>
      </w:r>
    </w:p>
    <w:p>
      <w:pPr>
        <w:pStyle w:val="146"/>
        <w:widowControl/>
        <w:numPr>
          <w:ilvl w:val="0"/>
          <w:numId w:val="0"/>
        </w:numPr>
        <w:spacing w:line="240" w:lineRule="auto"/>
        <w:ind w:left="480" w:leftChars="0"/>
        <w:jc w:val="left"/>
        <w:outlineLvl w:val="1"/>
        <w:rPr>
          <w:rFonts w:hint="eastAsia" w:ascii="宋体" w:hAnsi="宋体" w:eastAsia="宋体" w:cs="宋体"/>
          <w:b/>
          <w:bCs/>
          <w:i w:val="0"/>
          <w:strike w:val="0"/>
          <w:color w:val="auto"/>
          <w:sz w:val="28"/>
          <w:highlight w:val="none"/>
          <w:u w:val="none"/>
          <w:lang w:val="en-US" w:eastAsia="zh-CN"/>
        </w:rPr>
      </w:pPr>
      <w:bookmarkStart w:id="37" w:name="_Toc6100"/>
      <w:bookmarkStart w:id="38" w:name="_Toc15157"/>
      <w:bookmarkStart w:id="39" w:name="_Toc74143846"/>
      <w:bookmarkStart w:id="40" w:name="_Toc32099"/>
      <w:bookmarkStart w:id="41" w:name="_Toc95148187"/>
      <w:bookmarkStart w:id="42" w:name="_Toc109031560"/>
      <w:r>
        <w:rPr>
          <w:rFonts w:hint="eastAsia" w:ascii="宋体" w:hAnsi="宋体" w:eastAsia="宋体" w:cs="宋体"/>
          <w:b/>
          <w:bCs/>
          <w:i w:val="0"/>
          <w:strike w:val="0"/>
          <w:color w:val="auto"/>
          <w:sz w:val="28"/>
          <w:highlight w:val="none"/>
          <w:u w:val="none"/>
          <w:lang w:val="en-US" w:eastAsia="zh-CN"/>
        </w:rPr>
        <w:t>五、投标文件的澄清</w:t>
      </w:r>
      <w:bookmarkEnd w:id="37"/>
      <w:bookmarkEnd w:id="38"/>
      <w:bookmarkEnd w:id="39"/>
      <w:bookmarkEnd w:id="40"/>
      <w:bookmarkEnd w:id="41"/>
      <w:bookmarkEnd w:id="42"/>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1）为有助于投标文件进行审查、综合评定，招标人有权向投标人提出疑问，请其澄清投标内容。</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2）重要的澄清答复应是书面的，并作为投标文件的一部分，但不得对投标内容作实质性修改。</w:t>
      </w:r>
    </w:p>
    <w:p>
      <w:pPr>
        <w:pStyle w:val="146"/>
        <w:widowControl/>
        <w:numPr>
          <w:ilvl w:val="0"/>
          <w:numId w:val="0"/>
        </w:numPr>
        <w:spacing w:line="240" w:lineRule="auto"/>
        <w:ind w:left="480" w:leftChars="0"/>
        <w:jc w:val="left"/>
        <w:outlineLvl w:val="1"/>
        <w:rPr>
          <w:rFonts w:hint="eastAsia" w:ascii="宋体" w:hAnsi="宋体" w:eastAsia="宋体" w:cs="宋体"/>
          <w:b/>
          <w:bCs/>
          <w:i w:val="0"/>
          <w:strike w:val="0"/>
          <w:color w:val="auto"/>
          <w:sz w:val="28"/>
          <w:highlight w:val="none"/>
          <w:u w:val="none"/>
          <w:lang w:val="en-US" w:eastAsia="zh-CN"/>
        </w:rPr>
      </w:pPr>
      <w:bookmarkStart w:id="43" w:name="_Toc109031561"/>
      <w:bookmarkStart w:id="44" w:name="_Toc74143847"/>
      <w:bookmarkStart w:id="45" w:name="_Toc95148188"/>
      <w:bookmarkStart w:id="46" w:name="_Toc22116"/>
      <w:bookmarkStart w:id="47" w:name="_Toc6262"/>
      <w:bookmarkStart w:id="48" w:name="_Toc17239"/>
      <w:r>
        <w:rPr>
          <w:rFonts w:hint="eastAsia" w:ascii="宋体" w:hAnsi="宋体" w:eastAsia="宋体" w:cs="宋体"/>
          <w:b/>
          <w:bCs/>
          <w:i w:val="0"/>
          <w:strike w:val="0"/>
          <w:color w:val="auto"/>
          <w:sz w:val="28"/>
          <w:highlight w:val="none"/>
          <w:u w:val="none"/>
          <w:lang w:val="en-US" w:eastAsia="zh-CN"/>
        </w:rPr>
        <w:t>六、开标</w:t>
      </w:r>
      <w:bookmarkEnd w:id="43"/>
      <w:bookmarkEnd w:id="44"/>
      <w:bookmarkEnd w:id="45"/>
      <w:bookmarkEnd w:id="46"/>
      <w:bookmarkEnd w:id="47"/>
      <w:bookmarkEnd w:id="48"/>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1）招标人按招标文件规定的时间、地点主持开标。开标仪式由招标人主持。</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2）投标人派代表参加开标仪式。若需讲标，则由投标人指定的讲标人负责讲标。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3）开标时查验投标文件密封情况，确认无误后拆封唱标。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4）招标人在开标仪式上，将公布投标人的名称、投标产品或服务、投标项目、投标价格及其投标的修改、投标的撤回及其有关声明等，招标人将做唱标记录。</w:t>
      </w:r>
    </w:p>
    <w:p>
      <w:pPr>
        <w:pStyle w:val="146"/>
        <w:widowControl/>
        <w:numPr>
          <w:ilvl w:val="0"/>
          <w:numId w:val="0"/>
        </w:numPr>
        <w:spacing w:line="240" w:lineRule="auto"/>
        <w:ind w:left="480" w:leftChars="0"/>
        <w:jc w:val="left"/>
        <w:outlineLvl w:val="1"/>
        <w:rPr>
          <w:rFonts w:hint="default" w:ascii="宋体" w:hAnsi="宋体" w:eastAsia="宋体" w:cs="宋体"/>
          <w:b/>
          <w:bCs/>
          <w:i w:val="0"/>
          <w:strike w:val="0"/>
          <w:color w:val="auto"/>
          <w:sz w:val="28"/>
          <w:highlight w:val="none"/>
          <w:u w:val="none"/>
          <w:lang w:val="en-US" w:eastAsia="zh-CN"/>
        </w:rPr>
      </w:pPr>
      <w:r>
        <w:rPr>
          <w:rFonts w:hint="eastAsia" w:ascii="宋体" w:hAnsi="宋体" w:eastAsia="宋体" w:cs="宋体"/>
          <w:b/>
          <w:bCs/>
          <w:i w:val="0"/>
          <w:strike w:val="0"/>
          <w:color w:val="auto"/>
          <w:sz w:val="28"/>
          <w:highlight w:val="none"/>
          <w:u w:val="none"/>
          <w:lang w:val="en-US" w:eastAsia="zh-CN"/>
        </w:rPr>
        <w:t>七、讲标及评标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为保证项目顺利实施，由招标人组织、按国家法律法规及公司相关规章制度要求，设立评标工作小组，投标人讲标时长为30分钟，答疑时长为10分钟。采用综合评定法，本着公平、公正、公开的原则，在最大限度地满足招标文件实质性要求的前提下，对招标文件中规定的各项因素进行综合评审，确定中标候选供应商或者中标供应商（合理最低价中标）。</w:t>
      </w:r>
      <w:bookmarkStart w:id="49" w:name="OLE_LINK4"/>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1、本次招标的开标、评标由招标人依法组织实施，本次招标需讲解技术文件，不进行技术评标，仅进行商务标评标。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2、本项目开标时间和地点见“招标内容及形式”。开标会议由招标人组织并主持。招标人邀请各投标人派员参加开标会议。投标人未参加开标的，视同认可开标结果。</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3、开标程序</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1）宣布开标会议开始。</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2）介绍与会人员。</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3）核验投标人资格证件。</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4）投标人或投标人推选的代表对投标文件密封情况进行检查（投标人未参加开标会议的，视同认可投标文件密封完好）。</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5）经确认无误后，由工作人员当众拆封，先拆启技术文件，开标一览表及商务标书暂时不拆启，由招标人指定专人保管。由评标专家组对所有投标方的技术方案进行综合评定。</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6）技术文件讲解结束后，当众拆启商务标开标一览表，宣读投标人名称、投标价格和投标文件的其他主要内容，投标人授权代表现场确认无误后进行商务标的评标，同投标方进行多轮商务谈判，根据商务标最低价中标，形成专家意见汇总，推荐性价比最优的投标方。</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7）招标人有权根据项目情况及评标模式，最终确定投标人排序。</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8）投标前请各投标方按照招标文件要求对项目方案进行充分准备，投标单位已默认认可上述开标、评标过程，无异议。招标人无义务对未入围投标方及未中标方做任何解释。</w:t>
      </w:r>
    </w:p>
    <w:p>
      <w:pPr>
        <w:pStyle w:val="146"/>
        <w:widowControl/>
        <w:numPr>
          <w:ilvl w:val="0"/>
          <w:numId w:val="0"/>
        </w:numPr>
        <w:spacing w:line="240" w:lineRule="auto"/>
        <w:ind w:left="480" w:leftChars="0"/>
        <w:jc w:val="left"/>
        <w:rPr>
          <w:rFonts w:hint="eastAsia" w:ascii="宋体" w:hAnsi="宋体" w:eastAsia="宋体" w:cs="宋体"/>
          <w:b/>
          <w:bCs/>
          <w:i w:val="0"/>
          <w:strike w:val="0"/>
          <w:color w:val="auto"/>
          <w:sz w:val="28"/>
          <w:highlight w:val="none"/>
          <w:u w:val="none"/>
          <w:lang w:val="en-US" w:eastAsia="zh-CN"/>
        </w:rPr>
      </w:pPr>
      <w:r>
        <w:rPr>
          <w:rFonts w:hint="eastAsia" w:ascii="宋体" w:hAnsi="宋体" w:eastAsia="宋体" w:cs="宋体"/>
          <w:b/>
          <w:bCs/>
          <w:i w:val="0"/>
          <w:strike w:val="0"/>
          <w:color w:val="auto"/>
          <w:sz w:val="28"/>
          <w:highlight w:val="none"/>
          <w:u w:val="none"/>
          <w:lang w:val="en-US" w:eastAsia="zh-CN"/>
        </w:rPr>
        <w:t>八、</w:t>
      </w:r>
      <w:r>
        <w:rPr>
          <w:rFonts w:hint="default" w:ascii="宋体" w:hAnsi="宋体" w:eastAsia="宋体" w:cs="宋体"/>
          <w:b/>
          <w:bCs/>
          <w:i w:val="0"/>
          <w:strike w:val="0"/>
          <w:color w:val="auto"/>
          <w:sz w:val="28"/>
          <w:highlight w:val="none"/>
          <w:u w:val="none"/>
          <w:lang w:val="en-US" w:eastAsia="zh-CN"/>
        </w:rPr>
        <w:t>中标及合同签订</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w:t>
      </w:r>
      <w:r>
        <w:rPr>
          <w:rFonts w:hint="default" w:ascii="宋体" w:hAnsi="宋体" w:eastAsia="宋体" w:cs="宋体"/>
          <w:b w:val="0"/>
          <w:i w:val="0"/>
          <w:strike w:val="0"/>
          <w:color w:val="auto"/>
          <w:kern w:val="2"/>
          <w:sz w:val="24"/>
          <w:szCs w:val="22"/>
          <w:highlight w:val="none"/>
          <w:u w:val="none"/>
          <w:lang w:val="en-US" w:eastAsia="zh-CN" w:bidi="ar-SA"/>
        </w:rPr>
        <w:t>招标人根据谈判结果确定中标人，并通知中标人；招标人不承诺将合同授予报价最低的投标人。</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w:t>
      </w:r>
      <w:r>
        <w:rPr>
          <w:rFonts w:hint="default" w:ascii="宋体" w:hAnsi="宋体" w:eastAsia="宋体" w:cs="宋体"/>
          <w:b w:val="0"/>
          <w:i w:val="0"/>
          <w:strike w:val="0"/>
          <w:color w:val="auto"/>
          <w:kern w:val="2"/>
          <w:sz w:val="24"/>
          <w:szCs w:val="22"/>
          <w:highlight w:val="none"/>
          <w:u w:val="none"/>
          <w:lang w:val="en-US" w:eastAsia="zh-CN" w:bidi="ar-SA"/>
        </w:rPr>
        <w:t>本项目产生一个中标人。</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w:t>
      </w:r>
      <w:r>
        <w:rPr>
          <w:rFonts w:hint="default" w:ascii="宋体" w:hAnsi="宋体" w:eastAsia="宋体" w:cs="宋体"/>
          <w:b w:val="0"/>
          <w:i w:val="0"/>
          <w:strike w:val="0"/>
          <w:color w:val="auto"/>
          <w:kern w:val="2"/>
          <w:sz w:val="24"/>
          <w:szCs w:val="22"/>
          <w:highlight w:val="none"/>
          <w:u w:val="none"/>
          <w:lang w:val="en-US" w:eastAsia="zh-CN" w:bidi="ar-SA"/>
        </w:rPr>
        <w:t>招标人发送中标通知给中标人，中标人应及时与招标人联系，在中标通知书发出之日起</w:t>
      </w:r>
      <w:r>
        <w:rPr>
          <w:rFonts w:hint="eastAsia" w:ascii="宋体" w:hAnsi="宋体" w:eastAsia="宋体" w:cs="宋体"/>
          <w:b w:val="0"/>
          <w:i w:val="0"/>
          <w:strike w:val="0"/>
          <w:color w:val="auto"/>
          <w:kern w:val="2"/>
          <w:sz w:val="24"/>
          <w:szCs w:val="22"/>
          <w:highlight w:val="none"/>
          <w:u w:val="none"/>
          <w:lang w:val="en-US" w:eastAsia="zh-CN" w:bidi="ar-SA"/>
        </w:rPr>
        <w:t>30</w:t>
      </w:r>
      <w:r>
        <w:rPr>
          <w:rFonts w:hint="default" w:ascii="宋体" w:hAnsi="宋体" w:eastAsia="宋体" w:cs="宋体"/>
          <w:b w:val="0"/>
          <w:i w:val="0"/>
          <w:strike w:val="0"/>
          <w:color w:val="auto"/>
          <w:kern w:val="2"/>
          <w:sz w:val="24"/>
          <w:szCs w:val="22"/>
          <w:highlight w:val="none"/>
          <w:u w:val="none"/>
          <w:lang w:val="en-US" w:eastAsia="zh-CN" w:bidi="ar-SA"/>
        </w:rPr>
        <w:t>日内与项目实施单位签订合同。如果中标人接到中标通知后，无不正当理由拒签合同、在签订合同时向招标人提出无理附加条件的，取消该投标人的入围资格，该投标人</w:t>
      </w:r>
      <w:r>
        <w:rPr>
          <w:rFonts w:hint="eastAsia" w:ascii="宋体" w:hAnsi="宋体" w:eastAsia="宋体" w:cs="宋体"/>
          <w:b w:val="0"/>
          <w:i w:val="0"/>
          <w:strike w:val="0"/>
          <w:color w:val="auto"/>
          <w:kern w:val="2"/>
          <w:sz w:val="24"/>
          <w:szCs w:val="22"/>
          <w:highlight w:val="none"/>
          <w:u w:val="none"/>
          <w:lang w:val="en-US" w:eastAsia="zh-CN" w:bidi="ar-SA"/>
        </w:rPr>
        <w:t>2</w:t>
      </w:r>
      <w:r>
        <w:rPr>
          <w:rFonts w:hint="default" w:ascii="宋体" w:hAnsi="宋体" w:eastAsia="宋体" w:cs="宋体"/>
          <w:b w:val="0"/>
          <w:i w:val="0"/>
          <w:strike w:val="0"/>
          <w:color w:val="auto"/>
          <w:kern w:val="2"/>
          <w:sz w:val="24"/>
          <w:szCs w:val="22"/>
          <w:highlight w:val="none"/>
          <w:u w:val="none"/>
          <w:lang w:val="en-US" w:eastAsia="zh-CN" w:bidi="ar-SA"/>
        </w:rPr>
        <w:t>年不得参与中国重型汽车集团有限公司及其关联公司发布的招投标项目。</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w:t>
      </w:r>
      <w:r>
        <w:rPr>
          <w:rFonts w:hint="default" w:ascii="宋体" w:hAnsi="宋体" w:eastAsia="宋体" w:cs="宋体"/>
          <w:b w:val="0"/>
          <w:i w:val="0"/>
          <w:strike w:val="0"/>
          <w:color w:val="auto"/>
          <w:kern w:val="2"/>
          <w:sz w:val="24"/>
          <w:szCs w:val="22"/>
          <w:highlight w:val="none"/>
          <w:u w:val="none"/>
          <w:lang w:val="en-US" w:eastAsia="zh-CN" w:bidi="ar-SA"/>
        </w:rPr>
        <w:t>中标人应当按照合同约定的履约责任，在保证质量的前提下完成中标项目，不得将中标项目转包或分包给他人，否则视为违约，招标人有权解除合同。</w:t>
      </w:r>
    </w:p>
    <w:p>
      <w:pPr>
        <w:widowControl w:val="0"/>
        <w:spacing w:after="120" w:line="360" w:lineRule="auto"/>
        <w:ind w:firstLine="480" w:firstLineChars="200"/>
        <w:jc w:val="left"/>
        <w:rPr>
          <w:rFonts w:hint="default"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5）</w:t>
      </w:r>
      <w:r>
        <w:rPr>
          <w:rFonts w:hint="default" w:ascii="宋体" w:hAnsi="宋体" w:eastAsia="宋体" w:cs="宋体"/>
          <w:b w:val="0"/>
          <w:i w:val="0"/>
          <w:strike w:val="0"/>
          <w:color w:val="auto"/>
          <w:kern w:val="2"/>
          <w:sz w:val="24"/>
          <w:szCs w:val="22"/>
          <w:highlight w:val="none"/>
          <w:u w:val="none"/>
          <w:lang w:val="en-US" w:eastAsia="zh-CN" w:bidi="ar-SA"/>
        </w:rPr>
        <w:t>在履行合同过程中，中标人由于履行义务的能力或信用有严重缺陷，招标人有权取消其中标资格，招标人将从中标候选单位中依序重新确定中标人，或重新组织招标。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6）合同以双方最终签署的版本为准。</w:t>
      </w:r>
    </w:p>
    <w:p>
      <w:pPr>
        <w:pStyle w:val="146"/>
        <w:widowControl/>
        <w:numPr>
          <w:ilvl w:val="0"/>
          <w:numId w:val="0"/>
        </w:numPr>
        <w:spacing w:line="240" w:lineRule="auto"/>
        <w:ind w:left="480" w:leftChars="0"/>
        <w:jc w:val="left"/>
        <w:rPr>
          <w:rFonts w:hint="eastAsia" w:ascii="宋体" w:hAnsi="宋体" w:eastAsia="宋体" w:cs="宋体"/>
          <w:b/>
          <w:bCs/>
          <w:i w:val="0"/>
          <w:strike w:val="0"/>
          <w:color w:val="auto"/>
          <w:sz w:val="28"/>
          <w:highlight w:val="none"/>
          <w:u w:val="none"/>
          <w:lang w:val="en-US" w:eastAsia="zh-CN"/>
        </w:rPr>
      </w:pPr>
      <w:r>
        <w:rPr>
          <w:rFonts w:hint="eastAsia" w:ascii="宋体" w:hAnsi="宋体" w:eastAsia="宋体" w:cs="宋体"/>
          <w:b/>
          <w:bCs/>
          <w:i w:val="0"/>
          <w:strike w:val="0"/>
          <w:color w:val="auto"/>
          <w:sz w:val="28"/>
          <w:highlight w:val="none"/>
          <w:u w:val="none"/>
          <w:lang w:val="en-US" w:eastAsia="zh-CN"/>
        </w:rPr>
        <w:t>九、付款方式和付款节点</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1）付款方式：银行转账</w:t>
      </w:r>
    </w:p>
    <w:p>
      <w:pPr>
        <w:widowControl w:val="0"/>
        <w:spacing w:after="120" w:line="360" w:lineRule="auto"/>
        <w:ind w:firstLine="480" w:firstLineChars="200"/>
        <w:jc w:val="left"/>
        <w:rPr>
          <w:rFonts w:hint="default"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2）付款节点：项目实施完成，经招标人验收合格后一个月，支付项目总价款的90%，验收通过满一年后，无质量问题支付剩余款项（总价款的10%），如有质量问题且未得到及时解决，视影响扣除相应款项。</w:t>
      </w:r>
    </w:p>
    <w:p>
      <w:pPr>
        <w:pStyle w:val="146"/>
        <w:widowControl/>
        <w:numPr>
          <w:ilvl w:val="0"/>
          <w:numId w:val="0"/>
        </w:numPr>
        <w:spacing w:line="240" w:lineRule="auto"/>
        <w:ind w:left="480" w:leftChars="0"/>
        <w:jc w:val="left"/>
        <w:rPr>
          <w:rFonts w:hint="eastAsia" w:ascii="宋体" w:hAnsi="宋体" w:eastAsia="宋体" w:cs="宋体"/>
          <w:b/>
          <w:bCs/>
          <w:i w:val="0"/>
          <w:strike w:val="0"/>
          <w:color w:val="auto"/>
          <w:sz w:val="28"/>
          <w:highlight w:val="none"/>
          <w:u w:val="none"/>
          <w:lang w:val="en-US" w:eastAsia="zh-CN"/>
        </w:rPr>
      </w:pPr>
      <w:bookmarkStart w:id="50" w:name="_Toc74143850"/>
      <w:bookmarkStart w:id="51" w:name="_Toc95148191"/>
      <w:bookmarkStart w:id="52" w:name="_Toc109031564"/>
      <w:r>
        <w:rPr>
          <w:rFonts w:hint="eastAsia" w:ascii="宋体" w:hAnsi="宋体" w:cs="宋体"/>
          <w:b/>
          <w:bCs/>
          <w:i w:val="0"/>
          <w:strike w:val="0"/>
          <w:color w:val="auto"/>
          <w:sz w:val="28"/>
          <w:highlight w:val="none"/>
          <w:u w:val="none"/>
          <w:lang w:val="en-US" w:eastAsia="zh-CN"/>
        </w:rPr>
        <w:t>十</w:t>
      </w:r>
      <w:r>
        <w:rPr>
          <w:rFonts w:hint="eastAsia" w:ascii="宋体" w:hAnsi="宋体" w:eastAsia="宋体" w:cs="宋体"/>
          <w:b/>
          <w:bCs/>
          <w:i w:val="0"/>
          <w:strike w:val="0"/>
          <w:color w:val="auto"/>
          <w:sz w:val="28"/>
          <w:highlight w:val="none"/>
          <w:u w:val="none"/>
          <w:lang w:val="en-US" w:eastAsia="zh-CN"/>
        </w:rPr>
        <w:t>、</w:t>
      </w:r>
      <w:r>
        <w:rPr>
          <w:rFonts w:hint="default" w:ascii="宋体" w:hAnsi="宋体" w:eastAsia="宋体" w:cs="宋体"/>
          <w:b/>
          <w:bCs/>
          <w:i w:val="0"/>
          <w:strike w:val="0"/>
          <w:color w:val="auto"/>
          <w:sz w:val="28"/>
          <w:highlight w:val="none"/>
          <w:u w:val="none"/>
          <w:lang w:val="en-US" w:eastAsia="zh-CN"/>
        </w:rPr>
        <w:t>废标</w:t>
      </w:r>
      <w:bookmarkEnd w:id="50"/>
      <w:bookmarkEnd w:id="51"/>
      <w:bookmarkEnd w:id="52"/>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bCs w:val="0"/>
          <w:i w:val="0"/>
          <w:strike w:val="0"/>
          <w:color w:val="auto"/>
          <w:kern w:val="2"/>
          <w:sz w:val="24"/>
          <w:szCs w:val="22"/>
          <w:highlight w:val="none"/>
          <w:u w:val="none"/>
          <w:lang w:val="en-US" w:eastAsia="zh-CN" w:bidi="ar-SA"/>
        </w:rPr>
        <w:t>1、</w:t>
      </w:r>
      <w:r>
        <w:rPr>
          <w:rFonts w:hint="default" w:ascii="宋体" w:hAnsi="宋体" w:eastAsia="宋体" w:cs="宋体"/>
          <w:b w:val="0"/>
          <w:bCs w:val="0"/>
          <w:i w:val="0"/>
          <w:strike w:val="0"/>
          <w:color w:val="auto"/>
          <w:kern w:val="2"/>
          <w:sz w:val="24"/>
          <w:szCs w:val="22"/>
          <w:highlight w:val="none"/>
          <w:u w:val="none"/>
          <w:lang w:val="en-US" w:eastAsia="zh-CN" w:bidi="ar-SA"/>
        </w:rPr>
        <w:t>投标人有下列情形之一，其投标将被视为废标，招标人将严格按照《中华人民共和国招标投标法》及相关法律、法规及规章制度的规定行使权利。</w:t>
      </w:r>
      <w:r>
        <w:rPr>
          <w:rFonts w:hint="default" w:ascii="宋体" w:hAnsi="宋体" w:eastAsia="宋体" w:cs="宋体"/>
          <w:b w:val="0"/>
          <w:i w:val="0"/>
          <w:strike w:val="0"/>
          <w:color w:val="auto"/>
          <w:kern w:val="2"/>
          <w:sz w:val="24"/>
          <w:szCs w:val="22"/>
          <w:highlight w:val="none"/>
          <w:u w:val="none"/>
          <w:lang w:val="en-US" w:eastAsia="zh-CN" w:bidi="ar-SA"/>
        </w:rPr>
        <w:t>投标人给招标人造成损失的，招标人有索赔的权利，投标人应予以赔偿。</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1）投标人提供的有关资格、资质证明文件不合格、不真实或提供虚假投标材料；</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2）投标人在报价有效期内撤回投标；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3）在整个评标过程中，投标人有企图影响评标结果公正性的任何活动；</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4）投标人以任何方式诋毁其他投标人；</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5）投标人串通投标；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6）以他人名义投标或者以其他方式弄虚作假，骗取中标的；</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7）投标人被举报、检举，并经招标方查实无误的;</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8）法律、法规规定的其他情况；</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9）投标人负责人为同一人或者存在控股、管理关系的不同单位。</w:t>
      </w:r>
    </w:p>
    <w:p>
      <w:pPr>
        <w:widowControl w:val="0"/>
        <w:spacing w:after="120" w:line="360" w:lineRule="auto"/>
        <w:ind w:firstLine="480" w:firstLineChars="200"/>
        <w:jc w:val="left"/>
        <w:rPr>
          <w:rFonts w:hint="eastAsia" w:ascii="宋体" w:hAnsi="宋体" w:eastAsia="宋体" w:cs="宋体"/>
          <w:b w:val="0"/>
          <w:bCs w:val="0"/>
          <w:i w:val="0"/>
          <w:strike w:val="0"/>
          <w:color w:val="auto"/>
          <w:kern w:val="2"/>
          <w:sz w:val="24"/>
          <w:szCs w:val="22"/>
          <w:highlight w:val="none"/>
          <w:u w:val="none"/>
          <w:lang w:val="en-US" w:eastAsia="zh-CN" w:bidi="ar-SA"/>
        </w:rPr>
      </w:pPr>
      <w:r>
        <w:rPr>
          <w:rFonts w:hint="eastAsia" w:ascii="宋体" w:hAnsi="宋体" w:eastAsia="宋体" w:cs="宋体"/>
          <w:b w:val="0"/>
          <w:bCs w:val="0"/>
          <w:i w:val="0"/>
          <w:strike w:val="0"/>
          <w:color w:val="auto"/>
          <w:kern w:val="2"/>
          <w:sz w:val="24"/>
          <w:szCs w:val="22"/>
          <w:highlight w:val="none"/>
          <w:u w:val="none"/>
          <w:lang w:val="en-US" w:eastAsia="zh-CN" w:bidi="ar-SA"/>
        </w:rPr>
        <w:t>2、出现下列情形之一，招标人有权否决所有投标人的投标，并终止招标</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1）出现影响采购公正的违法、违规行为的；</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2）评标委员会经评审，认为所有投标都不符合招标文件要求的；</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3）因重大变故，采购任务取消的；</w:t>
      </w:r>
    </w:p>
    <w:p>
      <w:pPr>
        <w:widowControl w:val="0"/>
        <w:spacing w:after="120" w:line="360" w:lineRule="auto"/>
        <w:ind w:firstLine="480" w:firstLineChars="200"/>
        <w:jc w:val="left"/>
        <w:rPr>
          <w:rFonts w:hint="eastAsia" w:ascii="宋体" w:hAnsi="宋体" w:eastAsia="宋体" w:cs="宋体"/>
          <w:b w:val="0"/>
          <w:bCs w:val="0"/>
          <w:i w:val="0"/>
          <w:strike w:val="0"/>
          <w:color w:val="auto"/>
          <w:kern w:val="2"/>
          <w:sz w:val="24"/>
          <w:szCs w:val="22"/>
          <w:highlight w:val="none"/>
          <w:u w:val="none"/>
          <w:lang w:val="en-US" w:eastAsia="zh-CN" w:bidi="ar-SA"/>
        </w:rPr>
      </w:pPr>
      <w:r>
        <w:rPr>
          <w:rFonts w:hint="eastAsia" w:ascii="宋体" w:hAnsi="宋体" w:eastAsia="宋体" w:cs="宋体"/>
          <w:b w:val="0"/>
          <w:bCs w:val="0"/>
          <w:i w:val="0"/>
          <w:strike w:val="0"/>
          <w:color w:val="auto"/>
          <w:kern w:val="2"/>
          <w:sz w:val="24"/>
          <w:szCs w:val="22"/>
          <w:highlight w:val="none"/>
          <w:u w:val="none"/>
          <w:lang w:val="en-US" w:eastAsia="zh-CN" w:bidi="ar-SA"/>
        </w:rPr>
        <w:t>3、解释权</w:t>
      </w:r>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本招标文件的最终解释权归招标人，当对一个问题有多种解释时以招标人的书面解释为准。招标文件未做须知明示，而又有相关法律、法规规定的，招标人对此所做解释以相关的法律、法规规定为依据。</w:t>
      </w:r>
    </w:p>
    <w:p>
      <w:pPr>
        <w:pStyle w:val="146"/>
        <w:widowControl/>
        <w:numPr>
          <w:ilvl w:val="0"/>
          <w:numId w:val="0"/>
        </w:numPr>
        <w:spacing w:line="240" w:lineRule="auto"/>
        <w:ind w:left="480" w:leftChars="0"/>
        <w:jc w:val="left"/>
        <w:rPr>
          <w:rFonts w:hint="eastAsia" w:ascii="宋体" w:hAnsi="宋体" w:eastAsia="宋体" w:cs="宋体"/>
          <w:b/>
          <w:bCs/>
          <w:i w:val="0"/>
          <w:strike w:val="0"/>
          <w:color w:val="auto"/>
          <w:sz w:val="28"/>
          <w:highlight w:val="none"/>
          <w:u w:val="none"/>
          <w:lang w:val="en-US" w:eastAsia="zh-CN"/>
        </w:rPr>
      </w:pPr>
      <w:bookmarkStart w:id="53" w:name="_Toc109031565"/>
      <w:bookmarkStart w:id="54" w:name="_Toc95148192"/>
      <w:bookmarkStart w:id="55" w:name="_Toc74143851"/>
      <w:r>
        <w:rPr>
          <w:rFonts w:hint="eastAsia" w:ascii="宋体" w:hAnsi="宋体" w:eastAsia="宋体" w:cs="宋体"/>
          <w:b/>
          <w:bCs/>
          <w:i w:val="0"/>
          <w:strike w:val="0"/>
          <w:color w:val="auto"/>
          <w:sz w:val="28"/>
          <w:highlight w:val="none"/>
          <w:u w:val="none"/>
          <w:lang w:val="en-US" w:eastAsia="zh-CN"/>
        </w:rPr>
        <w:t>十</w:t>
      </w:r>
      <w:r>
        <w:rPr>
          <w:rFonts w:hint="eastAsia" w:ascii="宋体" w:hAnsi="宋体" w:cs="宋体"/>
          <w:b/>
          <w:bCs/>
          <w:i w:val="0"/>
          <w:strike w:val="0"/>
          <w:color w:val="auto"/>
          <w:sz w:val="28"/>
          <w:highlight w:val="none"/>
          <w:u w:val="none"/>
          <w:lang w:val="en-US" w:eastAsia="zh-CN"/>
        </w:rPr>
        <w:t>一</w:t>
      </w:r>
      <w:r>
        <w:rPr>
          <w:rFonts w:hint="eastAsia" w:ascii="宋体" w:hAnsi="宋体" w:eastAsia="宋体" w:cs="宋体"/>
          <w:b/>
          <w:bCs/>
          <w:i w:val="0"/>
          <w:strike w:val="0"/>
          <w:color w:val="auto"/>
          <w:sz w:val="28"/>
          <w:highlight w:val="none"/>
          <w:u w:val="none"/>
          <w:lang w:val="en-US" w:eastAsia="zh-CN"/>
        </w:rPr>
        <w:t>、瑕疵滞后发现的处理</w:t>
      </w:r>
      <w:bookmarkEnd w:id="53"/>
      <w:bookmarkEnd w:id="54"/>
      <w:bookmarkEnd w:id="55"/>
    </w:p>
    <w:p>
      <w:pPr>
        <w:widowControl w:val="0"/>
        <w:spacing w:after="120" w:line="360" w:lineRule="auto"/>
        <w:ind w:firstLine="480" w:firstLineChars="200"/>
        <w:jc w:val="left"/>
        <w:rPr>
          <w:rFonts w:hint="eastAsia" w:ascii="宋体" w:hAnsi="宋体" w:eastAsia="宋体" w:cs="宋体"/>
          <w:b w:val="0"/>
          <w:i w:val="0"/>
          <w:strike w:val="0"/>
          <w:color w:val="auto"/>
          <w:kern w:val="2"/>
          <w:sz w:val="24"/>
          <w:szCs w:val="22"/>
          <w:highlight w:val="none"/>
          <w:u w:val="none"/>
          <w:lang w:val="en-US" w:eastAsia="zh-CN" w:bidi="ar-SA"/>
        </w:rPr>
      </w:pPr>
      <w:r>
        <w:rPr>
          <w:rFonts w:hint="eastAsia" w:ascii="宋体" w:hAnsi="宋体" w:eastAsia="宋体" w:cs="宋体"/>
          <w:b w:val="0"/>
          <w:i w:val="0"/>
          <w:strike w:val="0"/>
          <w:color w:val="auto"/>
          <w:kern w:val="2"/>
          <w:sz w:val="24"/>
          <w:szCs w:val="22"/>
          <w:highlight w:val="none"/>
          <w:u w:val="none"/>
          <w:lang w:val="en-US" w:eastAsia="zh-CN" w:bidi="ar-SA"/>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bookmarkEnd w:id="49"/>
    <w:p>
      <w:pPr>
        <w:rPr>
          <w:rFonts w:hint="eastAsia" w:ascii="Calibri" w:hAnsi="Calibri" w:eastAsia="黑体" w:cs="黑体"/>
          <w:b/>
          <w:sz w:val="28"/>
          <w:szCs w:val="22"/>
          <w:highlight w:val="none"/>
        </w:rPr>
      </w:pPr>
    </w:p>
    <w:p>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1</w:t>
      </w:r>
    </w:p>
    <w:p>
      <w:pPr>
        <w:jc w:val="center"/>
        <w:rPr>
          <w:rFonts w:eastAsia="黑体"/>
          <w:b/>
          <w:sz w:val="28"/>
          <w:szCs w:val="22"/>
          <w:highlight w:val="none"/>
        </w:rPr>
      </w:pPr>
      <w:bookmarkStart w:id="56" w:name="_Toc533251966"/>
      <w:bookmarkStart w:id="57" w:name="_Toc283368335"/>
      <w:bookmarkStart w:id="58" w:name="_Toc290401063"/>
      <w:bookmarkStart w:id="59" w:name="_Toc278876641"/>
      <w:r>
        <w:rPr>
          <w:rFonts w:hint="eastAsia" w:ascii="Calibri" w:hAnsi="Calibri" w:eastAsia="黑体" w:cs="黑体"/>
          <w:b/>
          <w:sz w:val="28"/>
          <w:szCs w:val="22"/>
          <w:highlight w:val="none"/>
        </w:rPr>
        <w:t>投标函</w:t>
      </w:r>
    </w:p>
    <w:p>
      <w:pPr>
        <w:tabs>
          <w:tab w:val="left" w:pos="720"/>
        </w:tabs>
        <w:spacing w:line="360" w:lineRule="auto"/>
        <w:ind w:right="3"/>
        <w:rPr>
          <w:rFonts w:ascii="宋体" w:hAnsi="宋体" w:eastAsia="宋体" w:cs="宋体"/>
          <w:sz w:val="24"/>
          <w:szCs w:val="22"/>
          <w:highlight w:val="none"/>
        </w:rPr>
      </w:pPr>
      <w:r>
        <w:rPr>
          <w:rFonts w:hint="eastAsia" w:ascii="宋体" w:hAnsi="宋体" w:eastAsia="宋体" w:cs="宋体"/>
          <w:sz w:val="24"/>
          <w:szCs w:val="22"/>
          <w:highlight w:val="none"/>
        </w:rPr>
        <w:t xml:space="preserve">致：重汽汽车金融有限公司              </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根据贵司的招标函，本人代表投标人_____________（投标人名称）提交下述投标文件。</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本人宣布同意如下：</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1、所附《开标一览表》规定的</w:t>
      </w:r>
      <w:r>
        <w:rPr>
          <w:rFonts w:hint="eastAsia" w:ascii="宋体" w:hAnsi="宋体" w:eastAsia="宋体" w:cs="宋体"/>
          <w:sz w:val="24"/>
          <w:szCs w:val="22"/>
          <w:highlight w:val="none"/>
          <w:u w:val="single"/>
        </w:rPr>
        <w:t xml:space="preserve">            </w:t>
      </w:r>
      <w:r>
        <w:rPr>
          <w:rFonts w:hint="eastAsia" w:ascii="宋体" w:hAnsi="宋体" w:eastAsia="宋体" w:cs="宋体"/>
          <w:sz w:val="24"/>
          <w:szCs w:val="22"/>
          <w:highlight w:val="none"/>
          <w:u w:val="none"/>
        </w:rPr>
        <w:t>项目</w:t>
      </w:r>
      <w:r>
        <w:rPr>
          <w:rFonts w:hint="eastAsia" w:ascii="宋体" w:hAnsi="宋体" w:eastAsia="宋体" w:cs="宋体"/>
          <w:sz w:val="24"/>
          <w:szCs w:val="22"/>
          <w:highlight w:val="none"/>
        </w:rPr>
        <w:t>投标总价为：________________（人民币），____________________（大写）。</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2、我方郑重承诺：投标人将全部满足招标文件中的各项实质性要求，若有与招标文件中有偏离的，已在《商务条款偏离表》或《技术规格、参数偏离表》中陈述。除了《商务条款偏离表》或《技术规格、参数偏离表》陈述的偏离外，如果发现投标文件中另有与招标文件中不一致的响应或没有响应，投标人同意招标人有权要求投标人按照招标文件的要求提供服务。投标人并同意按照招标文件的规定履行合同责任和义务。</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3、我方已详细审查全部招标文件，包括修改文件（如有的话）以及全部参考资料和有关附件。我们完全理解并同意放弃对这方面有不明及误解的权利。</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4、我方的投标自投标截止之日起有效期为</w:t>
      </w:r>
      <w:r>
        <w:rPr>
          <w:rFonts w:ascii="宋体" w:hAnsi="宋体" w:eastAsia="宋体" w:cs="宋体"/>
          <w:sz w:val="24"/>
          <w:szCs w:val="22"/>
          <w:highlight w:val="none"/>
        </w:rPr>
        <w:t>3</w:t>
      </w:r>
      <w:r>
        <w:rPr>
          <w:rFonts w:hint="eastAsia" w:ascii="宋体" w:hAnsi="宋体" w:eastAsia="宋体" w:cs="宋体"/>
          <w:sz w:val="24"/>
          <w:szCs w:val="22"/>
          <w:highlight w:val="none"/>
        </w:rPr>
        <w:t>0天。</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5、我方同意提供按照贵方可能要求的与我方投标有关的一切数据或资料，理解贵方不一定要接受最低价的投标或收到的任何投标。</w:t>
      </w:r>
    </w:p>
    <w:p>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6、与本投标有关的一切正式往来通讯请寄：</w:t>
      </w:r>
    </w:p>
    <w:p>
      <w:pPr>
        <w:tabs>
          <w:tab w:val="left" w:pos="720"/>
        </w:tabs>
        <w:spacing w:line="360" w:lineRule="auto"/>
        <w:ind w:right="3" w:firstLine="2640" w:firstLineChars="1100"/>
        <w:rPr>
          <w:rFonts w:ascii="宋体" w:hAnsi="宋体" w:eastAsia="宋体" w:cs="宋体"/>
          <w:sz w:val="24"/>
          <w:szCs w:val="22"/>
          <w:highlight w:val="none"/>
        </w:rPr>
      </w:pPr>
      <w:r>
        <w:rPr>
          <w:rFonts w:hint="eastAsia" w:ascii="宋体" w:hAnsi="宋体" w:eastAsia="宋体" w:cs="宋体"/>
          <w:sz w:val="24"/>
          <w:szCs w:val="22"/>
          <w:highlight w:val="none"/>
        </w:rPr>
        <w:t xml:space="preserve"> 投    标    人（公章）：                 </w:t>
      </w:r>
    </w:p>
    <w:p>
      <w:pPr>
        <w:spacing w:line="360" w:lineRule="auto"/>
        <w:ind w:right="-687" w:rightChars="-327" w:firstLine="2760" w:firstLineChars="1150"/>
        <w:rPr>
          <w:rFonts w:hint="eastAsia" w:ascii="宋体" w:hAnsi="宋体" w:eastAsia="宋体" w:cs="宋体"/>
          <w:sz w:val="24"/>
          <w:szCs w:val="22"/>
          <w:highlight w:val="none"/>
        </w:rPr>
      </w:pPr>
      <w:r>
        <w:rPr>
          <w:rFonts w:hint="eastAsia" w:ascii="宋体" w:hAnsi="宋体" w:eastAsia="宋体" w:cs="宋体"/>
          <w:sz w:val="24"/>
          <w:szCs w:val="22"/>
          <w:highlight w:val="none"/>
        </w:rPr>
        <w:t>法定代表人或授权委托人（签字或盖章）：</w:t>
      </w:r>
    </w:p>
    <w:p>
      <w:pPr>
        <w:spacing w:line="360" w:lineRule="auto"/>
        <w:ind w:right="-687" w:rightChars="-327" w:firstLine="2760" w:firstLineChars="1150"/>
        <w:rPr>
          <w:rFonts w:ascii="宋体" w:hAnsi="宋体" w:eastAsia="宋体" w:cs="宋体"/>
          <w:sz w:val="24"/>
          <w:szCs w:val="22"/>
          <w:highlight w:val="none"/>
        </w:rPr>
      </w:pPr>
      <w:r>
        <w:rPr>
          <w:rFonts w:hint="eastAsia" w:ascii="宋体" w:hAnsi="宋体" w:eastAsia="宋体" w:cs="宋体"/>
          <w:sz w:val="24"/>
          <w:szCs w:val="22"/>
          <w:highlight w:val="none"/>
        </w:rPr>
        <w:t>日       期：         年      月      日</w:t>
      </w:r>
    </w:p>
    <w:bookmarkEnd w:id="56"/>
    <w:bookmarkEnd w:id="57"/>
    <w:bookmarkEnd w:id="58"/>
    <w:bookmarkEnd w:id="59"/>
    <w:p>
      <w:pPr>
        <w:rPr>
          <w:rFonts w:hint="eastAsia" w:ascii="Calibri" w:hAnsi="Calibri" w:eastAsia="黑体" w:cs="黑体"/>
          <w:b/>
          <w:sz w:val="28"/>
          <w:szCs w:val="22"/>
          <w:highlight w:val="none"/>
        </w:rPr>
      </w:pPr>
    </w:p>
    <w:p>
      <w:pPr>
        <w:rPr>
          <w:rFonts w:hint="eastAsia" w:ascii="Calibri" w:hAnsi="Calibri" w:eastAsia="黑体" w:cs="黑体"/>
          <w:b/>
          <w:sz w:val="28"/>
          <w:szCs w:val="22"/>
          <w:highlight w:val="none"/>
        </w:rPr>
      </w:pPr>
    </w:p>
    <w:p>
      <w:pPr>
        <w:rPr>
          <w:rFonts w:eastAsia="黑体"/>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2</w:t>
      </w:r>
    </w:p>
    <w:p>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pPr>
        <w:spacing w:line="360" w:lineRule="auto"/>
        <w:ind w:firstLine="480" w:firstLineChars="200"/>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（姓名）系</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（投标人全称）的法定代表人，就</w:t>
      </w:r>
      <w:r>
        <w:rPr>
          <w:rFonts w:hint="eastAsia" w:ascii="宋体" w:hAnsi="宋体" w:eastAsia="宋体" w:cs="Times New Roman"/>
          <w:b w:val="0"/>
          <w:bCs w:val="0"/>
          <w:color w:val="000000"/>
          <w:sz w:val="24"/>
          <w:szCs w:val="24"/>
          <w:highlight w:val="none"/>
          <w:u w:val="single"/>
          <w:lang w:val="en-US" w:eastAsia="zh-CN"/>
        </w:rPr>
        <w:t>重汽汽金平安租赁业务九恒星系统改造项目</w:t>
      </w:r>
      <w:r>
        <w:rPr>
          <w:rFonts w:hint="eastAsia" w:ascii="宋体" w:hAnsi="宋体" w:eastAsia="宋体" w:cs="Times New Roman"/>
          <w:color w:val="000000"/>
          <w:sz w:val="24"/>
          <w:szCs w:val="24"/>
          <w:highlight w:val="none"/>
        </w:rPr>
        <w:t>现授权委托</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（单位名称）的</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4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rPr>
          <w:rFonts w:eastAsia="黑体"/>
          <w:b/>
          <w:sz w:val="28"/>
          <w:szCs w:val="22"/>
          <w:highlight w:val="none"/>
        </w:rPr>
      </w:pPr>
      <w:r>
        <w:rPr>
          <w:rFonts w:ascii="Calibri" w:hAnsi="Calibri" w:eastAsia="宋体" w:cs="Times New Roman"/>
          <w:szCs w:val="22"/>
          <w:highlight w:val="none"/>
        </w:rPr>
        <w:br w:type="page"/>
      </w:r>
      <w:bookmarkStart w:id="60" w:name="_Toc386297882"/>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3</w:t>
      </w:r>
    </w:p>
    <w:p>
      <w:pPr>
        <w:jc w:val="center"/>
        <w:rPr>
          <w:sz w:val="32"/>
          <w:szCs w:val="22"/>
          <w:highlight w:val="none"/>
        </w:rPr>
      </w:pPr>
      <w:r>
        <w:rPr>
          <w:rFonts w:hint="eastAsia" w:ascii="Calibri" w:hAnsi="Calibri" w:eastAsia="黑体" w:cs="黑体"/>
          <w:b/>
          <w:sz w:val="28"/>
          <w:szCs w:val="22"/>
          <w:highlight w:val="none"/>
        </w:rPr>
        <w:t>竞标人资格证明文件</w:t>
      </w:r>
      <w:bookmarkEnd w:id="60"/>
    </w:p>
    <w:p>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重汽汽车金融有限公司：</w:t>
      </w:r>
    </w:p>
    <w:p>
      <w:p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贵公司组织的</w:t>
      </w:r>
      <w:r>
        <w:rPr>
          <w:rFonts w:ascii="宋体" w:hAnsi="宋体" w:eastAsia="宋体" w:cs="宋体"/>
          <w:sz w:val="24"/>
          <w:szCs w:val="22"/>
          <w:highlight w:val="none"/>
          <w:u w:val="single"/>
        </w:rPr>
        <w:t xml:space="preserve">                </w:t>
      </w:r>
      <w:r>
        <w:rPr>
          <w:rFonts w:hint="eastAsia" w:ascii="宋体" w:hAnsi="宋体" w:eastAsia="宋体" w:cs="宋体"/>
          <w:sz w:val="24"/>
          <w:szCs w:val="22"/>
          <w:highlight w:val="none"/>
        </w:rPr>
        <w:t>项目</w:t>
      </w:r>
      <w:r>
        <w:rPr>
          <w:rFonts w:hint="eastAsia" w:ascii="宋体" w:hAnsi="宋体" w:eastAsia="宋体" w:cs="宋体"/>
          <w:sz w:val="24"/>
          <w:szCs w:val="22"/>
          <w:highlight w:val="none"/>
          <w:lang w:val="en-US" w:eastAsia="zh-CN"/>
        </w:rPr>
        <w:t>招标</w:t>
      </w:r>
      <w:r>
        <w:rPr>
          <w:rFonts w:hint="eastAsia" w:ascii="宋体" w:hAnsi="宋体" w:eastAsia="宋体" w:cs="宋体"/>
          <w:sz w:val="24"/>
          <w:szCs w:val="22"/>
          <w:highlight w:val="none"/>
        </w:rPr>
        <w:t>采购活动，我公司愿意参加，并证明提交的下列文件、证明和陈述均是准确的、真实的。若与真实情况不符，我公司愿意承担由此而产生的一切后果。</w:t>
      </w:r>
    </w:p>
    <w:p>
      <w:pPr>
        <w:numPr>
          <w:ilvl w:val="0"/>
          <w:numId w:val="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工商营业执照副本复印件（加盖公章）。</w:t>
      </w:r>
    </w:p>
    <w:p>
      <w:pPr>
        <w:numPr>
          <w:ilvl w:val="0"/>
          <w:numId w:val="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竞标人认为有必要提供的其他证明文件（加盖公章）。</w:t>
      </w:r>
    </w:p>
    <w:p>
      <w:pPr>
        <w:spacing w:line="360" w:lineRule="auto"/>
        <w:rPr>
          <w:sz w:val="24"/>
          <w:szCs w:val="22"/>
          <w:highlight w:val="none"/>
        </w:rPr>
      </w:pPr>
    </w:p>
    <w:p>
      <w:pPr>
        <w:spacing w:line="360" w:lineRule="auto"/>
        <w:rPr>
          <w:rFonts w:ascii="宋体" w:hAnsi="宋体" w:eastAsia="宋体" w:cs="宋体"/>
          <w:sz w:val="24"/>
          <w:szCs w:val="22"/>
          <w:highlight w:val="none"/>
        </w:rPr>
      </w:pPr>
    </w:p>
    <w:p>
      <w:pPr>
        <w:spacing w:line="360" w:lineRule="auto"/>
        <w:rPr>
          <w:rFonts w:ascii="宋体" w:hAnsi="宋体" w:eastAsia="宋体" w:cs="宋体"/>
          <w:sz w:val="24"/>
          <w:szCs w:val="22"/>
          <w:highlight w:val="none"/>
        </w:rPr>
      </w:pPr>
    </w:p>
    <w:p>
      <w:pPr>
        <w:spacing w:line="360" w:lineRule="auto"/>
        <w:rPr>
          <w:rFonts w:ascii="宋体" w:hAnsi="宋体" w:eastAsia="宋体" w:cs="宋体"/>
          <w:sz w:val="24"/>
          <w:szCs w:val="22"/>
          <w:highlight w:val="none"/>
        </w:rPr>
      </w:pPr>
    </w:p>
    <w:p>
      <w:pPr>
        <w:spacing w:line="360" w:lineRule="auto"/>
        <w:rPr>
          <w:rFonts w:ascii="宋体" w:hAnsi="宋体" w:eastAsia="宋体" w:cs="宋体"/>
          <w:sz w:val="24"/>
          <w:szCs w:val="22"/>
          <w:highlight w:val="none"/>
        </w:rPr>
      </w:pPr>
    </w:p>
    <w:p>
      <w:pPr>
        <w:spacing w:line="360" w:lineRule="auto"/>
        <w:rPr>
          <w:sz w:val="24"/>
          <w:szCs w:val="22"/>
          <w:highlight w:val="none"/>
        </w:rPr>
      </w:pPr>
    </w:p>
    <w:p>
      <w:pPr>
        <w:spacing w:line="360" w:lineRule="auto"/>
        <w:rPr>
          <w:sz w:val="24"/>
          <w:szCs w:val="22"/>
          <w:highlight w:val="none"/>
        </w:rPr>
      </w:pPr>
    </w:p>
    <w:p>
      <w:pPr>
        <w:spacing w:line="360" w:lineRule="auto"/>
        <w:rPr>
          <w:sz w:val="24"/>
          <w:highlight w:val="none"/>
        </w:rPr>
      </w:pPr>
      <w:r>
        <w:rPr>
          <w:rFonts w:ascii="Calibri" w:hAnsi="Calibri" w:eastAsia="宋体" w:cs="Times New Roman"/>
          <w:sz w:val="24"/>
          <w:szCs w:val="22"/>
          <w:highlight w:val="none"/>
        </w:rPr>
        <w:br w:type="textWrapping"/>
      </w:r>
      <w:r>
        <w:rPr>
          <w:rFonts w:hint="eastAsia" w:ascii="Calibri" w:hAnsi="Calibri" w:eastAsia="宋体" w:cs="宋体"/>
          <w:sz w:val="24"/>
          <w:highlight w:val="none"/>
        </w:rPr>
        <w:t>竞标人名称：（加盖公章）</w:t>
      </w:r>
    </w:p>
    <w:p>
      <w:pPr>
        <w:spacing w:line="360" w:lineRule="auto"/>
        <w:rPr>
          <w:sz w:val="24"/>
          <w:highlight w:val="none"/>
        </w:rPr>
      </w:pPr>
      <w:r>
        <w:rPr>
          <w:rFonts w:hint="eastAsia" w:ascii="Calibri" w:hAnsi="Calibri" w:eastAsia="宋体" w:cs="宋体"/>
          <w:sz w:val="24"/>
          <w:highlight w:val="none"/>
        </w:rPr>
        <w:t>法定代表人或其代理人：（签字）</w:t>
      </w:r>
    </w:p>
    <w:p>
      <w:pPr>
        <w:spacing w:line="360" w:lineRule="auto"/>
        <w:rPr>
          <w:rFonts w:ascii="黑体" w:hAnsi="Calibri" w:eastAsia="黑体" w:cs="黑体"/>
          <w:sz w:val="30"/>
          <w:szCs w:val="22"/>
          <w:highlight w:val="none"/>
        </w:rPr>
      </w:pPr>
    </w:p>
    <w:p>
      <w:pPr>
        <w:widowControl/>
        <w:jc w:val="left"/>
        <w:rPr>
          <w:rFonts w:eastAsia="黑体"/>
          <w:b/>
          <w:sz w:val="28"/>
          <w:szCs w:val="22"/>
          <w:highlight w:val="none"/>
        </w:rPr>
      </w:pPr>
      <w:r>
        <w:rPr>
          <w:rFonts w:hint="eastAsia" w:ascii="宋体" w:hAnsi="宋体" w:eastAsia="宋体" w:cs="Times New Roman"/>
          <w:sz w:val="24"/>
          <w:szCs w:val="22"/>
          <w:highlight w:val="none"/>
        </w:rPr>
        <w:br w:type="page"/>
      </w: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4</w:t>
      </w:r>
    </w:p>
    <w:p>
      <w:pPr>
        <w:widowControl/>
        <w:jc w:val="center"/>
        <w:rPr>
          <w:rFonts w:eastAsia="黑体"/>
          <w:b/>
          <w:sz w:val="28"/>
          <w:szCs w:val="22"/>
          <w:highlight w:val="none"/>
        </w:rPr>
      </w:pPr>
      <w:r>
        <w:rPr>
          <w:rFonts w:hint="eastAsia" w:ascii="Calibri" w:hAnsi="Calibri" w:eastAsia="黑体" w:cs="黑体"/>
          <w:b/>
          <w:sz w:val="28"/>
          <w:szCs w:val="22"/>
          <w:highlight w:val="none"/>
        </w:rPr>
        <w:t>开标一览表</w:t>
      </w:r>
    </w:p>
    <w:p>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项目名称：</w:t>
      </w:r>
    </w:p>
    <w:p>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投标人名称（公章）：</w:t>
      </w:r>
    </w:p>
    <w:p>
      <w:pPr>
        <w:spacing w:before="6"/>
        <w:ind w:right="88"/>
        <w:jc w:val="left"/>
        <w:rPr>
          <w:rFonts w:ascii="宋体" w:hAnsi="宋体" w:eastAsia="宋体" w:cs="宋体"/>
          <w:color w:val="000000"/>
          <w:sz w:val="24"/>
          <w:highlight w:val="none"/>
          <w:u w:val="single"/>
        </w:rPr>
      </w:pPr>
      <w:r>
        <w:rPr>
          <w:rFonts w:hint="eastAsia" w:ascii="Calibri" w:hAnsi="Calibri" w:eastAsia="宋体" w:cs="宋体"/>
          <w:sz w:val="24"/>
          <w:highlight w:val="none"/>
        </w:rPr>
        <w:t>投标人代表签字：</w:t>
      </w:r>
    </w:p>
    <w:p>
      <w:pPr>
        <w:spacing w:before="62"/>
        <w:ind w:right="88"/>
        <w:jc w:val="right"/>
        <w:rPr>
          <w:rFonts w:ascii="宋体" w:hAnsi="宋体" w:eastAsia="宋体" w:cs="宋体"/>
          <w:color w:val="000000"/>
          <w:sz w:val="24"/>
          <w:highlight w:val="none"/>
        </w:rPr>
      </w:pPr>
      <w:r>
        <w:rPr>
          <w:rFonts w:hint="eastAsia" w:ascii="宋体" w:hAnsi="宋体" w:eastAsia="宋体" w:cs="宋体"/>
          <w:color w:val="000000"/>
          <w:sz w:val="24"/>
          <w:highlight w:val="none"/>
        </w:rPr>
        <w:t>价格单位：元</w:t>
      </w:r>
    </w:p>
    <w:tbl>
      <w:tblPr>
        <w:tblStyle w:val="40"/>
        <w:tblW w:w="11645" w:type="dxa"/>
        <w:jc w:val="center"/>
        <w:tblLayout w:type="fixed"/>
        <w:tblCellMar>
          <w:top w:w="0" w:type="dxa"/>
          <w:left w:w="108" w:type="dxa"/>
          <w:bottom w:w="0" w:type="dxa"/>
          <w:right w:w="108" w:type="dxa"/>
        </w:tblCellMar>
      </w:tblPr>
      <w:tblGrid>
        <w:gridCol w:w="2552"/>
        <w:gridCol w:w="3031"/>
        <w:gridCol w:w="3031"/>
        <w:gridCol w:w="3031"/>
      </w:tblGrid>
      <w:tr>
        <w:tblPrEx>
          <w:tblCellMar>
            <w:top w:w="0" w:type="dxa"/>
            <w:left w:w="108" w:type="dxa"/>
            <w:bottom w:w="0" w:type="dxa"/>
            <w:right w:w="108" w:type="dxa"/>
          </w:tblCellMar>
        </w:tblPrEx>
        <w:trPr>
          <w:trHeight w:val="748" w:hRule="atLeast"/>
          <w:jc w:val="center"/>
        </w:trPr>
        <w:tc>
          <w:tcPr>
            <w:tcW w:w="2552" w:type="dxa"/>
            <w:tcBorders>
              <w:top w:val="single" w:color="000000" w:sz="12" w:space="0"/>
              <w:left w:val="single" w:color="auto" w:sz="4" w:space="0"/>
              <w:bottom w:val="single" w:color="000000" w:sz="8" w:space="0"/>
              <w:right w:val="single" w:color="000000" w:sz="8" w:space="0"/>
            </w:tcBorders>
            <w:shd w:val="clear" w:color="auto" w:fill="auto"/>
            <w:vAlign w:val="center"/>
          </w:tcPr>
          <w:p>
            <w:pPr>
              <w:jc w:val="center"/>
              <w:rPr>
                <w:rFonts w:ascii="宋体" w:hAnsi="宋体" w:eastAsia="宋体" w:cs="宋体"/>
                <w:color w:val="000000"/>
                <w:sz w:val="24"/>
                <w:highlight w:val="none"/>
              </w:rPr>
            </w:pPr>
            <w:r>
              <w:rPr>
                <w:rFonts w:hint="eastAsia" w:ascii="宋体" w:hAnsi="宋体" w:eastAsia="宋体" w:cs="宋体"/>
                <w:color w:val="000000"/>
                <w:sz w:val="24"/>
                <w:highlight w:val="none"/>
              </w:rPr>
              <w:t>项目名称</w:t>
            </w:r>
          </w:p>
        </w:tc>
        <w:tc>
          <w:tcPr>
            <w:tcW w:w="3031" w:type="dxa"/>
            <w:tcBorders>
              <w:top w:val="single" w:color="000000" w:sz="12" w:space="0"/>
              <w:left w:val="nil"/>
              <w:bottom w:val="single" w:color="000000" w:sz="8" w:space="0"/>
              <w:right w:val="single" w:color="000000" w:sz="12" w:space="0"/>
            </w:tcBorders>
            <w:shd w:val="clear" w:color="auto" w:fill="auto"/>
            <w:vAlign w:val="center"/>
          </w:tcPr>
          <w:p>
            <w:pPr>
              <w:jc w:val="center"/>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不含税</w:t>
            </w:r>
            <w:r>
              <w:rPr>
                <w:rFonts w:hint="eastAsia" w:ascii="宋体" w:hAnsi="宋体" w:eastAsia="宋体" w:cs="宋体"/>
                <w:color w:val="000000"/>
                <w:sz w:val="24"/>
                <w:highlight w:val="none"/>
                <w:lang w:eastAsia="zh-CN"/>
              </w:rPr>
              <w:t>）</w:t>
            </w:r>
          </w:p>
        </w:tc>
        <w:tc>
          <w:tcPr>
            <w:tcW w:w="3031" w:type="dxa"/>
            <w:tcBorders>
              <w:top w:val="single" w:color="000000" w:sz="12" w:space="0"/>
              <w:left w:val="nil"/>
              <w:bottom w:val="single" w:color="000000" w:sz="8" w:space="0"/>
              <w:right w:val="single" w:color="000000" w:sz="12" w:space="0"/>
            </w:tcBorders>
            <w:shd w:val="clear" w:color="auto" w:fill="auto"/>
            <w:vAlign w:val="center"/>
          </w:tcPr>
          <w:p>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税率</w:t>
            </w:r>
          </w:p>
        </w:tc>
        <w:tc>
          <w:tcPr>
            <w:tcW w:w="3031" w:type="dxa"/>
            <w:tcBorders>
              <w:top w:val="single" w:color="000000" w:sz="12" w:space="0"/>
              <w:left w:val="nil"/>
              <w:bottom w:val="single" w:color="000000" w:sz="8" w:space="0"/>
              <w:right w:val="single" w:color="000000" w:sz="12" w:space="0"/>
            </w:tcBorders>
            <w:shd w:val="clear" w:color="auto" w:fill="auto"/>
            <w:vAlign w:val="center"/>
          </w:tcPr>
          <w:p>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含税</w:t>
            </w:r>
            <w:r>
              <w:rPr>
                <w:rFonts w:hint="eastAsia" w:ascii="宋体" w:hAnsi="宋体" w:eastAsia="宋体" w:cs="宋体"/>
                <w:color w:val="000000"/>
                <w:sz w:val="24"/>
                <w:highlight w:val="none"/>
                <w:lang w:eastAsia="zh-CN"/>
              </w:rPr>
              <w:t>）</w:t>
            </w:r>
          </w:p>
        </w:tc>
      </w:tr>
      <w:tr>
        <w:tblPrEx>
          <w:tblCellMar>
            <w:top w:w="0" w:type="dxa"/>
            <w:left w:w="108" w:type="dxa"/>
            <w:bottom w:w="0" w:type="dxa"/>
            <w:right w:w="108" w:type="dxa"/>
          </w:tblCellMar>
        </w:tblPrEx>
        <w:trPr>
          <w:trHeight w:val="748" w:hRule="atLeast"/>
          <w:jc w:val="center"/>
        </w:trPr>
        <w:tc>
          <w:tcPr>
            <w:tcW w:w="2552" w:type="dxa"/>
            <w:tcBorders>
              <w:top w:val="nil"/>
              <w:left w:val="single" w:color="auto" w:sz="4" w:space="0"/>
              <w:bottom w:val="single" w:color="000000" w:sz="8" w:space="0"/>
              <w:right w:val="single" w:color="000000" w:sz="8" w:space="0"/>
            </w:tcBorders>
            <w:shd w:val="clear" w:color="auto" w:fill="auto"/>
            <w:vAlign w:val="center"/>
          </w:tcPr>
          <w:p>
            <w:pPr>
              <w:jc w:val="center"/>
              <w:rPr>
                <w:rFonts w:ascii="宋体" w:hAnsi="宋体" w:eastAsia="宋体" w:cs="宋体"/>
                <w:b/>
                <w:sz w:val="48"/>
                <w:szCs w:val="48"/>
                <w:highlight w:val="none"/>
                <w:lang w:bidi="ar"/>
              </w:rPr>
            </w:pPr>
            <w:r>
              <w:rPr>
                <w:rFonts w:hint="eastAsia" w:ascii="宋体" w:hAnsi="宋体" w:eastAsia="宋体" w:cs="宋体"/>
                <w:b/>
                <w:sz w:val="24"/>
                <w:szCs w:val="24"/>
                <w:highlight w:val="none"/>
                <w:lang w:bidi="ar"/>
              </w:rPr>
              <w:t>重汽汽金平安租赁业务九恒星系统改造项目</w:t>
            </w:r>
          </w:p>
        </w:tc>
        <w:tc>
          <w:tcPr>
            <w:tcW w:w="3031" w:type="dxa"/>
            <w:tcBorders>
              <w:top w:val="nil"/>
              <w:left w:val="nil"/>
              <w:bottom w:val="single" w:color="000000" w:sz="8" w:space="0"/>
              <w:right w:val="single" w:color="000000" w:sz="12" w:space="0"/>
            </w:tcBorders>
            <w:shd w:val="clear" w:color="auto" w:fill="auto"/>
            <w:vAlign w:val="center"/>
          </w:tcPr>
          <w:p>
            <w:pPr>
              <w:jc w:val="center"/>
              <w:rPr>
                <w:rFonts w:ascii="宋体" w:hAnsi="宋体" w:eastAsia="宋体" w:cs="宋体"/>
                <w:sz w:val="24"/>
                <w:highlight w:val="none"/>
              </w:rPr>
            </w:pPr>
          </w:p>
        </w:tc>
        <w:tc>
          <w:tcPr>
            <w:tcW w:w="3031" w:type="dxa"/>
            <w:tcBorders>
              <w:top w:val="nil"/>
              <w:left w:val="nil"/>
              <w:bottom w:val="single" w:color="000000" w:sz="8" w:space="0"/>
              <w:right w:val="single" w:color="000000" w:sz="12" w:space="0"/>
            </w:tcBorders>
            <w:shd w:val="clear" w:color="auto" w:fill="auto"/>
            <w:vAlign w:val="center"/>
          </w:tcPr>
          <w:p>
            <w:pPr>
              <w:jc w:val="center"/>
              <w:rPr>
                <w:rFonts w:ascii="宋体" w:hAnsi="宋体" w:eastAsia="宋体" w:cs="宋体"/>
                <w:sz w:val="24"/>
                <w:highlight w:val="none"/>
              </w:rPr>
            </w:pPr>
          </w:p>
        </w:tc>
        <w:tc>
          <w:tcPr>
            <w:tcW w:w="3031" w:type="dxa"/>
            <w:tcBorders>
              <w:top w:val="nil"/>
              <w:left w:val="nil"/>
              <w:bottom w:val="single" w:color="000000" w:sz="8" w:space="0"/>
              <w:right w:val="single" w:color="000000" w:sz="12" w:space="0"/>
            </w:tcBorders>
            <w:shd w:val="clear" w:color="auto" w:fill="auto"/>
            <w:vAlign w:val="center"/>
          </w:tcPr>
          <w:p>
            <w:pPr>
              <w:jc w:val="center"/>
              <w:rPr>
                <w:rFonts w:ascii="宋体" w:hAnsi="宋体" w:eastAsia="宋体" w:cs="宋体"/>
                <w:sz w:val="24"/>
                <w:highlight w:val="none"/>
              </w:rPr>
            </w:pPr>
          </w:p>
        </w:tc>
      </w:tr>
    </w:tbl>
    <w:p>
      <w:pPr>
        <w:pStyle w:val="16"/>
        <w:spacing w:before="48"/>
        <w:ind w:left="400" w:hanging="400"/>
        <w:rPr>
          <w:sz w:val="24"/>
          <w:szCs w:val="24"/>
          <w:highlight w:val="none"/>
        </w:rPr>
      </w:pPr>
    </w:p>
    <w:p>
      <w:pPr>
        <w:pStyle w:val="16"/>
        <w:spacing w:before="48"/>
        <w:ind w:left="400" w:hanging="400"/>
        <w:rPr>
          <w:rFonts w:ascii="宋体" w:hAnsi="宋体" w:cs="宋体"/>
          <w:spacing w:val="-1"/>
          <w:sz w:val="24"/>
          <w:szCs w:val="24"/>
          <w:highlight w:val="none"/>
        </w:rPr>
      </w:pPr>
      <w:r>
        <w:rPr>
          <w:rFonts w:hint="eastAsia" w:ascii="宋体" w:hAnsi="宋体" w:cs="宋体"/>
          <w:sz w:val="24"/>
          <w:szCs w:val="24"/>
          <w:highlight w:val="none"/>
        </w:rPr>
        <w:t>说明：</w:t>
      </w:r>
    </w:p>
    <w:p>
      <w:pPr>
        <w:pStyle w:val="16"/>
        <w:numPr>
          <w:ilvl w:val="0"/>
          <w:numId w:val="7"/>
        </w:numPr>
        <w:spacing w:before="48"/>
        <w:ind w:left="400" w:hanging="400"/>
        <w:rPr>
          <w:rFonts w:ascii="宋体" w:hAnsi="宋体" w:cs="宋体"/>
          <w:sz w:val="24"/>
          <w:szCs w:val="24"/>
          <w:highlight w:val="none"/>
        </w:rPr>
      </w:pPr>
      <w:r>
        <w:rPr>
          <w:rFonts w:hint="eastAsia" w:ascii="宋体" w:hAnsi="宋体" w:cs="宋体"/>
          <w:sz w:val="24"/>
          <w:szCs w:val="24"/>
          <w:highlight w:val="none"/>
        </w:rPr>
        <w:t>开标一览表中“投标总价”是指提供服务的全部费用的报价。</w:t>
      </w:r>
    </w:p>
    <w:p>
      <w:pPr>
        <w:pStyle w:val="16"/>
        <w:spacing w:before="48"/>
        <w:ind w:left="400" w:hanging="400"/>
        <w:rPr>
          <w:rFonts w:ascii="宋体" w:hAnsi="宋体" w:cs="宋体"/>
          <w:color w:val="000000"/>
          <w:sz w:val="24"/>
          <w:szCs w:val="24"/>
          <w:highlight w:val="none"/>
        </w:rPr>
      </w:pPr>
      <w:r>
        <w:rPr>
          <w:rFonts w:ascii="宋体" w:hAnsi="宋体" w:cs="宋体"/>
          <w:color w:val="000000"/>
          <w:sz w:val="24"/>
          <w:szCs w:val="24"/>
          <w:highlight w:val="none"/>
        </w:rPr>
        <w:t>2</w:t>
      </w:r>
      <w:r>
        <w:rPr>
          <w:rFonts w:hint="eastAsia" w:ascii="宋体" w:hAnsi="宋体" w:cs="宋体"/>
          <w:color w:val="000000"/>
          <w:sz w:val="24"/>
          <w:szCs w:val="24"/>
          <w:highlight w:val="none"/>
        </w:rPr>
        <w:t>、投标人严格按照规定的格式填写。</w:t>
      </w:r>
    </w:p>
    <w:p>
      <w:pPr>
        <w:rPr>
          <w:rFonts w:ascii="宋体" w:hAnsi="宋体" w:eastAsia="宋体" w:cs="宋体"/>
          <w:color w:val="000000"/>
          <w:sz w:val="24"/>
          <w:highlight w:val="none"/>
        </w:rPr>
      </w:pPr>
    </w:p>
    <w:p>
      <w:pPr>
        <w:spacing w:before="2"/>
        <w:rPr>
          <w:rFonts w:ascii="宋体" w:hAnsi="宋体" w:eastAsia="宋体" w:cs="宋体"/>
          <w:color w:val="000000"/>
          <w:highlight w:val="none"/>
        </w:rPr>
      </w:pPr>
    </w:p>
    <w:p>
      <w:pPr>
        <w:pStyle w:val="16"/>
        <w:spacing w:before="48"/>
        <w:ind w:left="400" w:hanging="400"/>
        <w:jc w:val="right"/>
        <w:rPr>
          <w:rFonts w:ascii="宋体" w:hAnsi="宋体" w:cs="宋体"/>
          <w:color w:val="000000"/>
          <w:sz w:val="24"/>
          <w:szCs w:val="24"/>
          <w:highlight w:val="none"/>
        </w:rPr>
      </w:pPr>
      <w:r>
        <w:rPr>
          <w:rFonts w:hint="eastAsia" w:ascii="宋体" w:hAnsi="宋体" w:cs="宋体"/>
          <w:color w:val="000000"/>
          <w:sz w:val="24"/>
          <w:szCs w:val="24"/>
          <w:highlight w:val="none"/>
        </w:rPr>
        <w:t>日期：  年 月  日</w:t>
      </w: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5</w:t>
      </w:r>
    </w:p>
    <w:p>
      <w:pPr>
        <w:jc w:val="center"/>
        <w:rPr>
          <w:rFonts w:eastAsia="黑体"/>
          <w:b/>
          <w:sz w:val="28"/>
          <w:szCs w:val="22"/>
          <w:highlight w:val="none"/>
        </w:rPr>
      </w:pPr>
      <w:r>
        <w:rPr>
          <w:rFonts w:hint="eastAsia" w:ascii="Calibri" w:hAnsi="Calibri" w:eastAsia="黑体" w:cs="黑体"/>
          <w:b/>
          <w:sz w:val="28"/>
          <w:szCs w:val="22"/>
          <w:highlight w:val="none"/>
        </w:rPr>
        <w:t>商务条款偏离表</w:t>
      </w:r>
    </w:p>
    <w:p>
      <w:pPr>
        <w:rPr>
          <w:rFonts w:eastAsia="黑体"/>
          <w:b/>
          <w:sz w:val="22"/>
          <w:szCs w:val="22"/>
          <w:highlight w:val="none"/>
        </w:rPr>
      </w:pPr>
    </w:p>
    <w:tbl>
      <w:tblPr>
        <w:tblStyle w:val="40"/>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79"/>
        <w:gridCol w:w="3060"/>
        <w:gridCol w:w="1079"/>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413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55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bl>
    <w:p>
      <w:pPr>
        <w:rPr>
          <w:rFonts w:ascii="宋体" w:hAnsi="宋体" w:eastAsia="宋体" w:cs="宋体"/>
          <w:sz w:val="24"/>
          <w:szCs w:val="22"/>
          <w:highlight w:val="none"/>
        </w:rPr>
      </w:pPr>
      <w:r>
        <w:rPr>
          <w:rFonts w:hint="eastAsia" w:ascii="宋体" w:hAnsi="宋体" w:eastAsia="宋体" w:cs="宋体"/>
          <w:sz w:val="24"/>
          <w:szCs w:val="22"/>
          <w:highlight w:val="none"/>
        </w:rPr>
        <w:t>投标人名称：                   投标人代表签字：            日期：</w:t>
      </w:r>
    </w:p>
    <w:p>
      <w:pPr>
        <w:rPr>
          <w:rFonts w:ascii="宋体" w:hAnsi="宋体" w:eastAsia="宋体" w:cs="宋体"/>
          <w:sz w:val="24"/>
          <w:szCs w:val="22"/>
          <w:highlight w:val="none"/>
        </w:rPr>
      </w:pPr>
      <w:r>
        <w:rPr>
          <w:rFonts w:hint="eastAsia" w:ascii="宋体" w:hAnsi="宋体" w:eastAsia="宋体" w:cs="宋体"/>
          <w:sz w:val="24"/>
          <w:szCs w:val="22"/>
          <w:highlight w:val="none"/>
        </w:rPr>
        <w:t>注：为避免歧义，无偏离也应要提报该表，并注明“无”字。如无该表则即使在</w:t>
      </w:r>
      <w:r>
        <w:rPr>
          <w:rFonts w:hint="eastAsia" w:ascii="宋体" w:hAnsi="宋体" w:eastAsia="宋体" w:cs="宋体"/>
          <w:sz w:val="24"/>
          <w:szCs w:val="22"/>
          <w:highlight w:val="none"/>
          <w:lang w:eastAsia="zh-CN"/>
        </w:rPr>
        <w:t>其他部分</w:t>
      </w:r>
      <w:r>
        <w:rPr>
          <w:rFonts w:hint="eastAsia" w:ascii="宋体" w:hAnsi="宋体" w:eastAsia="宋体" w:cs="宋体"/>
          <w:sz w:val="24"/>
          <w:szCs w:val="22"/>
          <w:highlight w:val="none"/>
        </w:rPr>
        <w:t>已反映，将也被视为“无偏离”。</w:t>
      </w:r>
    </w:p>
    <w:p>
      <w:pPr>
        <w:rPr>
          <w:rFonts w:ascii="宋体" w:hAnsi="宋体" w:eastAsia="宋体" w:cs="宋体"/>
          <w:sz w:val="24"/>
          <w:szCs w:val="22"/>
          <w:highlight w:val="none"/>
        </w:rPr>
      </w:pPr>
    </w:p>
    <w:p>
      <w:pPr>
        <w:rPr>
          <w:rFonts w:ascii="Calibri" w:hAnsi="Calibri" w:eastAsia="黑体" w:cs="黑体"/>
          <w:b/>
          <w:sz w:val="28"/>
          <w:szCs w:val="22"/>
          <w:highlight w:val="none"/>
        </w:rPr>
      </w:pPr>
    </w:p>
    <w:p>
      <w:pPr>
        <w:rPr>
          <w:rFonts w:ascii="Calibri" w:hAnsi="Calibri" w:eastAsia="黑体" w:cs="黑体"/>
          <w:b/>
          <w:sz w:val="28"/>
          <w:szCs w:val="22"/>
          <w:highlight w:val="none"/>
        </w:rPr>
      </w:pPr>
    </w:p>
    <w:p>
      <w:pPr>
        <w:pStyle w:val="2"/>
        <w:rPr>
          <w:rFonts w:ascii="Calibri" w:hAnsi="Calibri" w:eastAsia="黑体" w:cs="黑体"/>
          <w:b/>
          <w:sz w:val="28"/>
          <w:szCs w:val="22"/>
          <w:highlight w:val="none"/>
        </w:rPr>
      </w:pPr>
    </w:p>
    <w:p>
      <w:pPr>
        <w:rPr>
          <w:rFonts w:eastAsia="黑体"/>
          <w:b/>
          <w:sz w:val="28"/>
          <w:szCs w:val="22"/>
          <w:highlight w:val="none"/>
        </w:rPr>
      </w:pPr>
      <w:r>
        <w:rPr>
          <w:rFonts w:hint="eastAsia" w:ascii="Calibri" w:hAnsi="Calibri" w:eastAsia="黑体" w:cs="黑体"/>
          <w:b/>
          <w:sz w:val="28"/>
          <w:szCs w:val="22"/>
          <w:highlight w:val="none"/>
        </w:rPr>
        <w:t>附件</w:t>
      </w:r>
      <w:r>
        <w:rPr>
          <w:rFonts w:hint="eastAsia" w:ascii="Calibri" w:hAnsi="Calibri" w:eastAsia="黑体" w:cs="Times New Roman"/>
          <w:b/>
          <w:sz w:val="28"/>
          <w:szCs w:val="22"/>
          <w:highlight w:val="none"/>
        </w:rPr>
        <w:t>6</w:t>
      </w:r>
    </w:p>
    <w:p>
      <w:pPr>
        <w:jc w:val="center"/>
        <w:rPr>
          <w:rFonts w:eastAsia="黑体"/>
          <w:b/>
          <w:sz w:val="28"/>
          <w:szCs w:val="22"/>
          <w:highlight w:val="none"/>
        </w:rPr>
      </w:pPr>
      <w:r>
        <w:rPr>
          <w:rFonts w:hint="eastAsia" w:ascii="Calibri" w:hAnsi="Calibri" w:eastAsia="黑体" w:cs="黑体"/>
          <w:b/>
          <w:sz w:val="28"/>
          <w:szCs w:val="22"/>
          <w:highlight w:val="none"/>
        </w:rPr>
        <w:t>技术规格、参数偏离表</w:t>
      </w:r>
    </w:p>
    <w:p>
      <w:pPr>
        <w:rPr>
          <w:rFonts w:ascii="宋体" w:hAnsi="宋体" w:eastAsia="宋体" w:cs="宋体"/>
          <w:sz w:val="24"/>
          <w:szCs w:val="22"/>
          <w:highlight w:val="none"/>
        </w:rPr>
      </w:pPr>
    </w:p>
    <w:tbl>
      <w:tblPr>
        <w:tblStyle w:val="40"/>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079"/>
        <w:gridCol w:w="2893"/>
        <w:gridCol w:w="1109"/>
        <w:gridCol w:w="26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397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72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宋体" w:hAnsi="宋体" w:eastAsia="宋体" w:cs="宋体"/>
                <w:sz w:val="24"/>
                <w:szCs w:val="22"/>
                <w:highlight w:val="none"/>
              </w:rPr>
            </w:pPr>
          </w:p>
        </w:tc>
      </w:tr>
    </w:tbl>
    <w:p>
      <w:pPr>
        <w:rPr>
          <w:sz w:val="24"/>
          <w:highlight w:val="none"/>
        </w:rPr>
      </w:pPr>
      <w:r>
        <w:rPr>
          <w:rFonts w:hint="eastAsia" w:ascii="Calibri" w:hAnsi="Calibri" w:eastAsia="宋体" w:cs="宋体"/>
          <w:sz w:val="24"/>
          <w:highlight w:val="none"/>
        </w:rPr>
        <w:t>投标人名称：投标人代表签字：日期：</w:t>
      </w:r>
    </w:p>
    <w:p>
      <w:pPr>
        <w:rPr>
          <w:rFonts w:hint="eastAsia" w:ascii="宋体" w:hAnsi="宋体" w:eastAsia="宋体" w:cs="Times New Roman"/>
          <w:b/>
          <w:sz w:val="36"/>
          <w:szCs w:val="36"/>
        </w:rPr>
      </w:pPr>
      <w:r>
        <w:rPr>
          <w:rFonts w:hint="eastAsia" w:ascii="Calibri" w:hAnsi="Calibri" w:eastAsia="宋体" w:cs="宋体"/>
          <w:sz w:val="24"/>
          <w:highlight w:val="none"/>
        </w:rPr>
        <w:t>注：为避免歧义，无偏离也应要提报该表，并注明“无”字。如无该表则即使在</w:t>
      </w:r>
      <w:r>
        <w:rPr>
          <w:rFonts w:hint="eastAsia" w:ascii="Calibri" w:hAnsi="Calibri" w:eastAsia="宋体" w:cs="宋体"/>
          <w:sz w:val="24"/>
          <w:highlight w:val="none"/>
          <w:lang w:eastAsia="zh-CN"/>
        </w:rPr>
        <w:t>其他部分</w:t>
      </w:r>
      <w:r>
        <w:rPr>
          <w:rFonts w:hint="eastAsia" w:ascii="Calibri" w:hAnsi="Calibri" w:eastAsia="宋体" w:cs="宋体"/>
          <w:sz w:val="24"/>
          <w:highlight w:val="none"/>
        </w:rPr>
        <w:t>已反映，将也被视为“无偏离”。</w:t>
      </w:r>
    </w:p>
    <w:bookmarkEnd w:id="11"/>
    <w:p>
      <w:pPr>
        <w:keepNext/>
        <w:keepLines/>
        <w:jc w:val="center"/>
        <w:outlineLvl w:val="0"/>
        <w:rPr>
          <w:rFonts w:ascii="Calibri" w:hAnsi="Calibri" w:eastAsia="宋体" w:cs="Times New Roman"/>
          <w:b/>
          <w:bCs/>
          <w:kern w:val="44"/>
          <w:sz w:val="36"/>
          <w:szCs w:val="44"/>
        </w:rPr>
      </w:pPr>
      <w:bookmarkStart w:id="61" w:name="_Toc29691"/>
      <w:bookmarkStart w:id="62" w:name="_GoBack"/>
      <w:bookmarkEnd w:id="6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61"/>
    </w:p>
    <w:p>
      <w:pPr>
        <w:keepNext/>
        <w:keepLines/>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1"/>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pStyle w:val="21"/>
        <w:rPr>
          <w:rFonts w:hAnsi="Calibri" w:eastAsia="宋体" w:cs="宋体"/>
          <w:b/>
          <w:bCs/>
          <w:color w:val="000000"/>
          <w:sz w:val="28"/>
          <w:szCs w:val="20"/>
        </w:rPr>
      </w:pPr>
    </w:p>
    <w:p>
      <w:pPr>
        <w:rPr>
          <w:rFonts w:ascii="宋体" w:hAnsi="Calibri" w:eastAsia="宋体" w:cs="宋体"/>
          <w:b/>
          <w:bCs/>
          <w:color w:val="000000"/>
          <w:sz w:val="28"/>
          <w:szCs w:val="20"/>
        </w:rPr>
      </w:pPr>
    </w:p>
    <w:p>
      <w:pPr>
        <w:spacing w:line="360" w:lineRule="auto"/>
        <w:ind w:firstLine="420" w:firstLineChars="200"/>
        <w:rPr>
          <w:rFonts w:hint="eastAsia" w:ascii="宋体" w:hAnsi="宋体" w:eastAsia="宋体" w:cs="Times New Roman"/>
          <w:color w:val="000000"/>
          <w:sz w:val="24"/>
          <w:szCs w:val="24"/>
        </w:rPr>
      </w:pPr>
      <w:r>
        <w:rPr>
          <w:rFonts w:ascii="Calibri" w:hAnsi="Calibri" w:eastAsia="宋体" w:cs="Times New Roman"/>
          <w:szCs w:val="20"/>
        </w:rPr>
        <w:br w:type="page"/>
      </w:r>
    </w:p>
    <w:p>
      <w:pPr>
        <w:pStyle w:val="21"/>
      </w:pPr>
    </w:p>
    <w:p>
      <w:pPr>
        <w:jc w:val="right"/>
        <w:rPr>
          <w:rFonts w:hint="eastAsia" w:asciiTheme="minorEastAsia" w:hAnsiTheme="minorEastAsia" w:cstheme="minorEastAsia"/>
          <w:sz w:val="20"/>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spacing w:before="156" w:beforeLines="50" w:after="156" w:afterLines="50" w:line="360" w:lineRule="auto"/>
        <w:jc w:val="left"/>
        <w:outlineLvl w:val="2"/>
        <w:rPr>
          <w:rFonts w:hint="eastAsia" w:ascii="宋体" w:hAnsi="宋体" w:eastAsia="宋体" w:cs="Times New Roman"/>
          <w:b/>
          <w:bCs/>
          <w:sz w:val="24"/>
          <w:szCs w:val="24"/>
        </w:rPr>
      </w:pPr>
      <w:r>
        <w:rPr>
          <w:rFonts w:hint="eastAsia" w:ascii="宋体" w:hAnsi="宋体" w:eastAsia="宋体" w:cs="Times New Roman"/>
          <w:b/>
          <w:bCs/>
          <w:sz w:val="24"/>
          <w:szCs w:val="24"/>
        </w:rPr>
        <w:t>附件1评分标准</w:t>
      </w:r>
    </w:p>
    <w:tbl>
      <w:tblPr>
        <w:tblStyle w:val="40"/>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1427"/>
        <w:gridCol w:w="6095"/>
        <w:gridCol w:w="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289" w:type="dxa"/>
            <w:tcMar>
              <w:top w:w="15" w:type="dxa"/>
              <w:left w:w="15" w:type="dxa"/>
              <w:bottom w:w="15" w:type="dxa"/>
              <w:right w:w="15" w:type="dxa"/>
            </w:tcMar>
            <w:vAlign w:val="center"/>
          </w:tcPr>
          <w:p>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评分项目</w:t>
            </w:r>
          </w:p>
        </w:tc>
        <w:tc>
          <w:tcPr>
            <w:tcW w:w="1427" w:type="dxa"/>
            <w:tcMar>
              <w:top w:w="15" w:type="dxa"/>
              <w:left w:w="15" w:type="dxa"/>
              <w:bottom w:w="15" w:type="dxa"/>
              <w:right w:w="15" w:type="dxa"/>
            </w:tcMar>
            <w:vAlign w:val="center"/>
          </w:tcPr>
          <w:p>
            <w:pPr>
              <w:widowControl/>
              <w:spacing w:line="360" w:lineRule="auto"/>
              <w:jc w:val="center"/>
              <w:textAlignment w:val="center"/>
              <w:rPr>
                <w:rFonts w:ascii="宋体" w:hAnsi="宋体" w:cs="宋体"/>
                <w:b/>
                <w:kern w:val="0"/>
                <w:sz w:val="24"/>
                <w:highlight w:val="none"/>
              </w:rPr>
            </w:pPr>
            <w:r>
              <w:rPr>
                <w:rFonts w:hint="eastAsia" w:ascii="宋体" w:hAnsi="宋体" w:cs="宋体"/>
                <w:b/>
                <w:kern w:val="0"/>
                <w:sz w:val="24"/>
                <w:highlight w:val="none"/>
              </w:rPr>
              <w:t>评分因素</w:t>
            </w:r>
          </w:p>
        </w:tc>
        <w:tc>
          <w:tcPr>
            <w:tcW w:w="6095" w:type="dxa"/>
            <w:tcMar>
              <w:top w:w="15" w:type="dxa"/>
              <w:left w:w="15" w:type="dxa"/>
              <w:bottom w:w="15" w:type="dxa"/>
              <w:right w:w="15" w:type="dxa"/>
            </w:tcMar>
            <w:vAlign w:val="center"/>
          </w:tcPr>
          <w:p>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说明</w:t>
            </w:r>
          </w:p>
        </w:tc>
        <w:tc>
          <w:tcPr>
            <w:tcW w:w="644" w:type="dxa"/>
            <w:tcMar>
              <w:top w:w="15" w:type="dxa"/>
              <w:left w:w="15" w:type="dxa"/>
              <w:bottom w:w="15" w:type="dxa"/>
              <w:right w:w="15" w:type="dxa"/>
            </w:tcMar>
            <w:vAlign w:val="center"/>
          </w:tcPr>
          <w:p>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分值分配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tcMar>
              <w:top w:w="15" w:type="dxa"/>
              <w:left w:w="15" w:type="dxa"/>
              <w:bottom w:w="15" w:type="dxa"/>
              <w:right w:w="15" w:type="dxa"/>
            </w:tcMar>
            <w:vAlign w:val="center"/>
          </w:tcPr>
          <w:p>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报价部分（</w:t>
            </w:r>
            <w:r>
              <w:rPr>
                <w:rFonts w:hint="eastAsia" w:ascii="宋体" w:hAnsi="宋体" w:cs="宋体"/>
                <w:b/>
                <w:kern w:val="0"/>
                <w:sz w:val="24"/>
                <w:highlight w:val="none"/>
                <w:lang w:val="en-US" w:eastAsia="zh-CN"/>
              </w:rPr>
              <w:t>100</w:t>
            </w:r>
            <w:r>
              <w:rPr>
                <w:rFonts w:hint="eastAsia" w:ascii="宋体" w:hAnsi="宋体" w:cs="宋体"/>
                <w:b/>
                <w:kern w:val="0"/>
                <w:sz w:val="24"/>
                <w:highlight w:val="none"/>
              </w:rPr>
              <w:t>分）</w:t>
            </w:r>
          </w:p>
        </w:tc>
        <w:tc>
          <w:tcPr>
            <w:tcW w:w="1427" w:type="dxa"/>
            <w:tcMar>
              <w:top w:w="15" w:type="dxa"/>
              <w:left w:w="15" w:type="dxa"/>
              <w:bottom w:w="15" w:type="dxa"/>
              <w:right w:w="15" w:type="dxa"/>
            </w:tcMar>
            <w:vAlign w:val="center"/>
          </w:tcPr>
          <w:p>
            <w:pPr>
              <w:spacing w:line="360" w:lineRule="auto"/>
              <w:jc w:val="center"/>
              <w:rPr>
                <w:rFonts w:ascii="宋体" w:hAnsi="宋体" w:eastAsia="宋体" w:cs="宋体"/>
                <w:szCs w:val="21"/>
                <w:highlight w:val="none"/>
              </w:rPr>
            </w:pPr>
            <w:r>
              <w:rPr>
                <w:rFonts w:hint="eastAsia" w:ascii="宋体" w:hAnsi="宋体" w:eastAsia="宋体" w:cs="宋体"/>
                <w:szCs w:val="21"/>
                <w:highlight w:val="none"/>
              </w:rPr>
              <w:t>最终报价</w:t>
            </w:r>
          </w:p>
        </w:tc>
        <w:tc>
          <w:tcPr>
            <w:tcW w:w="6095" w:type="dxa"/>
            <w:tcMar>
              <w:top w:w="15" w:type="dxa"/>
              <w:left w:w="15" w:type="dxa"/>
              <w:bottom w:w="15" w:type="dxa"/>
              <w:right w:w="15" w:type="dxa"/>
            </w:tcMar>
            <w:vAlign w:val="center"/>
          </w:tcPr>
          <w:p>
            <w:pPr>
              <w:widowControl/>
              <w:jc w:val="left"/>
              <w:rPr>
                <w:rFonts w:ascii="宋体" w:hAnsi="宋体" w:eastAsia="宋体"/>
                <w:szCs w:val="21"/>
                <w:highlight w:val="none"/>
              </w:rPr>
            </w:pPr>
            <w:r>
              <w:rPr>
                <w:rFonts w:hint="eastAsia" w:ascii="宋体" w:hAnsi="宋体" w:eastAsia="宋体"/>
                <w:szCs w:val="21"/>
                <w:highlight w:val="none"/>
              </w:rPr>
              <w:t>1.项目设置上限拦标价，上限拦标价为</w:t>
            </w:r>
            <w:r>
              <w:rPr>
                <w:rFonts w:hint="eastAsia" w:ascii="宋体" w:hAnsi="宋体" w:eastAsia="宋体"/>
                <w:szCs w:val="21"/>
                <w:highlight w:val="none"/>
                <w:lang w:val="en-US" w:eastAsia="zh-CN"/>
              </w:rPr>
              <w:t>8.4</w:t>
            </w:r>
            <w:r>
              <w:rPr>
                <w:rFonts w:hint="eastAsia" w:ascii="宋体" w:hAnsi="宋体" w:eastAsia="宋体"/>
                <w:szCs w:val="21"/>
                <w:highlight w:val="none"/>
              </w:rPr>
              <w:t>万元人民币</w:t>
            </w:r>
            <w:r>
              <w:rPr>
                <w:rFonts w:hint="eastAsia" w:ascii="宋体" w:hAnsi="宋体" w:eastAsia="宋体"/>
                <w:szCs w:val="21"/>
                <w:highlight w:val="none"/>
                <w:lang w:eastAsia="zh-CN"/>
              </w:rPr>
              <w:t>（</w:t>
            </w:r>
            <w:r>
              <w:rPr>
                <w:rFonts w:hint="eastAsia" w:ascii="宋体" w:hAnsi="宋体" w:eastAsia="宋体"/>
                <w:szCs w:val="21"/>
                <w:highlight w:val="none"/>
                <w:lang w:val="en-US" w:eastAsia="zh-CN"/>
              </w:rPr>
              <w:t>含税价</w:t>
            </w:r>
            <w:r>
              <w:rPr>
                <w:rFonts w:hint="eastAsia" w:ascii="宋体" w:hAnsi="宋体" w:eastAsia="宋体"/>
                <w:szCs w:val="21"/>
                <w:highlight w:val="none"/>
                <w:lang w:eastAsia="zh-CN"/>
              </w:rPr>
              <w:t>）</w:t>
            </w:r>
            <w:r>
              <w:rPr>
                <w:rFonts w:hint="eastAsia" w:ascii="宋体" w:hAnsi="宋体" w:eastAsia="宋体"/>
                <w:szCs w:val="21"/>
                <w:highlight w:val="none"/>
              </w:rPr>
              <w:t>，投标人应低于上限拦标价报价，否则视为无效报价。</w:t>
            </w:r>
          </w:p>
          <w:p>
            <w:pPr>
              <w:widowControl/>
              <w:jc w:val="left"/>
              <w:rPr>
                <w:rFonts w:ascii="宋体" w:hAnsi="宋体" w:eastAsia="宋体"/>
                <w:szCs w:val="21"/>
                <w:highlight w:val="none"/>
              </w:rPr>
            </w:pPr>
            <w:r>
              <w:rPr>
                <w:rFonts w:hint="eastAsia" w:ascii="宋体" w:hAnsi="宋体" w:eastAsia="宋体"/>
                <w:szCs w:val="21"/>
                <w:highlight w:val="none"/>
              </w:rPr>
              <w:t>2</w:t>
            </w:r>
            <w:r>
              <w:rPr>
                <w:rFonts w:ascii="宋体" w:hAnsi="宋体" w:eastAsia="宋体"/>
                <w:szCs w:val="21"/>
                <w:highlight w:val="none"/>
              </w:rPr>
              <w:t>.</w:t>
            </w:r>
            <w:r>
              <w:rPr>
                <w:rFonts w:hint="eastAsia" w:ascii="宋体" w:hAnsi="宋体" w:eastAsia="宋体"/>
                <w:szCs w:val="21"/>
                <w:highlight w:val="none"/>
              </w:rPr>
              <w:t>经初审合格且进入商务评标阶段的投标文件其投标报价为有效报价。</w:t>
            </w:r>
          </w:p>
          <w:p>
            <w:pPr>
              <w:widowControl/>
              <w:jc w:val="left"/>
              <w:rPr>
                <w:rFonts w:ascii="宋体" w:hAnsi="宋体" w:eastAsia="宋体"/>
                <w:szCs w:val="21"/>
                <w:highlight w:val="none"/>
              </w:rPr>
            </w:pPr>
            <w:r>
              <w:rPr>
                <w:rFonts w:hint="eastAsia" w:ascii="宋体" w:hAnsi="宋体" w:eastAsia="宋体"/>
                <w:szCs w:val="21"/>
                <w:highlight w:val="none"/>
              </w:rPr>
              <w:t>3</w:t>
            </w:r>
            <w:r>
              <w:rPr>
                <w:rFonts w:ascii="宋体" w:hAnsi="宋体" w:eastAsia="宋体"/>
                <w:szCs w:val="21"/>
                <w:highlight w:val="none"/>
              </w:rPr>
              <w:t>.</w:t>
            </w:r>
            <w:r>
              <w:rPr>
                <w:rFonts w:hint="eastAsia"/>
                <w:highlight w:val="none"/>
              </w:rPr>
              <w:t>商务标得分=当前轮次最低价/</w:t>
            </w:r>
            <w:r>
              <w:rPr>
                <w:rFonts w:hint="eastAsia"/>
                <w:highlight w:val="none"/>
                <w:lang w:val="en-US" w:eastAsia="zh-CN"/>
              </w:rPr>
              <w:t>投标方</w:t>
            </w:r>
            <w:r>
              <w:rPr>
                <w:rFonts w:hint="eastAsia"/>
                <w:highlight w:val="none"/>
              </w:rPr>
              <w:t>投标价×商务标总分</w:t>
            </w:r>
            <w:r>
              <w:rPr>
                <w:rFonts w:hint="eastAsia" w:ascii="宋体" w:hAnsi="宋体" w:eastAsia="宋体"/>
                <w:szCs w:val="21"/>
                <w:highlight w:val="none"/>
              </w:rPr>
              <w:t>。</w:t>
            </w:r>
          </w:p>
          <w:p>
            <w:pPr>
              <w:pStyle w:val="130"/>
              <w:widowControl/>
              <w:spacing w:line="276" w:lineRule="auto"/>
              <w:ind w:firstLine="0" w:firstLineChars="0"/>
              <w:rPr>
                <w:rFonts w:hint="eastAsia" w:ascii="宋体" w:hAnsi="宋体" w:eastAsia="宋体" w:cs="宋体"/>
                <w:szCs w:val="21"/>
                <w:highlight w:val="none"/>
                <w:lang w:eastAsia="zh-CN"/>
              </w:rPr>
            </w:pPr>
            <w:r>
              <w:rPr>
                <w:rFonts w:ascii="宋体" w:hAnsi="宋体" w:eastAsia="宋体"/>
                <w:szCs w:val="21"/>
                <w:highlight w:val="none"/>
              </w:rPr>
              <w:t>4</w:t>
            </w:r>
            <w:r>
              <w:rPr>
                <w:rFonts w:hint="eastAsia" w:ascii="宋体" w:hAnsi="宋体" w:eastAsia="宋体"/>
                <w:szCs w:val="21"/>
                <w:highlight w:val="none"/>
              </w:rPr>
              <w:t>.评标价格均以元（RMB）为单位计算</w:t>
            </w:r>
            <w:r>
              <w:rPr>
                <w:rFonts w:hint="eastAsia" w:ascii="宋体" w:hAnsi="宋体" w:eastAsia="宋体"/>
                <w:szCs w:val="21"/>
                <w:highlight w:val="none"/>
                <w:lang w:eastAsia="zh-CN"/>
              </w:rPr>
              <w:t>。</w:t>
            </w:r>
          </w:p>
        </w:tc>
        <w:tc>
          <w:tcPr>
            <w:tcW w:w="644" w:type="dxa"/>
            <w:tcMar>
              <w:top w:w="15" w:type="dxa"/>
              <w:left w:w="15" w:type="dxa"/>
              <w:bottom w:w="15" w:type="dxa"/>
              <w:right w:w="15" w:type="dxa"/>
            </w:tcMar>
            <w:vAlign w:val="center"/>
          </w:tcPr>
          <w:p>
            <w:pPr>
              <w:widowControl/>
              <w:spacing w:line="360" w:lineRule="auto"/>
              <w:jc w:val="center"/>
              <w:textAlignment w:val="center"/>
              <w:rPr>
                <w:rFonts w:hint="default" w:ascii="宋体" w:hAnsi="宋体" w:cs="宋体" w:eastAsiaTheme="minorEastAsia"/>
                <w:sz w:val="24"/>
                <w:highlight w:val="none"/>
                <w:lang w:val="en-US" w:eastAsia="zh-CN"/>
              </w:rPr>
            </w:pPr>
            <w:r>
              <w:rPr>
                <w:rFonts w:hint="eastAsia" w:ascii="宋体" w:hAnsi="宋体" w:cs="宋体"/>
                <w:sz w:val="24"/>
                <w:highlight w:val="no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8811" w:type="dxa"/>
            <w:gridSpan w:val="3"/>
            <w:tcMar>
              <w:top w:w="15" w:type="dxa"/>
              <w:left w:w="15" w:type="dxa"/>
              <w:bottom w:w="15" w:type="dxa"/>
              <w:right w:w="15" w:type="dxa"/>
            </w:tcMar>
            <w:vAlign w:val="center"/>
          </w:tcPr>
          <w:p>
            <w:pPr>
              <w:pStyle w:val="130"/>
              <w:widowControl/>
              <w:spacing w:line="276" w:lineRule="auto"/>
              <w:ind w:firstLine="0" w:firstLineChars="0"/>
              <w:jc w:val="center"/>
              <w:rPr>
                <w:rFonts w:ascii="宋体" w:hAnsi="宋体" w:cs="宋体"/>
                <w:sz w:val="24"/>
                <w:highlight w:val="none"/>
              </w:rPr>
            </w:pPr>
            <w:r>
              <w:rPr>
                <w:rFonts w:hint="eastAsia" w:ascii="宋体" w:hAnsi="宋体" w:cs="宋体"/>
                <w:kern w:val="0"/>
                <w:sz w:val="24"/>
                <w:highlight w:val="none"/>
              </w:rPr>
              <w:t>合计</w:t>
            </w:r>
          </w:p>
        </w:tc>
        <w:tc>
          <w:tcPr>
            <w:tcW w:w="644" w:type="dxa"/>
            <w:tcMar>
              <w:top w:w="15" w:type="dxa"/>
              <w:left w:w="15" w:type="dxa"/>
              <w:bottom w:w="15" w:type="dxa"/>
              <w:right w:w="15" w:type="dxa"/>
            </w:tcMar>
            <w:vAlign w:val="center"/>
          </w:tcPr>
          <w:p>
            <w:pPr>
              <w:pStyle w:val="130"/>
              <w:widowControl/>
              <w:spacing w:line="360" w:lineRule="auto"/>
              <w:ind w:firstLine="0" w:firstLineChars="0"/>
              <w:jc w:val="center"/>
              <w:rPr>
                <w:rFonts w:ascii="宋体" w:hAnsi="宋体" w:cs="宋体"/>
                <w:sz w:val="24"/>
                <w:highlight w:val="none"/>
              </w:rPr>
            </w:pPr>
            <w:r>
              <w:rPr>
                <w:rFonts w:hint="eastAsia" w:ascii="宋体" w:hAnsi="宋体" w:cs="宋体"/>
                <w:sz w:val="24"/>
                <w:highlight w:val="none"/>
              </w:rPr>
              <w:t>100</w:t>
            </w:r>
          </w:p>
        </w:tc>
      </w:tr>
    </w:tbl>
    <w:p>
      <w:pPr>
        <w:pStyle w:val="2"/>
        <w:rPr>
          <w:rFonts w:hint="eastAsia"/>
        </w:rPr>
      </w:pPr>
    </w:p>
    <w:p>
      <w:pPr>
        <w:pStyle w:val="21"/>
        <w:outlineLvl w:val="2"/>
        <w:rPr>
          <w:rFonts w:hint="eastAsia" w:hAnsi="宋体" w:eastAsia="宋体" w:cs="宋体"/>
          <w:b/>
          <w:bCs/>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2</w:t>
      </w:r>
      <w:r>
        <w:rPr>
          <w:rFonts w:hint="eastAsia" w:hAnsi="宋体" w:eastAsia="宋体" w:cs="宋体"/>
          <w:b/>
          <w:bCs/>
          <w:color w:val="000000"/>
          <w:sz w:val="24"/>
          <w:szCs w:val="24"/>
        </w:rPr>
        <w:t xml:space="preserve">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2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2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pPr>
        <w:rPr>
          <w:rFonts w:hint="eastAsia" w:ascii="宋体" w:hAnsi="宋体" w:eastAsia="宋体" w:cs="宋体"/>
          <w:color w:val="000000"/>
        </w:rPr>
      </w:pPr>
    </w:p>
    <w:p>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6"/>
                    <a:stretch>
                      <a:fillRect/>
                    </a:stretch>
                  </pic:blipFill>
                  <pic:spPr>
                    <a:xfrm>
                      <a:off x="0" y="0"/>
                      <a:ext cx="5760085" cy="2810122"/>
                    </a:xfrm>
                    <a:prstGeom prst="rect">
                      <a:avLst/>
                    </a:prstGeom>
                  </pic:spPr>
                </pic:pic>
              </a:graphicData>
            </a:graphic>
          </wp:inline>
        </w:drawing>
      </w:r>
    </w:p>
    <w:p>
      <w:pPr>
        <w:pStyle w:val="21"/>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7"/>
                    <a:stretch>
                      <a:fillRect/>
                    </a:stretch>
                  </pic:blipFill>
                  <pic:spPr>
                    <a:xfrm>
                      <a:off x="0" y="0"/>
                      <a:ext cx="5760085" cy="2820042"/>
                    </a:xfrm>
                    <a:prstGeom prst="rect">
                      <a:avLst/>
                    </a:prstGeom>
                  </pic:spPr>
                </pic:pic>
              </a:graphicData>
            </a:graphic>
          </wp:inline>
        </w:drawing>
      </w:r>
    </w:p>
    <w:p>
      <w:pPr>
        <w:pStyle w:val="21"/>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1"/>
      </w:pPr>
      <w:r>
        <w:rPr>
          <w:rFonts w:hint="eastAsia" w:hAnsi="宋体" w:eastAsia="宋体" w:cs="宋体"/>
          <w:b/>
          <w:bCs/>
          <w:color w:val="000000"/>
          <w:sz w:val="24"/>
          <w:szCs w:val="28"/>
          <w:highlight w:val="yellow"/>
        </w:rPr>
        <w:t>2.配套能力“供货类别”选“非生产招标→研发试验设备→产品试验检测中心”，业务主管部门为“产品试验检测中心”。</w:t>
      </w:r>
    </w:p>
    <w:p>
      <w:pPr>
        <w:pStyle w:val="21"/>
        <w:sectPr>
          <w:footerReference r:id="rId16" w:type="default"/>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3</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Style w:val="4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8"/>
          <w:rFonts w:hint="eastAsia" w:ascii="宋体" w:hAnsi="宋体" w:eastAsia="宋体" w:cs="宋体"/>
          <w:sz w:val="24"/>
          <w:szCs w:val="24"/>
        </w:rPr>
        <w:t>https://ecaitong.sinotruk.com:8012/</w:t>
      </w:r>
      <w:r>
        <w:rPr>
          <w:rStyle w:val="48"/>
          <w:rFonts w:hint="eastAsia" w:ascii="宋体" w:hAnsi="宋体" w:eastAsia="宋体" w:cs="宋体"/>
          <w:sz w:val="24"/>
          <w:szCs w:val="24"/>
        </w:rPr>
        <w:fldChar w:fldCharType="end"/>
      </w:r>
      <w:r>
        <w:rPr>
          <w:rStyle w:val="48"/>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rPr>
      </w:pPr>
      <w:r>
        <mc:AlternateContent>
          <mc:Choice Requires="wps">
            <w:drawing>
              <wp:anchor distT="0" distB="0" distL="114300" distR="114300" simplePos="0" relativeHeight="25167052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0528;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28"/>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1"/>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1956600"/>
                    </a:xfrm>
                    <a:prstGeom prst="rect">
                      <a:avLst/>
                    </a:prstGeom>
                  </pic:spPr>
                </pic:pic>
              </a:graphicData>
            </a:graphic>
          </wp:inline>
        </w:drawing>
      </w:r>
    </w:p>
    <w:p>
      <w:pPr>
        <w:rPr>
          <w:rFonts w:hint="eastAsia"/>
        </w:rPr>
      </w:pPr>
    </w:p>
    <w:p>
      <w:pPr>
        <w:rPr>
          <w:rFonts w:hint="eastAsia"/>
        </w:rPr>
      </w:pPr>
    </w:p>
    <w:p>
      <w:pPr>
        <w:rPr>
          <w:rFonts w:hint="eastAsia"/>
        </w:rPr>
      </w:pPr>
    </w:p>
    <w:sectPr>
      <w:headerReference r:id="rId18" w:type="first"/>
      <w:footerReference r:id="rId20" w:type="first"/>
      <w:headerReference r:id="rId17" w:type="default"/>
      <w:footerReference r:id="rId19"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right" w:y="1"/>
      <w:rPr>
        <w:rStyle w:val="44"/>
        <w:sz w:val="20"/>
      </w:rPr>
    </w:pPr>
    <w:r>
      <w:rPr>
        <w:sz w:val="20"/>
      </w:rPr>
      <w:fldChar w:fldCharType="begin"/>
    </w:r>
    <w:r>
      <w:rPr>
        <w:rStyle w:val="44"/>
        <w:sz w:val="20"/>
      </w:rPr>
      <w:instrText xml:space="preserve">PAGE  </w:instrText>
    </w:r>
    <w:r>
      <w:rPr>
        <w:sz w:val="20"/>
      </w:rPr>
      <w:fldChar w:fldCharType="end"/>
    </w:r>
  </w:p>
  <w:p>
    <w:pPr>
      <w:pStyle w:val="26"/>
      <w:ind w:right="360"/>
      <w:rPr>
        <w:sz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p>
    <w:pPr>
      <w:pStyle w:val="27"/>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608D78"/>
    <w:multiLevelType w:val="singleLevel"/>
    <w:tmpl w:val="94608D78"/>
    <w:lvl w:ilvl="0" w:tentative="0">
      <w:start w:val="1"/>
      <w:numFmt w:val="decimal"/>
      <w:suff w:val="nothing"/>
      <w:lvlText w:val="%1、"/>
      <w:lvlJc w:val="left"/>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B69BB3B5"/>
    <w:multiLevelType w:val="multilevel"/>
    <w:tmpl w:val="B69BB3B5"/>
    <w:lvl w:ilvl="0" w:tentative="0">
      <w:start w:val="1"/>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1DBB471D"/>
    <w:multiLevelType w:val="multilevel"/>
    <w:tmpl w:val="1DBB471D"/>
    <w:lvl w:ilvl="0" w:tentative="0">
      <w:start w:val="1"/>
      <w:numFmt w:val="japaneseCounting"/>
      <w:lvlText w:val="%1、"/>
      <w:lvlJc w:val="left"/>
      <w:pPr>
        <w:ind w:left="740" w:hanging="740"/>
      </w:pPr>
      <w:rPr>
        <w:rFonts w:hint="default" w:ascii="仿宋" w:hAnsi="仿宋"/>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646260FA"/>
    <w:multiLevelType w:val="multilevel"/>
    <w:tmpl w:val="646260FA"/>
    <w:lvl w:ilvl="0" w:tentative="0">
      <w:start w:val="1"/>
      <w:numFmt w:val="decimal"/>
      <w:pStyle w:val="139"/>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5">
    <w:nsid w:val="6E8C6948"/>
    <w:multiLevelType w:val="singleLevel"/>
    <w:tmpl w:val="6E8C6948"/>
    <w:lvl w:ilvl="0" w:tentative="0">
      <w:start w:val="1"/>
      <w:numFmt w:val="chineseCounting"/>
      <w:suff w:val="space"/>
      <w:lvlText w:val="第%1部分"/>
      <w:lvlJc w:val="left"/>
      <w:rPr>
        <w:rFonts w:hint="eastAsia"/>
      </w:rPr>
    </w:lvl>
  </w:abstractNum>
  <w:abstractNum w:abstractNumId="6">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5"/>
  </w:num>
  <w:num w:numId="3">
    <w:abstractNumId w:val="1"/>
  </w:num>
  <w:num w:numId="4">
    <w:abstractNumId w:val="6"/>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C52478"/>
    <w:rsid w:val="02184C85"/>
    <w:rsid w:val="027408EE"/>
    <w:rsid w:val="02963F39"/>
    <w:rsid w:val="02BA7274"/>
    <w:rsid w:val="03251978"/>
    <w:rsid w:val="0325718A"/>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B4B7B"/>
    <w:rsid w:val="06132F28"/>
    <w:rsid w:val="06160D68"/>
    <w:rsid w:val="06266F78"/>
    <w:rsid w:val="063E7B7A"/>
    <w:rsid w:val="06582413"/>
    <w:rsid w:val="067E33B8"/>
    <w:rsid w:val="069C2954"/>
    <w:rsid w:val="06C11211"/>
    <w:rsid w:val="06E82FCB"/>
    <w:rsid w:val="06F34B95"/>
    <w:rsid w:val="06F7064A"/>
    <w:rsid w:val="07571DAC"/>
    <w:rsid w:val="078A0D17"/>
    <w:rsid w:val="08000695"/>
    <w:rsid w:val="08332819"/>
    <w:rsid w:val="08A33F77"/>
    <w:rsid w:val="08E64121"/>
    <w:rsid w:val="090D5816"/>
    <w:rsid w:val="0942017F"/>
    <w:rsid w:val="09BA1FBB"/>
    <w:rsid w:val="09CB139F"/>
    <w:rsid w:val="09D73678"/>
    <w:rsid w:val="0A0106F5"/>
    <w:rsid w:val="0A112AB7"/>
    <w:rsid w:val="0A2A0685"/>
    <w:rsid w:val="0A447F32"/>
    <w:rsid w:val="0AD71BC7"/>
    <w:rsid w:val="0ADB7197"/>
    <w:rsid w:val="0AF420EB"/>
    <w:rsid w:val="0B2B2BF5"/>
    <w:rsid w:val="0B2F3908"/>
    <w:rsid w:val="0B3F6206"/>
    <w:rsid w:val="0BD848FB"/>
    <w:rsid w:val="0BDB06E0"/>
    <w:rsid w:val="0BE12DB6"/>
    <w:rsid w:val="0C345AD1"/>
    <w:rsid w:val="0C626CE4"/>
    <w:rsid w:val="0D0C2B7B"/>
    <w:rsid w:val="0D9308F8"/>
    <w:rsid w:val="0E1A1D85"/>
    <w:rsid w:val="0E2350DD"/>
    <w:rsid w:val="0E696120"/>
    <w:rsid w:val="0E750568"/>
    <w:rsid w:val="0EB93A32"/>
    <w:rsid w:val="0F2D7A80"/>
    <w:rsid w:val="0F4277E5"/>
    <w:rsid w:val="0F6B7381"/>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95B36"/>
    <w:rsid w:val="1372609F"/>
    <w:rsid w:val="13CE1569"/>
    <w:rsid w:val="13DF3855"/>
    <w:rsid w:val="14092DB2"/>
    <w:rsid w:val="145A6A37"/>
    <w:rsid w:val="1467440F"/>
    <w:rsid w:val="148D59E6"/>
    <w:rsid w:val="14F73019"/>
    <w:rsid w:val="15433A9B"/>
    <w:rsid w:val="15D13671"/>
    <w:rsid w:val="15FC2F04"/>
    <w:rsid w:val="15FD3709"/>
    <w:rsid w:val="16181FAC"/>
    <w:rsid w:val="166050EB"/>
    <w:rsid w:val="168756A0"/>
    <w:rsid w:val="16F94849"/>
    <w:rsid w:val="17001571"/>
    <w:rsid w:val="17045E51"/>
    <w:rsid w:val="172011D4"/>
    <w:rsid w:val="17252C3B"/>
    <w:rsid w:val="173F0A2E"/>
    <w:rsid w:val="17770BC2"/>
    <w:rsid w:val="17860E2F"/>
    <w:rsid w:val="17A119AA"/>
    <w:rsid w:val="17AF1095"/>
    <w:rsid w:val="17C55E7C"/>
    <w:rsid w:val="18586F2B"/>
    <w:rsid w:val="192F3CC4"/>
    <w:rsid w:val="1935690C"/>
    <w:rsid w:val="19516138"/>
    <w:rsid w:val="19A766B9"/>
    <w:rsid w:val="19BE4F9F"/>
    <w:rsid w:val="19CE76BA"/>
    <w:rsid w:val="19F26070"/>
    <w:rsid w:val="19F97C8B"/>
    <w:rsid w:val="1A1523CE"/>
    <w:rsid w:val="1A21343D"/>
    <w:rsid w:val="1AA730BD"/>
    <w:rsid w:val="1ABD4410"/>
    <w:rsid w:val="1B333D5D"/>
    <w:rsid w:val="1B587618"/>
    <w:rsid w:val="1B5F19C7"/>
    <w:rsid w:val="1BDA1B03"/>
    <w:rsid w:val="1C1C709B"/>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7870A4"/>
    <w:rsid w:val="208717DB"/>
    <w:rsid w:val="20AB56C6"/>
    <w:rsid w:val="2176507C"/>
    <w:rsid w:val="21BA10C4"/>
    <w:rsid w:val="21BE35AF"/>
    <w:rsid w:val="21C11174"/>
    <w:rsid w:val="22244B28"/>
    <w:rsid w:val="22467FD4"/>
    <w:rsid w:val="22784511"/>
    <w:rsid w:val="229451FD"/>
    <w:rsid w:val="22A12DB6"/>
    <w:rsid w:val="234E7F91"/>
    <w:rsid w:val="236356D1"/>
    <w:rsid w:val="23A91C83"/>
    <w:rsid w:val="23C962E8"/>
    <w:rsid w:val="247E4FED"/>
    <w:rsid w:val="24B30BE8"/>
    <w:rsid w:val="24C6643F"/>
    <w:rsid w:val="24E34060"/>
    <w:rsid w:val="24EF2718"/>
    <w:rsid w:val="253A0491"/>
    <w:rsid w:val="253D4C0F"/>
    <w:rsid w:val="25B65524"/>
    <w:rsid w:val="25CF2B74"/>
    <w:rsid w:val="25E036B2"/>
    <w:rsid w:val="25E9082A"/>
    <w:rsid w:val="25F42473"/>
    <w:rsid w:val="26AF2D79"/>
    <w:rsid w:val="26B34B91"/>
    <w:rsid w:val="270D66E8"/>
    <w:rsid w:val="27514612"/>
    <w:rsid w:val="27597388"/>
    <w:rsid w:val="278B0DAB"/>
    <w:rsid w:val="279C6B0E"/>
    <w:rsid w:val="27A64735"/>
    <w:rsid w:val="27CC4DF2"/>
    <w:rsid w:val="281864F2"/>
    <w:rsid w:val="28316337"/>
    <w:rsid w:val="286903EF"/>
    <w:rsid w:val="287F5DD3"/>
    <w:rsid w:val="288047CB"/>
    <w:rsid w:val="289E62FA"/>
    <w:rsid w:val="291E2CA6"/>
    <w:rsid w:val="29331862"/>
    <w:rsid w:val="299E147F"/>
    <w:rsid w:val="29C32A87"/>
    <w:rsid w:val="29CF26DC"/>
    <w:rsid w:val="2A1C5DA0"/>
    <w:rsid w:val="2A200D39"/>
    <w:rsid w:val="2A507EFF"/>
    <w:rsid w:val="2ADC05A4"/>
    <w:rsid w:val="2B0423C1"/>
    <w:rsid w:val="2B6F0D7F"/>
    <w:rsid w:val="2B797443"/>
    <w:rsid w:val="2B8716BD"/>
    <w:rsid w:val="2B8B76FF"/>
    <w:rsid w:val="2BC22DD1"/>
    <w:rsid w:val="2BD5034F"/>
    <w:rsid w:val="2C0B6845"/>
    <w:rsid w:val="2C9E432B"/>
    <w:rsid w:val="2CAC08A7"/>
    <w:rsid w:val="2D025012"/>
    <w:rsid w:val="2D4178F0"/>
    <w:rsid w:val="2DA535EC"/>
    <w:rsid w:val="2DAE631A"/>
    <w:rsid w:val="2DD877E0"/>
    <w:rsid w:val="2DE616C9"/>
    <w:rsid w:val="2DFC2451"/>
    <w:rsid w:val="2E3422F8"/>
    <w:rsid w:val="2E392F37"/>
    <w:rsid w:val="2E6D31FB"/>
    <w:rsid w:val="2E6E566D"/>
    <w:rsid w:val="2E7F188E"/>
    <w:rsid w:val="2E904053"/>
    <w:rsid w:val="2EBC0905"/>
    <w:rsid w:val="2EC73739"/>
    <w:rsid w:val="2EFB1B0E"/>
    <w:rsid w:val="2F5C684F"/>
    <w:rsid w:val="2FE82C1E"/>
    <w:rsid w:val="303A20E7"/>
    <w:rsid w:val="307776D1"/>
    <w:rsid w:val="30862574"/>
    <w:rsid w:val="30B631E1"/>
    <w:rsid w:val="311933AA"/>
    <w:rsid w:val="317D15BB"/>
    <w:rsid w:val="31A67308"/>
    <w:rsid w:val="31D07E6C"/>
    <w:rsid w:val="31DF0B90"/>
    <w:rsid w:val="323F65DA"/>
    <w:rsid w:val="32412074"/>
    <w:rsid w:val="325B63D6"/>
    <w:rsid w:val="32A0644D"/>
    <w:rsid w:val="32DE0199"/>
    <w:rsid w:val="32E26B1D"/>
    <w:rsid w:val="335B2774"/>
    <w:rsid w:val="33A4642E"/>
    <w:rsid w:val="33A877AB"/>
    <w:rsid w:val="33D4039C"/>
    <w:rsid w:val="33D47E05"/>
    <w:rsid w:val="340017FF"/>
    <w:rsid w:val="3413677D"/>
    <w:rsid w:val="342B544B"/>
    <w:rsid w:val="343839A4"/>
    <w:rsid w:val="345E036E"/>
    <w:rsid w:val="34DE1E4F"/>
    <w:rsid w:val="34F07DB1"/>
    <w:rsid w:val="358D07D1"/>
    <w:rsid w:val="35B0692A"/>
    <w:rsid w:val="35D354B8"/>
    <w:rsid w:val="35D4025C"/>
    <w:rsid w:val="35F516ED"/>
    <w:rsid w:val="35FC2392"/>
    <w:rsid w:val="362666BC"/>
    <w:rsid w:val="363E0457"/>
    <w:rsid w:val="368A6B11"/>
    <w:rsid w:val="36A77DAA"/>
    <w:rsid w:val="37085B1F"/>
    <w:rsid w:val="372E04CB"/>
    <w:rsid w:val="37742729"/>
    <w:rsid w:val="37C85FF9"/>
    <w:rsid w:val="380D3B5E"/>
    <w:rsid w:val="383557ED"/>
    <w:rsid w:val="38D55634"/>
    <w:rsid w:val="38E070F2"/>
    <w:rsid w:val="390B0AC4"/>
    <w:rsid w:val="390D33AB"/>
    <w:rsid w:val="391E6D06"/>
    <w:rsid w:val="396D6DE6"/>
    <w:rsid w:val="39CE5179"/>
    <w:rsid w:val="3A074847"/>
    <w:rsid w:val="3AA90FE6"/>
    <w:rsid w:val="3AA9318F"/>
    <w:rsid w:val="3AB62DA0"/>
    <w:rsid w:val="3AC61BD3"/>
    <w:rsid w:val="3B273268"/>
    <w:rsid w:val="3B7D3FD5"/>
    <w:rsid w:val="3B823DDF"/>
    <w:rsid w:val="3BE4369A"/>
    <w:rsid w:val="3C084B3D"/>
    <w:rsid w:val="3C237ED3"/>
    <w:rsid w:val="3C91192E"/>
    <w:rsid w:val="3CAA596A"/>
    <w:rsid w:val="3CB1587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E25AA0"/>
    <w:rsid w:val="3FEC147E"/>
    <w:rsid w:val="4024153A"/>
    <w:rsid w:val="403703F1"/>
    <w:rsid w:val="40376375"/>
    <w:rsid w:val="40EF47EC"/>
    <w:rsid w:val="412732B7"/>
    <w:rsid w:val="4127791F"/>
    <w:rsid w:val="41281794"/>
    <w:rsid w:val="413C1FDF"/>
    <w:rsid w:val="41806A69"/>
    <w:rsid w:val="41B0259C"/>
    <w:rsid w:val="41BC6F1C"/>
    <w:rsid w:val="41EF2363"/>
    <w:rsid w:val="41F77860"/>
    <w:rsid w:val="424A4B98"/>
    <w:rsid w:val="42581D3A"/>
    <w:rsid w:val="4262787F"/>
    <w:rsid w:val="42B90260"/>
    <w:rsid w:val="42FE0080"/>
    <w:rsid w:val="43315D2E"/>
    <w:rsid w:val="43824A1C"/>
    <w:rsid w:val="4390486D"/>
    <w:rsid w:val="43D110E1"/>
    <w:rsid w:val="43E873C9"/>
    <w:rsid w:val="441540A8"/>
    <w:rsid w:val="44250817"/>
    <w:rsid w:val="445E7E37"/>
    <w:rsid w:val="44905B1F"/>
    <w:rsid w:val="45007767"/>
    <w:rsid w:val="45316885"/>
    <w:rsid w:val="4567010B"/>
    <w:rsid w:val="4577147D"/>
    <w:rsid w:val="45A95EE9"/>
    <w:rsid w:val="45FB0F21"/>
    <w:rsid w:val="46167166"/>
    <w:rsid w:val="461A2194"/>
    <w:rsid w:val="465E515F"/>
    <w:rsid w:val="46AE7548"/>
    <w:rsid w:val="47200EE3"/>
    <w:rsid w:val="47435AC2"/>
    <w:rsid w:val="47544B78"/>
    <w:rsid w:val="47587AF7"/>
    <w:rsid w:val="47745A86"/>
    <w:rsid w:val="47E239AC"/>
    <w:rsid w:val="480C3F11"/>
    <w:rsid w:val="480F4B73"/>
    <w:rsid w:val="48334AEC"/>
    <w:rsid w:val="48380650"/>
    <w:rsid w:val="48422874"/>
    <w:rsid w:val="48DB38E3"/>
    <w:rsid w:val="49001B5E"/>
    <w:rsid w:val="490552B7"/>
    <w:rsid w:val="49376DB0"/>
    <w:rsid w:val="49804BB7"/>
    <w:rsid w:val="49826DCB"/>
    <w:rsid w:val="499013E7"/>
    <w:rsid w:val="49C8088A"/>
    <w:rsid w:val="49CB3D06"/>
    <w:rsid w:val="4A301C93"/>
    <w:rsid w:val="4A3302AB"/>
    <w:rsid w:val="4A7F3A12"/>
    <w:rsid w:val="4AC85D49"/>
    <w:rsid w:val="4AE308A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8229B7"/>
    <w:rsid w:val="509A4341"/>
    <w:rsid w:val="50C62BC7"/>
    <w:rsid w:val="50F72A66"/>
    <w:rsid w:val="5123368C"/>
    <w:rsid w:val="5130747C"/>
    <w:rsid w:val="515C765A"/>
    <w:rsid w:val="516610D8"/>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CE2B4A"/>
    <w:rsid w:val="56AC4A78"/>
    <w:rsid w:val="56DB16B9"/>
    <w:rsid w:val="574436DA"/>
    <w:rsid w:val="57772F69"/>
    <w:rsid w:val="577A3463"/>
    <w:rsid w:val="57F967AD"/>
    <w:rsid w:val="58052975"/>
    <w:rsid w:val="5895693C"/>
    <w:rsid w:val="58E525CA"/>
    <w:rsid w:val="58FD43FD"/>
    <w:rsid w:val="59080439"/>
    <w:rsid w:val="593D045A"/>
    <w:rsid w:val="5960739E"/>
    <w:rsid w:val="59896D0A"/>
    <w:rsid w:val="59B72684"/>
    <w:rsid w:val="59CC6E29"/>
    <w:rsid w:val="59CE7D0B"/>
    <w:rsid w:val="5A082249"/>
    <w:rsid w:val="5A9579AE"/>
    <w:rsid w:val="5AC468CD"/>
    <w:rsid w:val="5AD813C2"/>
    <w:rsid w:val="5AE25B34"/>
    <w:rsid w:val="5AEE6358"/>
    <w:rsid w:val="5B342B9A"/>
    <w:rsid w:val="5B5953B0"/>
    <w:rsid w:val="5B5B1AB4"/>
    <w:rsid w:val="5B630802"/>
    <w:rsid w:val="5B807F68"/>
    <w:rsid w:val="5B9F5D96"/>
    <w:rsid w:val="5BFB631F"/>
    <w:rsid w:val="5C034D53"/>
    <w:rsid w:val="5C903B7A"/>
    <w:rsid w:val="5D7C6E06"/>
    <w:rsid w:val="5E1D6F56"/>
    <w:rsid w:val="5E52187F"/>
    <w:rsid w:val="5E6A13CD"/>
    <w:rsid w:val="5E705D15"/>
    <w:rsid w:val="5E92274E"/>
    <w:rsid w:val="5E93326C"/>
    <w:rsid w:val="5E9F1A7A"/>
    <w:rsid w:val="5EAA6F51"/>
    <w:rsid w:val="5EFB4BA4"/>
    <w:rsid w:val="5F5F46B5"/>
    <w:rsid w:val="5F895CFD"/>
    <w:rsid w:val="5FB25360"/>
    <w:rsid w:val="5FBA3CC0"/>
    <w:rsid w:val="5FD90D61"/>
    <w:rsid w:val="60177697"/>
    <w:rsid w:val="602329DB"/>
    <w:rsid w:val="602C13CC"/>
    <w:rsid w:val="607777D6"/>
    <w:rsid w:val="60911000"/>
    <w:rsid w:val="60BC76A1"/>
    <w:rsid w:val="610B7637"/>
    <w:rsid w:val="615F5624"/>
    <w:rsid w:val="61847970"/>
    <w:rsid w:val="61BE4076"/>
    <w:rsid w:val="61D215CF"/>
    <w:rsid w:val="622C5484"/>
    <w:rsid w:val="625C563D"/>
    <w:rsid w:val="626A1704"/>
    <w:rsid w:val="62AD7E76"/>
    <w:rsid w:val="62B362C8"/>
    <w:rsid w:val="62C1330E"/>
    <w:rsid w:val="630C5A29"/>
    <w:rsid w:val="6342085E"/>
    <w:rsid w:val="636F415C"/>
    <w:rsid w:val="64785A9C"/>
    <w:rsid w:val="64917820"/>
    <w:rsid w:val="64AA1CC5"/>
    <w:rsid w:val="651D5BE5"/>
    <w:rsid w:val="655F1E1A"/>
    <w:rsid w:val="656B2909"/>
    <w:rsid w:val="65914A0B"/>
    <w:rsid w:val="65A3045D"/>
    <w:rsid w:val="65D97752"/>
    <w:rsid w:val="65E25E59"/>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817BAC"/>
    <w:rsid w:val="689A5E59"/>
    <w:rsid w:val="68E91861"/>
    <w:rsid w:val="68EE72DF"/>
    <w:rsid w:val="690F0B4D"/>
    <w:rsid w:val="692E2EB0"/>
    <w:rsid w:val="69485FEA"/>
    <w:rsid w:val="694C7BCA"/>
    <w:rsid w:val="69677DC0"/>
    <w:rsid w:val="69937EC7"/>
    <w:rsid w:val="69D64558"/>
    <w:rsid w:val="6A042548"/>
    <w:rsid w:val="6A471EFD"/>
    <w:rsid w:val="6A7F64C7"/>
    <w:rsid w:val="6A90616B"/>
    <w:rsid w:val="6AB51A05"/>
    <w:rsid w:val="6AB57116"/>
    <w:rsid w:val="6ADC6652"/>
    <w:rsid w:val="6AE73176"/>
    <w:rsid w:val="6B17424A"/>
    <w:rsid w:val="6B2218FA"/>
    <w:rsid w:val="6B691672"/>
    <w:rsid w:val="6BC8641A"/>
    <w:rsid w:val="6BE97F42"/>
    <w:rsid w:val="6BEF3E88"/>
    <w:rsid w:val="6C296590"/>
    <w:rsid w:val="6C5E6A51"/>
    <w:rsid w:val="6C65048B"/>
    <w:rsid w:val="6C6513C3"/>
    <w:rsid w:val="6C744268"/>
    <w:rsid w:val="6CD62D03"/>
    <w:rsid w:val="6CD97FB6"/>
    <w:rsid w:val="6D4B22B8"/>
    <w:rsid w:val="6D4F2026"/>
    <w:rsid w:val="6D930013"/>
    <w:rsid w:val="6DDA16D9"/>
    <w:rsid w:val="6E1A1656"/>
    <w:rsid w:val="6E231DD6"/>
    <w:rsid w:val="6E5A5288"/>
    <w:rsid w:val="6E5D2F46"/>
    <w:rsid w:val="6EE013EE"/>
    <w:rsid w:val="6EE079F1"/>
    <w:rsid w:val="6EE42C42"/>
    <w:rsid w:val="6F7F7CB0"/>
    <w:rsid w:val="6FC266A9"/>
    <w:rsid w:val="6FE0165C"/>
    <w:rsid w:val="6FE6309C"/>
    <w:rsid w:val="6FF0551E"/>
    <w:rsid w:val="70222744"/>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2A49B5"/>
    <w:rsid w:val="728121EC"/>
    <w:rsid w:val="732D4B5D"/>
    <w:rsid w:val="73393C88"/>
    <w:rsid w:val="7362513F"/>
    <w:rsid w:val="7372081D"/>
    <w:rsid w:val="73740A39"/>
    <w:rsid w:val="73771D49"/>
    <w:rsid w:val="73A1354E"/>
    <w:rsid w:val="73C76977"/>
    <w:rsid w:val="74A11E7D"/>
    <w:rsid w:val="74B25745"/>
    <w:rsid w:val="74C12F49"/>
    <w:rsid w:val="74F97739"/>
    <w:rsid w:val="750E2D70"/>
    <w:rsid w:val="75590B0A"/>
    <w:rsid w:val="755E0C45"/>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E34EB2"/>
    <w:rsid w:val="781564B8"/>
    <w:rsid w:val="78224ACF"/>
    <w:rsid w:val="783D4D66"/>
    <w:rsid w:val="788A2AAC"/>
    <w:rsid w:val="789645EE"/>
    <w:rsid w:val="78CD6DCC"/>
    <w:rsid w:val="78D07CAF"/>
    <w:rsid w:val="78DE12D7"/>
    <w:rsid w:val="78FC2038"/>
    <w:rsid w:val="78FC33D7"/>
    <w:rsid w:val="79210683"/>
    <w:rsid w:val="792417A2"/>
    <w:rsid w:val="798810B6"/>
    <w:rsid w:val="799C3465"/>
    <w:rsid w:val="79B14EC4"/>
    <w:rsid w:val="79BE1ECC"/>
    <w:rsid w:val="79C95345"/>
    <w:rsid w:val="7A2A6B4A"/>
    <w:rsid w:val="7A681070"/>
    <w:rsid w:val="7A860C7C"/>
    <w:rsid w:val="7AAD79E7"/>
    <w:rsid w:val="7AB879FE"/>
    <w:rsid w:val="7B3264DD"/>
    <w:rsid w:val="7B7374F2"/>
    <w:rsid w:val="7B81188A"/>
    <w:rsid w:val="7B9E2902"/>
    <w:rsid w:val="7BA434D7"/>
    <w:rsid w:val="7BC854E2"/>
    <w:rsid w:val="7C0562EC"/>
    <w:rsid w:val="7C27683F"/>
    <w:rsid w:val="7C8B6DF3"/>
    <w:rsid w:val="7CB14B4D"/>
    <w:rsid w:val="7CF26969"/>
    <w:rsid w:val="7D25523C"/>
    <w:rsid w:val="7DB23041"/>
    <w:rsid w:val="7DFE3170"/>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0"/>
    <w:qFormat/>
    <w:uiPriority w:val="0"/>
    <w:pPr>
      <w:keepNext/>
      <w:keepLines/>
      <w:jc w:val="center"/>
      <w:outlineLvl w:val="0"/>
    </w:pPr>
    <w:rPr>
      <w:b/>
      <w:bCs/>
      <w:kern w:val="44"/>
      <w:sz w:val="36"/>
      <w:szCs w:val="44"/>
    </w:rPr>
  </w:style>
  <w:style w:type="paragraph" w:styleId="4">
    <w:name w:val="heading 2"/>
    <w:basedOn w:val="1"/>
    <w:next w:val="1"/>
    <w:link w:val="51"/>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2"/>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customStyle="1" w:styleId="2">
    <w:name w:val="Fließtext"/>
    <w:basedOn w:val="1"/>
    <w:qFormat/>
    <w:uiPriority w:val="99"/>
    <w:pPr>
      <w:widowControl/>
      <w:ind w:left="1134"/>
      <w:jc w:val="left"/>
    </w:pPr>
    <w:rPr>
      <w:rFonts w:ascii="Arial" w:hAnsi="Arial"/>
      <w:kern w:val="0"/>
      <w:szCs w:val="20"/>
      <w:lang w:val="de-DE" w:eastAsia="de-DE"/>
    </w:rPr>
  </w:style>
  <w:style w:type="paragraph" w:styleId="9">
    <w:name w:val="toc 7"/>
    <w:basedOn w:val="1"/>
    <w:next w:val="1"/>
    <w:qFormat/>
    <w:uiPriority w:val="39"/>
    <w:pPr>
      <w:ind w:left="1440"/>
      <w:jc w:val="left"/>
    </w:pPr>
    <w:rPr>
      <w:rFonts w:ascii="Calibri" w:hAnsi="Calibri" w:eastAsia="宋体" w:cs="Times New Roman"/>
      <w:sz w:val="18"/>
      <w:szCs w:val="18"/>
    </w:rPr>
  </w:style>
  <w:style w:type="paragraph" w:styleId="10">
    <w:name w:val="Normal Indent"/>
    <w:basedOn w:val="1"/>
    <w:qFormat/>
    <w:uiPriority w:val="0"/>
    <w:pPr>
      <w:ind w:firstLine="420"/>
    </w:pPr>
    <w:rPr>
      <w:rFonts w:ascii="Times New Roman" w:hAnsi="Times New Roman"/>
      <w:kern w:val="0"/>
      <w:sz w:val="20"/>
      <w:szCs w:val="20"/>
    </w:rPr>
  </w:style>
  <w:style w:type="paragraph" w:styleId="11">
    <w:name w:val="caption"/>
    <w:basedOn w:val="1"/>
    <w:next w:val="1"/>
    <w:qFormat/>
    <w:uiPriority w:val="35"/>
    <w:pPr>
      <w:spacing w:before="152" w:after="160"/>
    </w:pPr>
    <w:rPr>
      <w:rFonts w:ascii="Arial" w:hAnsi="Arial" w:eastAsia="黑体" w:cs="Arial"/>
      <w:sz w:val="20"/>
      <w:szCs w:val="20"/>
    </w:rPr>
  </w:style>
  <w:style w:type="paragraph" w:styleId="12">
    <w:name w:val="Document Map"/>
    <w:basedOn w:val="1"/>
    <w:link w:val="73"/>
    <w:qFormat/>
    <w:uiPriority w:val="0"/>
    <w:pPr>
      <w:shd w:val="clear" w:color="auto" w:fill="000080"/>
    </w:pPr>
    <w:rPr>
      <w:sz w:val="24"/>
    </w:rPr>
  </w:style>
  <w:style w:type="paragraph" w:styleId="13">
    <w:name w:val="toa heading"/>
    <w:basedOn w:val="1"/>
    <w:next w:val="1"/>
    <w:qFormat/>
    <w:uiPriority w:val="99"/>
    <w:pPr>
      <w:spacing w:before="120"/>
    </w:pPr>
    <w:rPr>
      <w:rFonts w:ascii="Arial" w:hAnsi="Arial" w:eastAsia="宋体" w:cs="Arial"/>
      <w:sz w:val="24"/>
      <w:szCs w:val="24"/>
    </w:rPr>
  </w:style>
  <w:style w:type="paragraph" w:styleId="14">
    <w:name w:val="annotation text"/>
    <w:basedOn w:val="1"/>
    <w:link w:val="64"/>
    <w:qFormat/>
    <w:uiPriority w:val="0"/>
    <w:pPr>
      <w:jc w:val="left"/>
    </w:pPr>
  </w:style>
  <w:style w:type="paragraph" w:styleId="15">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6">
    <w:name w:val="Body Text"/>
    <w:basedOn w:val="1"/>
    <w:link w:val="85"/>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7">
    <w:name w:val="Body Text Indent"/>
    <w:basedOn w:val="1"/>
    <w:link w:val="82"/>
    <w:qFormat/>
    <w:uiPriority w:val="99"/>
    <w:pPr>
      <w:spacing w:after="120"/>
      <w:ind w:left="420" w:leftChars="200"/>
    </w:pPr>
    <w:rPr>
      <w:rFonts w:ascii="Calibri" w:hAnsi="Calibri" w:eastAsia="宋体" w:cs="Times New Roman"/>
      <w:szCs w:val="20"/>
    </w:rPr>
  </w:style>
  <w:style w:type="paragraph" w:styleId="18">
    <w:name w:val="index 4"/>
    <w:basedOn w:val="1"/>
    <w:next w:val="1"/>
    <w:qFormat/>
    <w:uiPriority w:val="0"/>
    <w:pPr>
      <w:ind w:left="600" w:leftChars="600"/>
    </w:pPr>
  </w:style>
  <w:style w:type="paragraph" w:styleId="19">
    <w:name w:val="toc 5"/>
    <w:basedOn w:val="1"/>
    <w:next w:val="1"/>
    <w:qFormat/>
    <w:uiPriority w:val="39"/>
    <w:pPr>
      <w:ind w:left="960"/>
      <w:jc w:val="left"/>
    </w:pPr>
    <w:rPr>
      <w:rFonts w:ascii="Calibri" w:hAnsi="Calibri" w:eastAsia="宋体" w:cs="Times New Roman"/>
      <w:sz w:val="18"/>
      <w:szCs w:val="18"/>
    </w:rPr>
  </w:style>
  <w:style w:type="paragraph" w:styleId="20">
    <w:name w:val="toc 3"/>
    <w:basedOn w:val="1"/>
    <w:next w:val="1"/>
    <w:qFormat/>
    <w:uiPriority w:val="39"/>
    <w:pPr>
      <w:ind w:left="480"/>
      <w:jc w:val="left"/>
    </w:pPr>
    <w:rPr>
      <w:rFonts w:ascii="Calibri" w:hAnsi="Calibri" w:eastAsia="宋体" w:cs="Times New Roman"/>
      <w:i/>
      <w:iCs/>
      <w:sz w:val="20"/>
      <w:szCs w:val="20"/>
    </w:rPr>
  </w:style>
  <w:style w:type="paragraph" w:styleId="21">
    <w:name w:val="Plain Text"/>
    <w:basedOn w:val="1"/>
    <w:link w:val="75"/>
    <w:qFormat/>
    <w:uiPriority w:val="0"/>
    <w:rPr>
      <w:rFonts w:ascii="宋体" w:hAnsi="Courier New"/>
    </w:rPr>
  </w:style>
  <w:style w:type="paragraph" w:styleId="22">
    <w:name w:val="toc 8"/>
    <w:basedOn w:val="1"/>
    <w:next w:val="1"/>
    <w:qFormat/>
    <w:uiPriority w:val="39"/>
    <w:pPr>
      <w:ind w:left="1680"/>
      <w:jc w:val="left"/>
    </w:pPr>
    <w:rPr>
      <w:rFonts w:ascii="Calibri" w:hAnsi="Calibri" w:eastAsia="宋体" w:cs="Times New Roman"/>
      <w:sz w:val="18"/>
      <w:szCs w:val="18"/>
    </w:rPr>
  </w:style>
  <w:style w:type="paragraph" w:styleId="23">
    <w:name w:val="Date"/>
    <w:basedOn w:val="1"/>
    <w:next w:val="1"/>
    <w:link w:val="66"/>
    <w:qFormat/>
    <w:uiPriority w:val="0"/>
    <w:pPr>
      <w:ind w:left="100" w:leftChars="2500"/>
    </w:pPr>
    <w:rPr>
      <w:sz w:val="24"/>
    </w:rPr>
  </w:style>
  <w:style w:type="paragraph" w:styleId="24">
    <w:name w:val="Body Text Indent 2"/>
    <w:basedOn w:val="1"/>
    <w:link w:val="54"/>
    <w:qFormat/>
    <w:uiPriority w:val="0"/>
    <w:pPr>
      <w:spacing w:after="120" w:line="480" w:lineRule="auto"/>
      <w:ind w:left="420" w:leftChars="200"/>
    </w:pPr>
  </w:style>
  <w:style w:type="paragraph" w:styleId="25">
    <w:name w:val="Balloon Text"/>
    <w:basedOn w:val="1"/>
    <w:link w:val="70"/>
    <w:qFormat/>
    <w:uiPriority w:val="0"/>
    <w:rPr>
      <w:sz w:val="18"/>
    </w:rPr>
  </w:style>
  <w:style w:type="paragraph" w:styleId="26">
    <w:name w:val="footer"/>
    <w:basedOn w:val="1"/>
    <w:link w:val="76"/>
    <w:qFormat/>
    <w:uiPriority w:val="99"/>
    <w:pPr>
      <w:tabs>
        <w:tab w:val="center" w:pos="4153"/>
        <w:tab w:val="right" w:pos="8306"/>
      </w:tabs>
      <w:snapToGrid w:val="0"/>
      <w:jc w:val="left"/>
    </w:pPr>
    <w:rPr>
      <w:sz w:val="18"/>
    </w:rPr>
  </w:style>
  <w:style w:type="paragraph" w:styleId="27">
    <w:name w:val="header"/>
    <w:basedOn w:val="1"/>
    <w:link w:val="62"/>
    <w:qFormat/>
    <w:uiPriority w:val="0"/>
    <w:pPr>
      <w:pBdr>
        <w:bottom w:val="single" w:color="auto" w:sz="6" w:space="1"/>
      </w:pBdr>
      <w:tabs>
        <w:tab w:val="center" w:pos="4153"/>
        <w:tab w:val="right" w:pos="8306"/>
      </w:tabs>
      <w:snapToGrid w:val="0"/>
      <w:jc w:val="center"/>
    </w:pPr>
    <w:rPr>
      <w:sz w:val="18"/>
    </w:rPr>
  </w:style>
  <w:style w:type="paragraph" w:styleId="28">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9">
    <w:name w:val="toc 4"/>
    <w:basedOn w:val="1"/>
    <w:next w:val="1"/>
    <w:qFormat/>
    <w:uiPriority w:val="39"/>
    <w:pPr>
      <w:ind w:left="720"/>
      <w:jc w:val="left"/>
    </w:pPr>
    <w:rPr>
      <w:rFonts w:ascii="Calibri" w:hAnsi="Calibri" w:eastAsia="宋体" w:cs="Times New Roman"/>
      <w:sz w:val="18"/>
      <w:szCs w:val="18"/>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6"/>
    <w:qFormat/>
    <w:uiPriority w:val="0"/>
    <w:pPr>
      <w:spacing w:after="120"/>
      <w:ind w:left="420" w:leftChars="200"/>
    </w:pPr>
    <w:rPr>
      <w:sz w:val="16"/>
    </w:rPr>
  </w:style>
  <w:style w:type="paragraph" w:styleId="33">
    <w:name w:val="toc 2"/>
    <w:basedOn w:val="1"/>
    <w:next w:val="1"/>
    <w:unhideWhenUsed/>
    <w:qFormat/>
    <w:uiPriority w:val="39"/>
    <w:pPr>
      <w:ind w:left="420" w:leftChars="200"/>
    </w:pPr>
    <w:rPr>
      <w:rFonts w:ascii="Calibri" w:hAnsi="Calibri" w:eastAsia="宋体" w:cs="Times New Roman"/>
      <w:szCs w:val="20"/>
    </w:rPr>
  </w:style>
  <w:style w:type="paragraph" w:styleId="34">
    <w:name w:val="toc 9"/>
    <w:basedOn w:val="1"/>
    <w:next w:val="1"/>
    <w:qFormat/>
    <w:uiPriority w:val="39"/>
    <w:pPr>
      <w:ind w:left="1920"/>
      <w:jc w:val="left"/>
    </w:pPr>
    <w:rPr>
      <w:rFonts w:ascii="Calibri" w:hAnsi="Calibri" w:eastAsia="宋体" w:cs="Times New Roman"/>
      <w:sz w:val="18"/>
      <w:szCs w:val="18"/>
    </w:rPr>
  </w:style>
  <w:style w:type="paragraph" w:styleId="35">
    <w:name w:val="Normal (Web)"/>
    <w:basedOn w:val="1"/>
    <w:qFormat/>
    <w:uiPriority w:val="99"/>
    <w:rPr>
      <w:rFonts w:ascii="Calibri" w:hAnsi="Calibri" w:eastAsia="宋体" w:cs="Times New Roman"/>
      <w:sz w:val="24"/>
      <w:szCs w:val="20"/>
    </w:rPr>
  </w:style>
  <w:style w:type="paragraph" w:styleId="36">
    <w:name w:val="index 1"/>
    <w:basedOn w:val="1"/>
    <w:next w:val="1"/>
    <w:qFormat/>
    <w:uiPriority w:val="99"/>
    <w:rPr>
      <w:rFonts w:ascii="Calibri" w:hAnsi="Calibri" w:eastAsia="宋体" w:cs="Times New Roman"/>
      <w:sz w:val="24"/>
      <w:szCs w:val="24"/>
    </w:rPr>
  </w:style>
  <w:style w:type="paragraph" w:styleId="37">
    <w:name w:val="Title"/>
    <w:basedOn w:val="1"/>
    <w:next w:val="1"/>
    <w:link w:val="65"/>
    <w:qFormat/>
    <w:uiPriority w:val="0"/>
    <w:pPr>
      <w:spacing w:before="160" w:after="40" w:line="240" w:lineRule="atLeast"/>
      <w:ind w:left="425" w:hanging="425"/>
      <w:jc w:val="center"/>
      <w:outlineLvl w:val="0"/>
    </w:pPr>
    <w:rPr>
      <w:rFonts w:ascii="Arial" w:hAnsi="Arial"/>
      <w:b/>
      <w:sz w:val="32"/>
    </w:rPr>
  </w:style>
  <w:style w:type="paragraph" w:styleId="38">
    <w:name w:val="annotation subject"/>
    <w:basedOn w:val="14"/>
    <w:next w:val="14"/>
    <w:link w:val="55"/>
    <w:qFormat/>
    <w:uiPriority w:val="0"/>
    <w:rPr>
      <w:b/>
    </w:rPr>
  </w:style>
  <w:style w:type="paragraph" w:styleId="39">
    <w:name w:val="Body Text First Indent 2"/>
    <w:basedOn w:val="17"/>
    <w:semiHidden/>
    <w:qFormat/>
    <w:uiPriority w:val="99"/>
    <w:pPr>
      <w:spacing w:line="276" w:lineRule="auto"/>
      <w:ind w:firstLine="420" w:firstLineChars="200"/>
      <w:jc w:val="left"/>
    </w:pPr>
  </w:style>
  <w:style w:type="table" w:styleId="41">
    <w:name w:val="Table Grid"/>
    <w:basedOn w:val="4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basedOn w:val="42"/>
    <w:qFormat/>
    <w:uiPriority w:val="22"/>
    <w:rPr>
      <w:b/>
    </w:rPr>
  </w:style>
  <w:style w:type="character" w:styleId="44">
    <w:name w:val="page number"/>
    <w:basedOn w:val="42"/>
    <w:qFormat/>
    <w:uiPriority w:val="99"/>
    <w:rPr>
      <w:rFonts w:cs="Times New Roman"/>
    </w:rPr>
  </w:style>
  <w:style w:type="character" w:styleId="45">
    <w:name w:val="FollowedHyperlink"/>
    <w:basedOn w:val="42"/>
    <w:qFormat/>
    <w:uiPriority w:val="99"/>
    <w:rPr>
      <w:color w:val="800080"/>
      <w:u w:val="single"/>
    </w:rPr>
  </w:style>
  <w:style w:type="character" w:styleId="46">
    <w:name w:val="Emphasis"/>
    <w:qFormat/>
    <w:uiPriority w:val="99"/>
    <w:rPr>
      <w:rFonts w:cs="Times New Roman"/>
      <w:color w:val="auto"/>
    </w:rPr>
  </w:style>
  <w:style w:type="character" w:styleId="47">
    <w:name w:val="HTML Acronym"/>
    <w:basedOn w:val="42"/>
    <w:qFormat/>
    <w:uiPriority w:val="99"/>
  </w:style>
  <w:style w:type="character" w:styleId="48">
    <w:name w:val="Hyperlink"/>
    <w:basedOn w:val="42"/>
    <w:qFormat/>
    <w:uiPriority w:val="99"/>
    <w:rPr>
      <w:color w:val="1F4F88"/>
      <w:u w:val="none"/>
    </w:rPr>
  </w:style>
  <w:style w:type="character" w:styleId="49">
    <w:name w:val="annotation reference"/>
    <w:basedOn w:val="42"/>
    <w:qFormat/>
    <w:uiPriority w:val="99"/>
    <w:rPr>
      <w:sz w:val="21"/>
    </w:rPr>
  </w:style>
  <w:style w:type="character" w:customStyle="1" w:styleId="50">
    <w:name w:val="标题 1 字符"/>
    <w:basedOn w:val="42"/>
    <w:link w:val="3"/>
    <w:qFormat/>
    <w:uiPriority w:val="0"/>
    <w:rPr>
      <w:rFonts w:ascii="Calibri" w:hAnsi="Calibri" w:eastAsia="宋体" w:cs="Times New Roman"/>
      <w:b/>
      <w:bCs/>
      <w:kern w:val="44"/>
      <w:sz w:val="36"/>
      <w:szCs w:val="44"/>
    </w:rPr>
  </w:style>
  <w:style w:type="character" w:customStyle="1" w:styleId="51">
    <w:name w:val="标题 2 字符"/>
    <w:basedOn w:val="42"/>
    <w:link w:val="4"/>
    <w:qFormat/>
    <w:uiPriority w:val="9"/>
    <w:rPr>
      <w:rFonts w:ascii="Arial" w:hAnsi="Arial" w:eastAsia="宋体" w:cs="Times New Roman"/>
      <w:b/>
      <w:bCs/>
      <w:sz w:val="24"/>
      <w:szCs w:val="32"/>
    </w:rPr>
  </w:style>
  <w:style w:type="character" w:customStyle="1" w:styleId="52">
    <w:name w:val="标题 3 字符"/>
    <w:basedOn w:val="42"/>
    <w:link w:val="5"/>
    <w:semiHidden/>
    <w:qFormat/>
    <w:uiPriority w:val="9"/>
    <w:rPr>
      <w:rFonts w:ascii="Calibri" w:hAnsi="Calibri" w:eastAsia="宋体" w:cs="Times New Roman"/>
      <w:b/>
      <w:bCs/>
      <w:sz w:val="32"/>
      <w:szCs w:val="32"/>
    </w:rPr>
  </w:style>
  <w:style w:type="character" w:customStyle="1" w:styleId="53">
    <w:name w:val="Char Char3"/>
    <w:qFormat/>
    <w:uiPriority w:val="0"/>
    <w:rPr>
      <w:rFonts w:ascii="宋体" w:hAnsi="Courier New" w:eastAsia="宋体"/>
      <w:kern w:val="2"/>
      <w:sz w:val="21"/>
      <w:lang w:val="en-US" w:eastAsia="zh-CN"/>
    </w:rPr>
  </w:style>
  <w:style w:type="character" w:customStyle="1" w:styleId="54">
    <w:name w:val="正文文本缩进 2 字符"/>
    <w:link w:val="24"/>
    <w:qFormat/>
    <w:locked/>
    <w:uiPriority w:val="0"/>
  </w:style>
  <w:style w:type="character" w:customStyle="1" w:styleId="55">
    <w:name w:val="批注主题 字符"/>
    <w:link w:val="38"/>
    <w:qFormat/>
    <w:locked/>
    <w:uiPriority w:val="0"/>
    <w:rPr>
      <w:b/>
    </w:rPr>
  </w:style>
  <w:style w:type="character" w:customStyle="1" w:styleId="56">
    <w:name w:val="正文文本缩进 3 字符"/>
    <w:link w:val="32"/>
    <w:qFormat/>
    <w:locked/>
    <w:uiPriority w:val="0"/>
    <w:rPr>
      <w:sz w:val="16"/>
    </w:rPr>
  </w:style>
  <w:style w:type="character" w:customStyle="1" w:styleId="57">
    <w:name w:val="纯文本 Char"/>
    <w:qFormat/>
    <w:uiPriority w:val="0"/>
    <w:rPr>
      <w:rFonts w:ascii="宋体" w:hAnsi="Courier New" w:eastAsia="宋体"/>
      <w:kern w:val="2"/>
      <w:sz w:val="21"/>
      <w:lang w:val="en-US" w:eastAsia="zh-CN"/>
    </w:rPr>
  </w:style>
  <w:style w:type="character" w:customStyle="1" w:styleId="58">
    <w:name w:val="Char Char2"/>
    <w:qFormat/>
    <w:uiPriority w:val="0"/>
    <w:rPr>
      <w:rFonts w:ascii="宋体" w:hAnsi="Courier New"/>
      <w:kern w:val="2"/>
      <w:sz w:val="21"/>
    </w:rPr>
  </w:style>
  <w:style w:type="character" w:customStyle="1" w:styleId="59">
    <w:name w:val="列出段落 字符"/>
    <w:link w:val="60"/>
    <w:qFormat/>
    <w:locked/>
    <w:uiPriority w:val="34"/>
    <w:rPr>
      <w:sz w:val="22"/>
    </w:rPr>
  </w:style>
  <w:style w:type="paragraph" w:customStyle="1" w:styleId="60">
    <w:name w:val="列出段落1"/>
    <w:basedOn w:val="1"/>
    <w:link w:val="59"/>
    <w:qFormat/>
    <w:uiPriority w:val="34"/>
    <w:pPr>
      <w:ind w:firstLine="420" w:firstLineChars="200"/>
    </w:pPr>
    <w:rPr>
      <w:sz w:val="22"/>
    </w:rPr>
  </w:style>
  <w:style w:type="character" w:customStyle="1" w:styleId="61">
    <w:name w:val="apple-converted-space"/>
    <w:basedOn w:val="42"/>
    <w:qFormat/>
    <w:uiPriority w:val="0"/>
    <w:rPr>
      <w:rFonts w:cs="Times New Roman"/>
    </w:rPr>
  </w:style>
  <w:style w:type="character" w:customStyle="1" w:styleId="62">
    <w:name w:val="页眉 字符"/>
    <w:link w:val="27"/>
    <w:qFormat/>
    <w:locked/>
    <w:uiPriority w:val="0"/>
    <w:rPr>
      <w:sz w:val="18"/>
    </w:rPr>
  </w:style>
  <w:style w:type="character" w:customStyle="1" w:styleId="63">
    <w:name w:val="BODY TEXT Char"/>
    <w:qFormat/>
    <w:locked/>
    <w:uiPriority w:val="0"/>
    <w:rPr>
      <w:rFonts w:eastAsia="新宋体"/>
      <w:kern w:val="2"/>
      <w:sz w:val="21"/>
    </w:rPr>
  </w:style>
  <w:style w:type="character" w:customStyle="1" w:styleId="64">
    <w:name w:val="批注文字 字符"/>
    <w:link w:val="14"/>
    <w:qFormat/>
    <w:locked/>
    <w:uiPriority w:val="0"/>
  </w:style>
  <w:style w:type="character" w:customStyle="1" w:styleId="65">
    <w:name w:val="标题 字符"/>
    <w:link w:val="37"/>
    <w:qFormat/>
    <w:locked/>
    <w:uiPriority w:val="0"/>
    <w:rPr>
      <w:rFonts w:ascii="Arial" w:hAnsi="Arial"/>
      <w:b/>
      <w:sz w:val="32"/>
    </w:rPr>
  </w:style>
  <w:style w:type="character" w:customStyle="1" w:styleId="66">
    <w:name w:val="日期 字符"/>
    <w:link w:val="23"/>
    <w:qFormat/>
    <w:locked/>
    <w:uiPriority w:val="0"/>
    <w:rPr>
      <w:sz w:val="24"/>
    </w:rPr>
  </w:style>
  <w:style w:type="character" w:customStyle="1" w:styleId="67">
    <w:name w:val="ATXT_Bullets Zchn"/>
    <w:link w:val="68"/>
    <w:qFormat/>
    <w:locked/>
    <w:uiPriority w:val="99"/>
    <w:rPr>
      <w:rFonts w:ascii="Arial" w:hAnsi="Arial"/>
      <w:lang w:val="de-AT" w:eastAsia="zh-CN"/>
    </w:rPr>
  </w:style>
  <w:style w:type="paragraph" w:customStyle="1" w:styleId="68">
    <w:name w:val="ATXT_Bullets"/>
    <w:link w:val="67"/>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9">
    <w:name w:val="Char Char5"/>
    <w:qFormat/>
    <w:uiPriority w:val="0"/>
    <w:rPr>
      <w:rFonts w:ascii="宋体" w:hAnsi="Courier New" w:eastAsia="宋体"/>
      <w:kern w:val="2"/>
      <w:sz w:val="21"/>
      <w:lang w:val="en-US" w:eastAsia="zh-CN"/>
    </w:rPr>
  </w:style>
  <w:style w:type="character" w:customStyle="1" w:styleId="70">
    <w:name w:val="批注框文本 字符"/>
    <w:link w:val="25"/>
    <w:qFormat/>
    <w:locked/>
    <w:uiPriority w:val="0"/>
    <w:rPr>
      <w:sz w:val="18"/>
    </w:rPr>
  </w:style>
  <w:style w:type="character" w:customStyle="1" w:styleId="71">
    <w:name w:val="批注文字 Char"/>
    <w:qFormat/>
    <w:uiPriority w:val="0"/>
    <w:rPr>
      <w:kern w:val="2"/>
    </w:rPr>
  </w:style>
  <w:style w:type="character" w:customStyle="1" w:styleId="72">
    <w:name w:val="批注主题 Char"/>
    <w:qFormat/>
    <w:uiPriority w:val="0"/>
    <w:rPr>
      <w:b/>
      <w:kern w:val="2"/>
    </w:rPr>
  </w:style>
  <w:style w:type="character" w:customStyle="1" w:styleId="73">
    <w:name w:val="文档结构图 字符"/>
    <w:link w:val="12"/>
    <w:qFormat/>
    <w:locked/>
    <w:uiPriority w:val="0"/>
    <w:rPr>
      <w:sz w:val="24"/>
      <w:shd w:val="clear" w:color="auto" w:fill="000080"/>
    </w:rPr>
  </w:style>
  <w:style w:type="character" w:customStyle="1" w:styleId="74">
    <w:name w:val="HTML Markup"/>
    <w:qFormat/>
    <w:uiPriority w:val="0"/>
    <w:rPr>
      <w:vanish/>
      <w:color w:val="FF0000"/>
    </w:rPr>
  </w:style>
  <w:style w:type="character" w:customStyle="1" w:styleId="75">
    <w:name w:val="纯文本 字符"/>
    <w:link w:val="21"/>
    <w:qFormat/>
    <w:locked/>
    <w:uiPriority w:val="0"/>
    <w:rPr>
      <w:rFonts w:ascii="宋体" w:hAnsi="Courier New"/>
    </w:rPr>
  </w:style>
  <w:style w:type="character" w:customStyle="1" w:styleId="76">
    <w:name w:val="页脚 字符"/>
    <w:link w:val="26"/>
    <w:qFormat/>
    <w:locked/>
    <w:uiPriority w:val="99"/>
    <w:rPr>
      <w:sz w:val="18"/>
    </w:rPr>
  </w:style>
  <w:style w:type="character" w:customStyle="1" w:styleId="77">
    <w:name w:val="Default Char"/>
    <w:link w:val="78"/>
    <w:qFormat/>
    <w:locked/>
    <w:uiPriority w:val="0"/>
    <w:rPr>
      <w:rFonts w:ascii="仿宋_GB2312" w:eastAsia="仿宋_GB2312"/>
      <w:color w:val="000000"/>
      <w:sz w:val="24"/>
    </w:rPr>
  </w:style>
  <w:style w:type="paragraph" w:customStyle="1" w:styleId="78">
    <w:name w:val="Default"/>
    <w:link w:val="77"/>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9">
    <w:name w:val="页脚 Char"/>
    <w:qFormat/>
    <w:locked/>
    <w:uiPriority w:val="99"/>
    <w:rPr>
      <w:sz w:val="18"/>
    </w:rPr>
  </w:style>
  <w:style w:type="character" w:customStyle="1" w:styleId="80">
    <w:name w:val="批注文字 字符1"/>
    <w:basedOn w:val="42"/>
    <w:semiHidden/>
    <w:qFormat/>
    <w:uiPriority w:val="99"/>
  </w:style>
  <w:style w:type="character" w:customStyle="1" w:styleId="81">
    <w:name w:val="批注文字 字符11"/>
    <w:basedOn w:val="42"/>
    <w:qFormat/>
    <w:uiPriority w:val="0"/>
    <w:rPr>
      <w:rFonts w:cs="Times New Roman"/>
      <w:kern w:val="2"/>
      <w:sz w:val="21"/>
    </w:rPr>
  </w:style>
  <w:style w:type="character" w:customStyle="1" w:styleId="82">
    <w:name w:val="正文文本缩进 字符"/>
    <w:basedOn w:val="42"/>
    <w:link w:val="17"/>
    <w:qFormat/>
    <w:uiPriority w:val="99"/>
    <w:rPr>
      <w:rFonts w:ascii="Calibri" w:hAnsi="Calibri" w:eastAsia="宋体" w:cs="Times New Roman"/>
      <w:szCs w:val="20"/>
    </w:rPr>
  </w:style>
  <w:style w:type="character" w:customStyle="1" w:styleId="83">
    <w:name w:val="文档结构图 字符1"/>
    <w:basedOn w:val="42"/>
    <w:semiHidden/>
    <w:qFormat/>
    <w:uiPriority w:val="99"/>
    <w:rPr>
      <w:rFonts w:ascii="Microsoft YaHei UI" w:eastAsia="Microsoft YaHei UI"/>
      <w:sz w:val="18"/>
      <w:szCs w:val="18"/>
    </w:rPr>
  </w:style>
  <w:style w:type="character" w:customStyle="1" w:styleId="84">
    <w:name w:val="文档结构图 字符11"/>
    <w:basedOn w:val="42"/>
    <w:semiHidden/>
    <w:qFormat/>
    <w:uiPriority w:val="99"/>
    <w:rPr>
      <w:rFonts w:ascii="Microsoft YaHei UI" w:eastAsia="Microsoft YaHei UI" w:cs="Times New Roman"/>
      <w:kern w:val="2"/>
      <w:sz w:val="18"/>
      <w:szCs w:val="18"/>
    </w:rPr>
  </w:style>
  <w:style w:type="character" w:customStyle="1" w:styleId="85">
    <w:name w:val="正文文本 字符"/>
    <w:basedOn w:val="42"/>
    <w:link w:val="16"/>
    <w:qFormat/>
    <w:uiPriority w:val="99"/>
    <w:rPr>
      <w:rFonts w:ascii="Calibri" w:hAnsi="Calibri" w:eastAsia="新宋体" w:cs="Times New Roman"/>
      <w:szCs w:val="21"/>
    </w:rPr>
  </w:style>
  <w:style w:type="character" w:customStyle="1" w:styleId="86">
    <w:name w:val="纯文本 字符1"/>
    <w:basedOn w:val="42"/>
    <w:semiHidden/>
    <w:qFormat/>
    <w:uiPriority w:val="99"/>
    <w:rPr>
      <w:rFonts w:hAnsi="Courier New" w:cs="Courier New" w:asciiTheme="minorEastAsia"/>
    </w:rPr>
  </w:style>
  <w:style w:type="character" w:customStyle="1" w:styleId="87">
    <w:name w:val="纯文本 字符11"/>
    <w:basedOn w:val="42"/>
    <w:qFormat/>
    <w:uiPriority w:val="0"/>
    <w:rPr>
      <w:rFonts w:hAnsi="Courier New" w:cs="Courier New" w:asciiTheme="minorEastAsia" w:eastAsiaTheme="minorEastAsia"/>
      <w:kern w:val="2"/>
      <w:sz w:val="21"/>
    </w:rPr>
  </w:style>
  <w:style w:type="character" w:customStyle="1" w:styleId="88">
    <w:name w:val="页眉 字符1"/>
    <w:basedOn w:val="42"/>
    <w:semiHidden/>
    <w:qFormat/>
    <w:uiPriority w:val="99"/>
    <w:rPr>
      <w:sz w:val="18"/>
      <w:szCs w:val="18"/>
    </w:rPr>
  </w:style>
  <w:style w:type="character" w:customStyle="1" w:styleId="89">
    <w:name w:val="页眉 字符11"/>
    <w:basedOn w:val="42"/>
    <w:semiHidden/>
    <w:qFormat/>
    <w:uiPriority w:val="99"/>
    <w:rPr>
      <w:rFonts w:cs="Times New Roman"/>
      <w:kern w:val="2"/>
      <w:sz w:val="18"/>
      <w:szCs w:val="18"/>
    </w:rPr>
  </w:style>
  <w:style w:type="character" w:customStyle="1" w:styleId="90">
    <w:name w:val="批注框文本 字符1"/>
    <w:basedOn w:val="42"/>
    <w:semiHidden/>
    <w:qFormat/>
    <w:uiPriority w:val="99"/>
    <w:rPr>
      <w:sz w:val="18"/>
      <w:szCs w:val="18"/>
    </w:rPr>
  </w:style>
  <w:style w:type="character" w:customStyle="1" w:styleId="91">
    <w:name w:val="批注框文本 字符11"/>
    <w:basedOn w:val="42"/>
    <w:semiHidden/>
    <w:qFormat/>
    <w:uiPriority w:val="99"/>
    <w:rPr>
      <w:rFonts w:cs="Times New Roman"/>
      <w:kern w:val="2"/>
      <w:sz w:val="18"/>
      <w:szCs w:val="18"/>
    </w:rPr>
  </w:style>
  <w:style w:type="character" w:customStyle="1" w:styleId="92">
    <w:name w:val="日期 字符1"/>
    <w:basedOn w:val="42"/>
    <w:semiHidden/>
    <w:qFormat/>
    <w:uiPriority w:val="99"/>
  </w:style>
  <w:style w:type="character" w:customStyle="1" w:styleId="93">
    <w:name w:val="日期 字符11"/>
    <w:basedOn w:val="42"/>
    <w:semiHidden/>
    <w:qFormat/>
    <w:uiPriority w:val="99"/>
    <w:rPr>
      <w:rFonts w:cs="Times New Roman"/>
      <w:kern w:val="2"/>
      <w:sz w:val="21"/>
    </w:rPr>
  </w:style>
  <w:style w:type="character" w:customStyle="1" w:styleId="94">
    <w:name w:val="页脚 字符1"/>
    <w:basedOn w:val="42"/>
    <w:semiHidden/>
    <w:qFormat/>
    <w:uiPriority w:val="99"/>
    <w:rPr>
      <w:sz w:val="18"/>
      <w:szCs w:val="18"/>
    </w:rPr>
  </w:style>
  <w:style w:type="character" w:customStyle="1" w:styleId="95">
    <w:name w:val="页脚 字符11"/>
    <w:basedOn w:val="42"/>
    <w:semiHidden/>
    <w:qFormat/>
    <w:uiPriority w:val="99"/>
    <w:rPr>
      <w:rFonts w:cs="Times New Roman"/>
      <w:kern w:val="2"/>
      <w:sz w:val="18"/>
      <w:szCs w:val="18"/>
    </w:rPr>
  </w:style>
  <w:style w:type="character" w:customStyle="1" w:styleId="96">
    <w:name w:val="正文文本缩进 2 字符1"/>
    <w:basedOn w:val="42"/>
    <w:semiHidden/>
    <w:qFormat/>
    <w:uiPriority w:val="99"/>
  </w:style>
  <w:style w:type="character" w:customStyle="1" w:styleId="97">
    <w:name w:val="正文文本缩进 2 字符11"/>
    <w:basedOn w:val="42"/>
    <w:semiHidden/>
    <w:qFormat/>
    <w:uiPriority w:val="99"/>
    <w:rPr>
      <w:rFonts w:cs="Times New Roman"/>
      <w:kern w:val="2"/>
      <w:sz w:val="21"/>
    </w:rPr>
  </w:style>
  <w:style w:type="character" w:customStyle="1" w:styleId="98">
    <w:name w:val="正文文本缩进 3 字符1"/>
    <w:basedOn w:val="42"/>
    <w:semiHidden/>
    <w:qFormat/>
    <w:uiPriority w:val="99"/>
    <w:rPr>
      <w:sz w:val="16"/>
      <w:szCs w:val="16"/>
    </w:rPr>
  </w:style>
  <w:style w:type="character" w:customStyle="1" w:styleId="99">
    <w:name w:val="正文文本缩进 3 字符11"/>
    <w:basedOn w:val="42"/>
    <w:semiHidden/>
    <w:qFormat/>
    <w:uiPriority w:val="99"/>
    <w:rPr>
      <w:rFonts w:cs="Times New Roman"/>
      <w:kern w:val="2"/>
      <w:sz w:val="16"/>
      <w:szCs w:val="16"/>
    </w:rPr>
  </w:style>
  <w:style w:type="character" w:customStyle="1" w:styleId="100">
    <w:name w:val="批注主题 字符1"/>
    <w:basedOn w:val="80"/>
    <w:semiHidden/>
    <w:qFormat/>
    <w:uiPriority w:val="99"/>
    <w:rPr>
      <w:b/>
      <w:bCs/>
    </w:rPr>
  </w:style>
  <w:style w:type="character" w:customStyle="1" w:styleId="101">
    <w:name w:val="批注主题 字符11"/>
    <w:basedOn w:val="81"/>
    <w:semiHidden/>
    <w:qFormat/>
    <w:uiPriority w:val="99"/>
    <w:rPr>
      <w:rFonts w:cs="Times New Roman"/>
      <w:b/>
      <w:bCs/>
      <w:kern w:val="2"/>
      <w:sz w:val="21"/>
    </w:rPr>
  </w:style>
  <w:style w:type="character" w:customStyle="1" w:styleId="102">
    <w:name w:val="标题 字符1"/>
    <w:basedOn w:val="42"/>
    <w:qFormat/>
    <w:uiPriority w:val="10"/>
    <w:rPr>
      <w:rFonts w:asciiTheme="majorHAnsi" w:hAnsiTheme="majorHAnsi" w:eastAsiaTheme="majorEastAsia" w:cstheme="majorBidi"/>
      <w:b/>
      <w:bCs/>
      <w:sz w:val="32"/>
      <w:szCs w:val="32"/>
    </w:rPr>
  </w:style>
  <w:style w:type="character" w:customStyle="1" w:styleId="103">
    <w:name w:val="标题 字符11"/>
    <w:basedOn w:val="42"/>
    <w:qFormat/>
    <w:uiPriority w:val="10"/>
    <w:rPr>
      <w:rFonts w:cs="Times New Roman" w:asciiTheme="majorHAnsi" w:hAnsiTheme="majorHAnsi" w:eastAsiaTheme="majorEastAsia"/>
      <w:b/>
      <w:bCs/>
      <w:kern w:val="2"/>
      <w:sz w:val="32"/>
      <w:szCs w:val="32"/>
    </w:rPr>
  </w:style>
  <w:style w:type="paragraph" w:customStyle="1" w:styleId="104">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5">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9">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1">
    <w:name w:val="Char Char Char Char Char Char Char"/>
    <w:basedOn w:val="1"/>
    <w:qFormat/>
    <w:uiPriority w:val="0"/>
    <w:rPr>
      <w:rFonts w:ascii="Verdana" w:hAnsi="Verdana" w:eastAsia="宋体" w:cs="Times New Roman"/>
      <w:kern w:val="0"/>
      <w:sz w:val="20"/>
      <w:szCs w:val="20"/>
      <w:lang w:eastAsia="en-US"/>
    </w:rPr>
  </w:style>
  <w:style w:type="paragraph" w:customStyle="1" w:styleId="112">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3">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4">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5">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6">
    <w:name w:val="标书正文格式"/>
    <w:basedOn w:val="21"/>
    <w:link w:val="118"/>
    <w:qFormat/>
    <w:uiPriority w:val="0"/>
    <w:pPr>
      <w:spacing w:line="360" w:lineRule="auto"/>
      <w:ind w:firstLine="200" w:firstLineChars="200"/>
    </w:pPr>
    <w:rPr>
      <w:rFonts w:hAnsi="宋体"/>
      <w:color w:val="000000"/>
      <w:sz w:val="24"/>
      <w:szCs w:val="24"/>
    </w:rPr>
  </w:style>
  <w:style w:type="paragraph" w:customStyle="1" w:styleId="117">
    <w:name w:val="标书二级标题"/>
    <w:basedOn w:val="4"/>
    <w:link w:val="120"/>
    <w:qFormat/>
    <w:uiPriority w:val="0"/>
    <w:pPr>
      <w:spacing w:line="240" w:lineRule="auto"/>
      <w:jc w:val="left"/>
    </w:pPr>
    <w:rPr>
      <w:rFonts w:ascii="宋体" w:hAnsi="宋体" w:eastAsia="黑体"/>
      <w:b w:val="0"/>
      <w:sz w:val="28"/>
      <w:szCs w:val="30"/>
    </w:rPr>
  </w:style>
  <w:style w:type="character" w:customStyle="1" w:styleId="118">
    <w:name w:val="标书正文格式 字符"/>
    <w:link w:val="116"/>
    <w:qFormat/>
    <w:locked/>
    <w:uiPriority w:val="0"/>
    <w:rPr>
      <w:rFonts w:ascii="宋体" w:hAnsi="宋体"/>
      <w:color w:val="000000"/>
      <w:sz w:val="24"/>
      <w:szCs w:val="24"/>
    </w:rPr>
  </w:style>
  <w:style w:type="paragraph" w:customStyle="1" w:styleId="119">
    <w:name w:val="标书表格"/>
    <w:basedOn w:val="1"/>
    <w:link w:val="121"/>
    <w:qFormat/>
    <w:uiPriority w:val="0"/>
    <w:pPr>
      <w:jc w:val="center"/>
    </w:pPr>
    <w:rPr>
      <w:rFonts w:ascii="Times New Roman" w:hAnsi="Times New Roman" w:eastAsia="宋体" w:cs="Times New Roman"/>
      <w:b/>
      <w:szCs w:val="20"/>
    </w:rPr>
  </w:style>
  <w:style w:type="character" w:customStyle="1" w:styleId="120">
    <w:name w:val="标书二级标题 字符"/>
    <w:link w:val="117"/>
    <w:qFormat/>
    <w:locked/>
    <w:uiPriority w:val="0"/>
    <w:rPr>
      <w:rFonts w:ascii="宋体" w:hAnsi="宋体" w:eastAsia="黑体" w:cs="Times New Roman"/>
      <w:bCs/>
      <w:sz w:val="28"/>
      <w:szCs w:val="30"/>
    </w:rPr>
  </w:style>
  <w:style w:type="character" w:customStyle="1" w:styleId="121">
    <w:name w:val="标书表格 字符"/>
    <w:link w:val="119"/>
    <w:qFormat/>
    <w:locked/>
    <w:uiPriority w:val="0"/>
    <w:rPr>
      <w:rFonts w:ascii="Times New Roman" w:hAnsi="Times New Roman" w:eastAsia="宋体" w:cs="Times New Roman"/>
      <w:b/>
      <w:szCs w:val="20"/>
    </w:rPr>
  </w:style>
  <w:style w:type="paragraph" w:customStyle="1" w:styleId="122">
    <w:name w:val="标书三级标题"/>
    <w:basedOn w:val="5"/>
    <w:next w:val="116"/>
    <w:link w:val="123"/>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3">
    <w:name w:val="标书三级标题 字符"/>
    <w:link w:val="122"/>
    <w:qFormat/>
    <w:locked/>
    <w:uiPriority w:val="0"/>
    <w:rPr>
      <w:rFonts w:ascii="Times New Roman" w:hAnsi="Times New Roman" w:eastAsia="宋体" w:cs="Times New Roman"/>
      <w:b/>
      <w:bCs/>
      <w:color w:val="000000"/>
      <w:sz w:val="24"/>
      <w:szCs w:val="24"/>
    </w:rPr>
  </w:style>
  <w:style w:type="character" w:customStyle="1" w:styleId="124">
    <w:name w:val="标三级标题 字符"/>
    <w:link w:val="125"/>
    <w:qFormat/>
    <w:locked/>
    <w:uiPriority w:val="0"/>
    <w:rPr>
      <w:b/>
      <w:color w:val="000000"/>
      <w:sz w:val="24"/>
    </w:rPr>
  </w:style>
  <w:style w:type="paragraph" w:customStyle="1" w:styleId="125">
    <w:name w:val="标三级标题"/>
    <w:basedOn w:val="122"/>
    <w:link w:val="124"/>
    <w:qFormat/>
    <w:uiPriority w:val="0"/>
    <w:rPr>
      <w:rFonts w:asciiTheme="minorHAnsi" w:hAnsiTheme="minorHAnsi" w:eastAsiaTheme="minorEastAsia" w:cstheme="minorBidi"/>
      <w:bCs w:val="0"/>
      <w:szCs w:val="22"/>
    </w:rPr>
  </w:style>
  <w:style w:type="character" w:customStyle="1" w:styleId="126">
    <w:name w:val="标正文 字符"/>
    <w:link w:val="127"/>
    <w:qFormat/>
    <w:locked/>
    <w:uiPriority w:val="0"/>
    <w:rPr>
      <w:rFonts w:ascii="宋体" w:eastAsia="宋体"/>
      <w:color w:val="000000"/>
      <w:sz w:val="24"/>
    </w:rPr>
  </w:style>
  <w:style w:type="paragraph" w:customStyle="1" w:styleId="127">
    <w:name w:val="标正文"/>
    <w:basedOn w:val="116"/>
    <w:link w:val="126"/>
    <w:qFormat/>
    <w:uiPriority w:val="0"/>
    <w:pPr>
      <w:ind w:firstLine="480"/>
    </w:pPr>
    <w:rPr>
      <w:rFonts w:eastAsia="宋体" w:hAnsiTheme="minorHAnsi"/>
      <w:szCs w:val="22"/>
    </w:rPr>
  </w:style>
  <w:style w:type="paragraph" w:customStyle="1" w:styleId="128">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9">
    <w:name w:val="HR正文表格"/>
    <w:basedOn w:val="1"/>
    <w:qFormat/>
    <w:uiPriority w:val="0"/>
    <w:pPr>
      <w:spacing w:beforeLines="25" w:afterLines="25" w:line="300" w:lineRule="auto"/>
    </w:pPr>
    <w:rPr>
      <w:szCs w:val="24"/>
    </w:rPr>
  </w:style>
  <w:style w:type="paragraph" w:styleId="130">
    <w:name w:val="List Paragraph"/>
    <w:basedOn w:val="1"/>
    <w:qFormat/>
    <w:uiPriority w:val="99"/>
    <w:pPr>
      <w:ind w:firstLine="420" w:firstLineChars="200"/>
    </w:pPr>
  </w:style>
  <w:style w:type="paragraph" w:customStyle="1" w:styleId="131">
    <w:name w:val="WPSOffice手动目录 1"/>
    <w:qFormat/>
    <w:uiPriority w:val="0"/>
    <w:rPr>
      <w:rFonts w:ascii="Times New Roman" w:hAnsi="Times New Roman" w:eastAsia="宋体" w:cs="Times New Roman"/>
      <w:lang w:val="en-US" w:eastAsia="zh-CN" w:bidi="ar-SA"/>
    </w:rPr>
  </w:style>
  <w:style w:type="table" w:customStyle="1" w:styleId="132">
    <w:name w:val="Table Normal"/>
    <w:semiHidden/>
    <w:unhideWhenUsed/>
    <w:qFormat/>
    <w:uiPriority w:val="0"/>
    <w:tblPr>
      <w:tblCellMar>
        <w:top w:w="0" w:type="dxa"/>
        <w:left w:w="0" w:type="dxa"/>
        <w:bottom w:w="0" w:type="dxa"/>
        <w:right w:w="0" w:type="dxa"/>
      </w:tblCellMar>
    </w:tblPr>
  </w:style>
  <w:style w:type="character" w:customStyle="1" w:styleId="133">
    <w:name w:val="NormalCharacter"/>
    <w:qFormat/>
    <w:uiPriority w:val="0"/>
  </w:style>
  <w:style w:type="paragraph" w:customStyle="1" w:styleId="134">
    <w:name w:val="Table Paragraph"/>
    <w:basedOn w:val="1"/>
    <w:qFormat/>
    <w:uiPriority w:val="1"/>
    <w:rPr>
      <w:rFonts w:ascii="宋体" w:hAnsi="宋体" w:eastAsia="宋体" w:cs="宋体"/>
    </w:rPr>
  </w:style>
  <w:style w:type="paragraph" w:customStyle="1" w:styleId="135">
    <w:name w:val="标书一级标题"/>
    <w:basedOn w:val="3"/>
    <w:link w:val="144"/>
    <w:qFormat/>
    <w:uiPriority w:val="0"/>
    <w:rPr>
      <w:rFonts w:eastAsia="黑体"/>
      <w:b w:val="0"/>
      <w:color w:val="000000"/>
      <w:sz w:val="30"/>
      <w:szCs w:val="24"/>
    </w:rPr>
  </w:style>
  <w:style w:type="paragraph" w:customStyle="1" w:styleId="136">
    <w:name w:val="首行缩进"/>
    <w:basedOn w:val="1"/>
    <w:qFormat/>
    <w:uiPriority w:val="0"/>
    <w:pPr>
      <w:ind w:firstLine="480" w:firstLineChars="200"/>
    </w:pPr>
    <w:rPr>
      <w:lang w:val="zh-CN"/>
    </w:rPr>
  </w:style>
  <w:style w:type="paragraph" w:customStyle="1" w:styleId="137">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9">
    <w:name w:val="正文表标题"/>
    <w:next w:val="138"/>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0">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1">
    <w:name w:val="font11"/>
    <w:basedOn w:val="42"/>
    <w:qFormat/>
    <w:uiPriority w:val="0"/>
    <w:rPr>
      <w:rFonts w:hint="eastAsia" w:ascii="宋体" w:hAnsi="宋体" w:eastAsia="宋体" w:cs="宋体"/>
      <w:color w:val="000000"/>
      <w:sz w:val="32"/>
      <w:szCs w:val="32"/>
      <w:u w:val="none"/>
    </w:rPr>
  </w:style>
  <w:style w:type="character" w:customStyle="1" w:styleId="142">
    <w:name w:val="font21"/>
    <w:basedOn w:val="42"/>
    <w:qFormat/>
    <w:uiPriority w:val="0"/>
    <w:rPr>
      <w:rFonts w:hint="eastAsia" w:ascii="宋体" w:hAnsi="宋体" w:eastAsia="宋体" w:cs="宋体"/>
      <w:color w:val="000000"/>
      <w:sz w:val="21"/>
      <w:szCs w:val="21"/>
      <w:u w:val="none"/>
    </w:rPr>
  </w:style>
  <w:style w:type="character" w:customStyle="1" w:styleId="143">
    <w:name w:val="font41"/>
    <w:basedOn w:val="42"/>
    <w:qFormat/>
    <w:uiPriority w:val="0"/>
    <w:rPr>
      <w:rFonts w:hint="default" w:ascii="Times New Roman" w:hAnsi="Times New Roman" w:cs="Times New Roman"/>
      <w:color w:val="000000"/>
      <w:sz w:val="32"/>
      <w:szCs w:val="32"/>
      <w:u w:val="none"/>
    </w:rPr>
  </w:style>
  <w:style w:type="character" w:customStyle="1" w:styleId="144">
    <w:name w:val="标书一级标题 字符"/>
    <w:link w:val="135"/>
    <w:qFormat/>
    <w:uiPriority w:val="0"/>
    <w:rPr>
      <w:rFonts w:eastAsia="黑体" w:asciiTheme="minorHAnsi" w:hAnsiTheme="minorHAnsi" w:cstheme="minorBidi"/>
      <w:bCs/>
      <w:color w:val="000000"/>
      <w:kern w:val="44"/>
      <w:sz w:val="30"/>
      <w:szCs w:val="24"/>
    </w:rPr>
  </w:style>
  <w:style w:type="character" w:customStyle="1" w:styleId="145">
    <w:name w:val="Unresolved Mention"/>
    <w:basedOn w:val="42"/>
    <w:semiHidden/>
    <w:unhideWhenUsed/>
    <w:qFormat/>
    <w:uiPriority w:val="99"/>
    <w:rPr>
      <w:color w:val="605E5C"/>
      <w:shd w:val="clear" w:color="auto" w:fill="E1DFDD"/>
    </w:rPr>
  </w:style>
  <w:style w:type="paragraph" w:customStyle="1" w:styleId="146">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footer" Target="foot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111</Pages>
  <Words>9794</Words>
  <Characters>55830</Characters>
  <Lines>465</Lines>
  <Paragraphs>130</Paragraphs>
  <TotalTime>13</TotalTime>
  <ScaleCrop>false</ScaleCrop>
  <LinksUpToDate>false</LinksUpToDate>
  <CharactersWithSpaces>65494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2024-06-21T03:25:00Z</cp:lastPrinted>
  <dcterms:modified xsi:type="dcterms:W3CDTF">2025-10-11T07:11:38Z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1D2B68A8623843D2B03E6F4028EC20D4</vt:lpwstr>
  </property>
  <property fmtid="{D5CDD505-2E9C-101B-9397-08002B2CF9AE}" pid="4" name="KSOTemplateDocerSaveRecord">
    <vt:lpwstr>eyJoZGlkIjoiNWM4YzFjOWU0Nzg0NmRkMzI1ZDk2YmYxNGU0NmE0YTUiLCJ1c2VySWQiOiIyMzM1Mzg3MjEifQ==</vt:lpwstr>
  </property>
</Properties>
</file>