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DA36AA">
      <w:pPr>
        <w:jc w:val="center"/>
        <w:rPr>
          <w:rFonts w:ascii="宋体" w:hAnsi="Calibri" w:eastAsia="宋体" w:cs="Times New Roman"/>
          <w:color w:val="000000"/>
          <w:sz w:val="30"/>
          <w:szCs w:val="30"/>
        </w:rPr>
      </w:pPr>
      <w:bookmarkStart w:id="0" w:name="OLE_LINK30"/>
      <w:bookmarkStart w:id="1" w:name="OLE_LINK31"/>
    </w:p>
    <w:p w14:paraId="71EBAF51">
      <w:pPr>
        <w:pStyle w:val="18"/>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济南卡车</w:t>
      </w:r>
      <w:r>
        <w:rPr>
          <w:rFonts w:hint="eastAsia" w:ascii="Calibri" w:hAnsi="宋体" w:eastAsia="宋体" w:cs="Times New Roman"/>
          <w:b/>
          <w:bCs/>
          <w:color w:val="000000"/>
          <w:spacing w:val="-8"/>
          <w:sz w:val="48"/>
          <w:szCs w:val="44"/>
          <w:lang w:val="en-US" w:eastAsia="zh-CN"/>
        </w:rPr>
        <w:t>制造</w:t>
      </w:r>
      <w:r>
        <w:rPr>
          <w:rFonts w:hint="eastAsia" w:ascii="Calibri" w:hAnsi="宋体" w:eastAsia="宋体" w:cs="Times New Roman"/>
          <w:b/>
          <w:bCs/>
          <w:color w:val="000000"/>
          <w:spacing w:val="-8"/>
          <w:sz w:val="48"/>
          <w:szCs w:val="44"/>
        </w:rPr>
        <w:t>公司</w:t>
      </w:r>
      <w:r>
        <w:rPr>
          <w:rFonts w:hint="eastAsia" w:ascii="Calibri" w:hAnsi="宋体" w:eastAsia="宋体" w:cs="Times New Roman"/>
          <w:b/>
          <w:bCs/>
          <w:color w:val="000000"/>
          <w:spacing w:val="-8"/>
          <w:sz w:val="48"/>
          <w:szCs w:val="44"/>
          <w:lang w:val="en-US" w:eastAsia="zh-CN"/>
        </w:rPr>
        <w:t>党家庄</w:t>
      </w:r>
      <w:r>
        <w:rPr>
          <w:rFonts w:hint="eastAsia" w:ascii="Calibri" w:hAnsi="宋体" w:eastAsia="宋体" w:cs="Times New Roman"/>
          <w:b/>
          <w:bCs/>
          <w:color w:val="000000"/>
          <w:spacing w:val="-8"/>
          <w:sz w:val="48"/>
          <w:szCs w:val="44"/>
        </w:rPr>
        <w:t>厂区</w:t>
      </w:r>
    </w:p>
    <w:p w14:paraId="2B0C74DE">
      <w:pPr>
        <w:pStyle w:val="18"/>
        <w:jc w:val="center"/>
      </w:pPr>
      <w:r>
        <w:rPr>
          <w:rFonts w:hint="eastAsia" w:ascii="Calibri" w:hAnsi="宋体" w:eastAsia="宋体" w:cs="Times New Roman"/>
          <w:b/>
          <w:bCs/>
          <w:color w:val="000000"/>
          <w:spacing w:val="-8"/>
          <w:sz w:val="48"/>
          <w:szCs w:val="44"/>
        </w:rPr>
        <w:t>总三车间总装北线加固改造技改项目</w:t>
      </w:r>
    </w:p>
    <w:p w14:paraId="2210F383">
      <w:pPr>
        <w:pStyle w:val="18"/>
      </w:pPr>
    </w:p>
    <w:p w14:paraId="627EFF80">
      <w:pPr>
        <w:pStyle w:val="18"/>
      </w:pPr>
    </w:p>
    <w:p w14:paraId="637BC147">
      <w:pPr>
        <w:jc w:val="right"/>
        <w:rPr>
          <w:rFonts w:ascii="Calibri" w:hAnsi="Calibri" w:eastAsia="宋体" w:cs="Times New Roman"/>
          <w:color w:val="000000"/>
          <w:sz w:val="28"/>
          <w:szCs w:val="28"/>
        </w:rPr>
      </w:pPr>
    </w:p>
    <w:p w14:paraId="083D3A79">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招</w:t>
      </w:r>
    </w:p>
    <w:p w14:paraId="4F99EEB9">
      <w:pPr>
        <w:jc w:val="center"/>
        <w:rPr>
          <w:rFonts w:hint="eastAsia" w:ascii="黑体" w:hAnsi="宋体" w:eastAsia="黑体" w:cs="Times New Roman"/>
          <w:color w:val="000000"/>
          <w:sz w:val="72"/>
          <w:szCs w:val="72"/>
        </w:rPr>
      </w:pPr>
    </w:p>
    <w:p w14:paraId="3B5EFF90">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14:paraId="655829FD">
      <w:pPr>
        <w:jc w:val="center"/>
        <w:rPr>
          <w:rFonts w:hint="eastAsia" w:ascii="黑体" w:hAnsi="宋体" w:eastAsia="黑体" w:cs="Times New Roman"/>
          <w:color w:val="000000"/>
          <w:sz w:val="72"/>
          <w:szCs w:val="72"/>
        </w:rPr>
      </w:pPr>
    </w:p>
    <w:p w14:paraId="630DCF7B">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35CA9523">
      <w:pPr>
        <w:spacing w:line="860" w:lineRule="exact"/>
        <w:rPr>
          <w:rFonts w:hint="eastAsia" w:ascii="华文仿宋" w:hAnsi="华文仿宋" w:eastAsia="华文仿宋"/>
          <w:sz w:val="32"/>
          <w:szCs w:val="28"/>
        </w:rPr>
      </w:pPr>
      <w:r>
        <w:rPr>
          <w:rFonts w:hint="eastAsia" w:ascii="华文仿宋" w:hAnsi="华文仿宋" w:eastAsia="华文仿宋"/>
          <w:sz w:val="32"/>
          <w:szCs w:val="28"/>
        </w:rPr>
        <w:t xml:space="preserve">            </w:t>
      </w:r>
    </w:p>
    <w:p w14:paraId="34A6C7E3">
      <w:pPr>
        <w:spacing w:line="860" w:lineRule="exact"/>
        <w:rPr>
          <w:rFonts w:hint="eastAsia" w:ascii="华文仿宋" w:hAnsi="华文仿宋" w:eastAsia="华文仿宋"/>
          <w:sz w:val="32"/>
          <w:szCs w:val="28"/>
        </w:rPr>
      </w:pPr>
    </w:p>
    <w:p w14:paraId="74ABF190">
      <w:pPr>
        <w:spacing w:line="860" w:lineRule="exact"/>
        <w:rPr>
          <w:rFonts w:hint="eastAsia" w:ascii="华文仿宋" w:hAnsi="华文仿宋" w:eastAsia="华文仿宋"/>
          <w:sz w:val="32"/>
          <w:szCs w:val="28"/>
        </w:rPr>
      </w:pPr>
    </w:p>
    <w:p w14:paraId="11759AF9">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w:t>
      </w:r>
    </w:p>
    <w:p w14:paraId="327B7DB1">
      <w:pPr>
        <w:pStyle w:val="18"/>
        <w:rPr>
          <w:b/>
          <w:bCs/>
        </w:rPr>
      </w:pPr>
    </w:p>
    <w:p w14:paraId="0F556421">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人：中国重汽集团济南卡车股份有限公司</w:t>
      </w:r>
    </w:p>
    <w:p w14:paraId="12C3EA22">
      <w:pPr>
        <w:jc w:val="center"/>
        <w:rPr>
          <w:rFonts w:ascii="宋体" w:hAnsi="Calibri" w:eastAsia="宋体" w:cs="Times New Roman"/>
          <w:color w:val="000000"/>
          <w:sz w:val="28"/>
          <w:szCs w:val="28"/>
        </w:rPr>
      </w:pPr>
      <w:r>
        <w:rPr>
          <w:rFonts w:hint="eastAsia" w:ascii="Calibri" w:hAnsi="Calibri" w:eastAsia="宋体" w:cs="Times New Roman"/>
          <w:color w:val="000000"/>
          <w:sz w:val="28"/>
          <w:szCs w:val="28"/>
        </w:rPr>
        <w:t>2026</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7</w:t>
      </w:r>
      <w:r>
        <w:rPr>
          <w:rFonts w:hint="eastAsia" w:ascii="Calibri" w:hAnsi="Calibri" w:eastAsia="宋体" w:cs="Times New Roman"/>
          <w:color w:val="000000"/>
          <w:sz w:val="28"/>
          <w:szCs w:val="28"/>
        </w:rPr>
        <w:t>月</w:t>
      </w:r>
    </w:p>
    <w:p w14:paraId="0470F922">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516496F4">
          <w:pPr>
            <w:spacing w:line="480" w:lineRule="auto"/>
            <w:jc w:val="center"/>
            <w:rPr>
              <w:rFonts w:hint="eastAsia" w:cs="宋体"/>
              <w:b/>
              <w:bCs/>
              <w:sz w:val="48"/>
              <w:szCs w:val="48"/>
            </w:rPr>
          </w:pPr>
          <w:r>
            <w:rPr>
              <w:rFonts w:ascii="宋体" w:hAnsi="宋体" w:eastAsia="宋体" w:cs="宋体"/>
              <w:b/>
              <w:bCs/>
              <w:sz w:val="48"/>
              <w:szCs w:val="48"/>
            </w:rPr>
            <w:t>目录</w:t>
          </w:r>
        </w:p>
        <w:p w14:paraId="4E7E0512">
          <w:pPr>
            <w:pStyle w:val="25"/>
            <w:tabs>
              <w:tab w:val="right" w:leader="dot" w:pos="9071"/>
            </w:tabs>
            <w:spacing w:line="480" w:lineRule="auto"/>
            <w:rPr>
              <w:rFonts w:hint="eastAsia"/>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14:paraId="1F8E866E">
          <w:pPr>
            <w:pStyle w:val="25"/>
            <w:tabs>
              <w:tab w:val="right" w:leader="dot" w:pos="9071"/>
            </w:tabs>
            <w:spacing w:line="480" w:lineRule="auto"/>
            <w:rPr>
              <w:rFonts w:hint="eastAsia"/>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r>
            <w:rPr>
              <w:rFonts w:hint="eastAsia"/>
              <w:color w:val="auto"/>
              <w:sz w:val="32"/>
              <w:szCs w:val="32"/>
            </w:rPr>
            <w:t>7</w:t>
          </w:r>
        </w:p>
        <w:p w14:paraId="66A5F93D">
          <w:pPr>
            <w:pStyle w:val="25"/>
            <w:tabs>
              <w:tab w:val="right" w:leader="dot" w:pos="9071"/>
            </w:tabs>
            <w:spacing w:line="480" w:lineRule="auto"/>
            <w:rPr>
              <w:rFonts w:hint="eastAsia"/>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14:paraId="42853228">
          <w:pPr>
            <w:pStyle w:val="25"/>
            <w:tabs>
              <w:tab w:val="right" w:leader="dot" w:pos="9071"/>
            </w:tabs>
            <w:spacing w:line="480" w:lineRule="auto"/>
            <w:rPr>
              <w:rFonts w:hint="eastAsia"/>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14:paraId="2D7027EA">
          <w:pPr>
            <w:pStyle w:val="25"/>
            <w:tabs>
              <w:tab w:val="right" w:leader="dot" w:pos="9071"/>
            </w:tabs>
            <w:spacing w:line="480" w:lineRule="auto"/>
            <w:rPr>
              <w:rFonts w:hint="eastAsia"/>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35</w:t>
          </w:r>
        </w:p>
        <w:p w14:paraId="54079249">
          <w:pPr>
            <w:pStyle w:val="25"/>
            <w:tabs>
              <w:tab w:val="right" w:leader="dot" w:pos="9071"/>
            </w:tabs>
            <w:spacing w:line="480" w:lineRule="auto"/>
            <w:rPr>
              <w:rFonts w:hint="eastAsia"/>
            </w:rPr>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53</w:t>
          </w:r>
        </w:p>
        <w:p w14:paraId="40034752">
          <w:pPr>
            <w:pStyle w:val="18"/>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14:paraId="09420938">
      <w:pPr>
        <w:pStyle w:val="18"/>
        <w:numPr>
          <w:ilvl w:val="0"/>
          <w:numId w:val="5"/>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14:paraId="7DFB08C5">
      <w:pPr>
        <w:pStyle w:val="18"/>
        <w:jc w:val="center"/>
        <w:rPr>
          <w:rFonts w:ascii="Calibri" w:hAnsi="Calibri" w:eastAsia="宋体" w:cs="Times New Roman"/>
          <w:b/>
          <w:bCs/>
          <w:kern w:val="44"/>
          <w:sz w:val="36"/>
          <w:szCs w:val="44"/>
        </w:rPr>
      </w:pPr>
    </w:p>
    <w:p w14:paraId="398CD7D3">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9"/>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5A24866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46D7A3E9">
            <w:pPr>
              <w:jc w:val="center"/>
              <w:rPr>
                <w:rStyle w:val="132"/>
                <w:rFonts w:hint="eastAsia" w:ascii="宋体" w:hAnsi="宋体" w:eastAsia="宋体" w:cs="宋体"/>
                <w:b/>
                <w:sz w:val="28"/>
                <w:szCs w:val="28"/>
              </w:rPr>
            </w:pPr>
            <w:bookmarkStart w:id="3" w:name="_Toc346372875"/>
            <w:r>
              <w:rPr>
                <w:rStyle w:val="132"/>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14E779D2">
            <w:pPr>
              <w:ind w:firstLine="562" w:firstLineChars="200"/>
              <w:jc w:val="center"/>
              <w:rPr>
                <w:rFonts w:hint="eastAsia" w:ascii="宋体" w:hAnsi="宋体" w:eastAsia="宋体" w:cs="宋体"/>
                <w:b/>
                <w:bCs/>
                <w:sz w:val="28"/>
                <w:szCs w:val="28"/>
              </w:rPr>
            </w:pPr>
            <w:r>
              <w:rPr>
                <w:rStyle w:val="132"/>
                <w:rFonts w:hint="eastAsia" w:ascii="宋体" w:hAnsi="宋体" w:eastAsia="宋体" w:cs="宋体"/>
                <w:b/>
                <w:sz w:val="28"/>
                <w:szCs w:val="28"/>
              </w:rPr>
              <w:t>编  列  内  容</w:t>
            </w:r>
          </w:p>
        </w:tc>
      </w:tr>
      <w:tr w14:paraId="79195E6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6"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811AAB7">
            <w:pPr>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14:paraId="07393AC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vMerge w:val="restart"/>
            <w:tcBorders>
              <w:top w:val="single" w:color="auto" w:sz="2" w:space="0"/>
              <w:left w:val="single" w:color="auto" w:sz="2" w:space="0"/>
              <w:right w:val="single" w:color="auto" w:sz="2" w:space="0"/>
            </w:tcBorders>
            <w:vAlign w:val="center"/>
          </w:tcPr>
          <w:p w14:paraId="5C6BA68B">
            <w:pPr>
              <w:jc w:val="center"/>
              <w:rPr>
                <w:rFonts w:hint="eastAsia"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14C80B16">
            <w:pPr>
              <w:ind w:firstLine="482" w:firstLineChars="200"/>
              <w:rPr>
                <w:rFonts w:hint="eastAsia"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sz w:val="24"/>
                <w:szCs w:val="24"/>
                <w:u w:val="single"/>
              </w:rPr>
              <w:t>济南卡车制造公司</w:t>
            </w:r>
            <w:r>
              <w:rPr>
                <w:rFonts w:hint="eastAsia" w:ascii="宋体" w:hAnsi="宋体" w:eastAsia="宋体" w:cs="宋体"/>
                <w:sz w:val="24"/>
                <w:szCs w:val="24"/>
                <w:u w:val="single"/>
                <w:lang w:val="en-US" w:eastAsia="zh-CN"/>
              </w:rPr>
              <w:t>党家庄厂区</w:t>
            </w:r>
            <w:r>
              <w:rPr>
                <w:rFonts w:hint="eastAsia" w:ascii="宋体" w:hAnsi="宋体" w:eastAsia="宋体" w:cs="宋体"/>
                <w:sz w:val="24"/>
                <w:szCs w:val="24"/>
                <w:u w:val="single"/>
              </w:rPr>
              <w:t>总三车间总装北线加固改造技改项目</w:t>
            </w:r>
          </w:p>
        </w:tc>
      </w:tr>
      <w:tr w14:paraId="773F608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5AC394AD">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14:paraId="6B0747D2">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采购形式编号：</w:t>
            </w:r>
            <w:r>
              <w:rPr>
                <w:rFonts w:hint="eastAsia" w:ascii="宋体" w:hAnsi="宋体" w:eastAsia="宋体" w:cs="宋体"/>
                <w:b/>
                <w:bCs/>
                <w:color w:val="000000" w:themeColor="text1"/>
                <w:sz w:val="24"/>
                <w:szCs w:val="24"/>
                <w:highlight w:val="none"/>
                <w14:textFill>
                  <w14:solidFill>
                    <w14:schemeClr w14:val="tx1"/>
                  </w14:solidFill>
                </w14:textFill>
              </w:rPr>
              <w:t>ZBGL2026070282</w:t>
            </w:r>
          </w:p>
        </w:tc>
      </w:tr>
      <w:tr w14:paraId="5BAD028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3FFE2560">
            <w:pPr>
              <w:jc w:val="center"/>
              <w:rPr>
                <w:rFonts w:hint="eastAsia"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7217347C">
            <w:pPr>
              <w:ind w:firstLine="482" w:firstLineChars="200"/>
              <w:rPr>
                <w:rFonts w:hint="default" w:ascii="宋体" w:hAnsi="宋体" w:eastAsia="宋体" w:cs="宋体"/>
                <w:sz w:val="24"/>
                <w:szCs w:val="24"/>
                <w:lang w:val="en-US"/>
              </w:rPr>
            </w:pPr>
            <w:r>
              <w:rPr>
                <w:rFonts w:hint="eastAsia" w:ascii="宋体" w:hAnsi="宋体" w:eastAsia="宋体" w:cs="宋体"/>
                <w:b/>
                <w:bCs/>
                <w:sz w:val="24"/>
                <w:szCs w:val="24"/>
              </w:rPr>
              <w:t>招标内容：</w:t>
            </w:r>
            <w:r>
              <w:rPr>
                <w:rFonts w:hint="eastAsia" w:ascii="宋体" w:hAnsi="宋体" w:eastAsia="宋体" w:cs="宋体"/>
                <w:sz w:val="24"/>
                <w:szCs w:val="24"/>
                <w:lang w:val="en-US" w:eastAsia="zh-CN"/>
              </w:rPr>
              <w:t>党家庄厂区总三车间总装北线承载能力加固改造至20T，使用系数不小于1.2</w:t>
            </w:r>
          </w:p>
        </w:tc>
      </w:tr>
      <w:tr w14:paraId="2306202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vMerge w:val="continue"/>
            <w:tcBorders>
              <w:left w:val="single" w:color="auto" w:sz="2" w:space="0"/>
              <w:bottom w:val="single" w:color="auto" w:sz="2" w:space="0"/>
              <w:right w:val="single" w:color="auto" w:sz="2" w:space="0"/>
            </w:tcBorders>
            <w:vAlign w:val="center"/>
          </w:tcPr>
          <w:p w14:paraId="100B185B">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14:paraId="01CC7FD2">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招标形式：</w:t>
            </w:r>
            <w:r>
              <w:rPr>
                <w:rFonts w:hint="eastAsia" w:ascii="宋体" w:hAnsi="宋体" w:eastAsia="宋体" w:cs="宋体"/>
                <w:sz w:val="24"/>
                <w:szCs w:val="24"/>
              </w:rPr>
              <w:t>公开招标</w:t>
            </w:r>
          </w:p>
        </w:tc>
      </w:tr>
      <w:tr w14:paraId="4EC72E3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59D155BE">
            <w:pPr>
              <w:jc w:val="center"/>
              <w:rPr>
                <w:rFonts w:hint="eastAsia"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584D812B">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招标人名称：</w:t>
            </w:r>
            <w:r>
              <w:rPr>
                <w:rFonts w:hint="eastAsia" w:ascii="宋体" w:hAnsi="宋体" w:eastAsia="宋体" w:cs="宋体"/>
                <w:sz w:val="24"/>
                <w:szCs w:val="24"/>
                <w:u w:val="single"/>
              </w:rPr>
              <w:t>中国重汽集团济南卡车股份有限公司</w:t>
            </w:r>
            <w:r>
              <w:rPr>
                <w:rFonts w:hint="eastAsia" w:ascii="宋体" w:hAnsi="宋体" w:eastAsia="宋体" w:cs="宋体"/>
                <w:bCs/>
                <w:snapToGrid w:val="0"/>
                <w:kern w:val="0"/>
                <w:sz w:val="24"/>
                <w:szCs w:val="24"/>
              </w:rPr>
              <w:t xml:space="preserve"> </w:t>
            </w:r>
          </w:p>
          <w:p w14:paraId="20987C9F">
            <w:pPr>
              <w:ind w:firstLine="482" w:firstLineChars="200"/>
              <w:rPr>
                <w:rFonts w:hint="eastAsia" w:ascii="宋体" w:hAnsi="宋体" w:eastAsia="宋体" w:cs="宋体"/>
                <w:sz w:val="24"/>
                <w:szCs w:val="24"/>
              </w:rPr>
            </w:pPr>
            <w:r>
              <w:rPr>
                <w:rFonts w:hint="eastAsia" w:ascii="宋体" w:hAnsi="宋体" w:eastAsia="宋体" w:cs="宋体"/>
                <w:b/>
                <w:snapToGrid w:val="0"/>
                <w:kern w:val="0"/>
                <w:sz w:val="24"/>
                <w:szCs w:val="24"/>
              </w:rPr>
              <w:t>招标人地址：</w:t>
            </w:r>
            <w:r>
              <w:rPr>
                <w:rFonts w:hint="eastAsia" w:ascii="宋体" w:hAnsi="宋体" w:eastAsia="宋体" w:cs="宋体"/>
                <w:sz w:val="24"/>
                <w:szCs w:val="24"/>
                <w:u w:val="single"/>
              </w:rPr>
              <w:t>济南市莱芜区莱城大道777号</w:t>
            </w:r>
          </w:p>
          <w:p w14:paraId="5B8A17AB">
            <w:pPr>
              <w:ind w:firstLine="482" w:firstLineChars="200"/>
              <w:rPr>
                <w:rFonts w:hint="eastAsia" w:ascii="宋体" w:hAnsi="宋体" w:eastAsia="宋体" w:cs="宋体"/>
                <w:bCs/>
                <w:snapToGrid w:val="0"/>
                <w:kern w:val="0"/>
                <w:sz w:val="24"/>
                <w:szCs w:val="24"/>
                <w:highlight w:val="yellow"/>
                <w:lang w:eastAsia="zh-CN"/>
              </w:rPr>
            </w:pPr>
            <w:r>
              <w:rPr>
                <w:rFonts w:hint="eastAsia" w:ascii="宋体" w:hAnsi="宋体" w:eastAsia="宋体" w:cs="宋体"/>
                <w:b/>
                <w:snapToGrid w:val="0"/>
                <w:kern w:val="0"/>
                <w:sz w:val="24"/>
                <w:szCs w:val="24"/>
                <w:highlight w:val="yellow"/>
              </w:rPr>
              <w:t>技术联系人：</w:t>
            </w:r>
            <w:r>
              <w:rPr>
                <w:rFonts w:hint="eastAsia" w:ascii="宋体" w:hAnsi="宋体" w:eastAsia="宋体" w:cs="宋体"/>
                <w:b/>
                <w:snapToGrid w:val="0"/>
                <w:kern w:val="0"/>
                <w:sz w:val="24"/>
                <w:szCs w:val="24"/>
                <w:highlight w:val="yellow"/>
                <w:lang w:val="en-US" w:eastAsia="zh-CN"/>
              </w:rPr>
              <w:t>刘兴瑶</w:t>
            </w:r>
          </w:p>
          <w:p w14:paraId="0817947C">
            <w:pPr>
              <w:pStyle w:val="18"/>
              <w:ind w:firstLine="482" w:firstLineChars="200"/>
              <w:rPr>
                <w:rFonts w:hint="default" w:hAnsi="宋体" w:eastAsia="宋体" w:cs="宋体"/>
                <w:b/>
                <w:snapToGrid w:val="0"/>
                <w:kern w:val="0"/>
                <w:sz w:val="24"/>
                <w:szCs w:val="24"/>
                <w:highlight w:val="yellow"/>
                <w:lang w:val="en-US" w:eastAsia="zh-CN"/>
              </w:rPr>
            </w:pPr>
            <w:r>
              <w:rPr>
                <w:rFonts w:hint="eastAsia" w:hAnsi="宋体" w:eastAsia="宋体" w:cs="宋体"/>
                <w:b/>
                <w:snapToGrid w:val="0"/>
                <w:kern w:val="0"/>
                <w:sz w:val="24"/>
                <w:szCs w:val="24"/>
                <w:highlight w:val="yellow"/>
              </w:rPr>
              <w:t>电话：198</w:t>
            </w:r>
            <w:r>
              <w:rPr>
                <w:rFonts w:hint="eastAsia" w:hAnsi="宋体" w:eastAsia="宋体" w:cs="宋体"/>
                <w:b/>
                <w:snapToGrid w:val="0"/>
                <w:kern w:val="0"/>
                <w:sz w:val="24"/>
                <w:szCs w:val="24"/>
                <w:highlight w:val="yellow"/>
                <w:lang w:val="en-US" w:eastAsia="zh-CN"/>
              </w:rPr>
              <w:t>61850639</w:t>
            </w:r>
          </w:p>
          <w:p w14:paraId="302242E2">
            <w:pPr>
              <w:pStyle w:val="18"/>
              <w:ind w:firstLine="482" w:firstLineChars="200"/>
              <w:rPr>
                <w:rFonts w:hint="eastAsia" w:hAnsi="宋体" w:eastAsia="宋体" w:cs="宋体"/>
                <w:b/>
                <w:snapToGrid w:val="0"/>
                <w:kern w:val="0"/>
                <w:sz w:val="24"/>
                <w:szCs w:val="24"/>
                <w:highlight w:val="yellow"/>
              </w:rPr>
            </w:pPr>
            <w:r>
              <w:rPr>
                <w:rFonts w:hint="eastAsia" w:hAnsi="宋体" w:eastAsia="宋体" w:cs="宋体"/>
                <w:b/>
                <w:snapToGrid w:val="0"/>
                <w:kern w:val="0"/>
                <w:sz w:val="24"/>
                <w:szCs w:val="24"/>
                <w:highlight w:val="yellow"/>
              </w:rPr>
              <w:t>邮箱：liuxingyao@sinotruk.com</w:t>
            </w:r>
          </w:p>
          <w:p w14:paraId="030ED522">
            <w:pPr>
              <w:ind w:firstLine="482" w:firstLineChars="200"/>
              <w:rPr>
                <w:rFonts w:hint="default" w:ascii="宋体"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yellow"/>
              </w:rPr>
              <w:t>商务联系人：</w:t>
            </w:r>
            <w:r>
              <w:rPr>
                <w:rFonts w:hint="eastAsia" w:ascii="宋体" w:hAnsi="宋体" w:eastAsia="宋体" w:cs="宋体"/>
                <w:b/>
                <w:snapToGrid w:val="0"/>
                <w:kern w:val="0"/>
                <w:sz w:val="24"/>
                <w:szCs w:val="24"/>
                <w:highlight w:val="yellow"/>
                <w:lang w:val="en-US" w:eastAsia="zh-CN"/>
              </w:rPr>
              <w:t>温崇炜</w:t>
            </w:r>
          </w:p>
          <w:p w14:paraId="08877D97">
            <w:pPr>
              <w:pStyle w:val="18"/>
              <w:ind w:firstLine="482" w:firstLineChars="200"/>
              <w:rPr>
                <w:rFonts w:hint="eastAsia" w:hAnsi="宋体" w:eastAsia="宋体" w:cs="宋体"/>
                <w:b/>
                <w:snapToGrid w:val="0"/>
                <w:kern w:val="0"/>
                <w:sz w:val="24"/>
                <w:szCs w:val="24"/>
                <w:highlight w:val="yellow"/>
              </w:rPr>
            </w:pPr>
            <w:r>
              <w:rPr>
                <w:rFonts w:hint="eastAsia" w:hAnsi="宋体" w:eastAsia="宋体" w:cs="宋体"/>
                <w:b/>
                <w:snapToGrid w:val="0"/>
                <w:kern w:val="0"/>
                <w:sz w:val="24"/>
                <w:szCs w:val="24"/>
                <w:highlight w:val="yellow"/>
              </w:rPr>
              <w:t>电话：15169592696</w:t>
            </w:r>
          </w:p>
          <w:p w14:paraId="499E2A59">
            <w:pPr>
              <w:ind w:firstLine="482" w:firstLineChars="200"/>
              <w:rPr>
                <w:rFonts w:hint="eastAsia" w:ascii="宋体" w:hAnsi="宋体" w:eastAsia="宋体" w:cs="宋体"/>
                <w:b/>
                <w:snapToGrid w:val="0"/>
                <w:kern w:val="0"/>
                <w:sz w:val="24"/>
                <w:szCs w:val="24"/>
                <w:highlight w:val="yellow"/>
              </w:rPr>
            </w:pPr>
            <w:r>
              <w:rPr>
                <w:rFonts w:hint="eastAsia" w:ascii="宋体" w:hAnsi="宋体" w:eastAsia="宋体" w:cs="宋体"/>
                <w:b/>
                <w:snapToGrid w:val="0"/>
                <w:kern w:val="0"/>
                <w:sz w:val="24"/>
                <w:szCs w:val="24"/>
                <w:highlight w:val="yellow"/>
              </w:rPr>
              <w:t>邮箱：</w:t>
            </w:r>
            <w:r>
              <w:rPr>
                <w:rFonts w:hint="eastAsia" w:ascii="宋体" w:hAnsi="宋体" w:eastAsia="宋体" w:cs="宋体"/>
                <w:b/>
                <w:snapToGrid w:val="0"/>
                <w:kern w:val="0"/>
                <w:sz w:val="24"/>
                <w:szCs w:val="24"/>
                <w:highlight w:val="yellow"/>
              </w:rPr>
              <w:fldChar w:fldCharType="begin"/>
            </w:r>
            <w:r>
              <w:rPr>
                <w:rFonts w:hint="eastAsia" w:ascii="宋体" w:hAnsi="宋体" w:eastAsia="宋体" w:cs="宋体"/>
                <w:b/>
                <w:snapToGrid w:val="0"/>
                <w:kern w:val="0"/>
                <w:sz w:val="24"/>
                <w:szCs w:val="24"/>
                <w:highlight w:val="yellow"/>
              </w:rPr>
              <w:instrText xml:space="preserve"> HYPERLINK "mailto:wenchongwei@sinotruk.com" </w:instrText>
            </w:r>
            <w:r>
              <w:rPr>
                <w:rFonts w:hint="eastAsia" w:ascii="宋体" w:hAnsi="宋体" w:eastAsia="宋体" w:cs="宋体"/>
                <w:b/>
                <w:snapToGrid w:val="0"/>
                <w:kern w:val="0"/>
                <w:sz w:val="24"/>
                <w:szCs w:val="24"/>
                <w:highlight w:val="yellow"/>
              </w:rPr>
              <w:fldChar w:fldCharType="separate"/>
            </w:r>
            <w:r>
              <w:rPr>
                <w:rStyle w:val="47"/>
                <w:rFonts w:hint="eastAsia" w:ascii="宋体" w:hAnsi="宋体" w:eastAsia="宋体" w:cs="宋体"/>
                <w:b/>
                <w:snapToGrid w:val="0"/>
                <w:kern w:val="0"/>
                <w:sz w:val="24"/>
                <w:szCs w:val="24"/>
                <w:highlight w:val="yellow"/>
              </w:rPr>
              <w:t>wenchongwei@sinotruk.com</w:t>
            </w:r>
            <w:r>
              <w:rPr>
                <w:rFonts w:hint="eastAsia" w:ascii="宋体" w:hAnsi="宋体" w:eastAsia="宋体" w:cs="宋体"/>
                <w:b/>
                <w:snapToGrid w:val="0"/>
                <w:kern w:val="0"/>
                <w:sz w:val="24"/>
                <w:szCs w:val="24"/>
                <w:highlight w:val="yellow"/>
              </w:rPr>
              <w:fldChar w:fldCharType="end"/>
            </w:r>
          </w:p>
          <w:p w14:paraId="53EFFA98">
            <w:pPr>
              <w:pStyle w:val="2"/>
              <w:ind w:firstLine="480"/>
              <w:rPr>
                <w:rFonts w:hint="default"/>
                <w:lang w:val="en-US" w:eastAsia="zh-CN"/>
              </w:rPr>
            </w:pPr>
            <w:r>
              <w:rPr>
                <w:rFonts w:hint="eastAsia"/>
                <w:lang w:val="en-US" w:eastAsia="zh-CN"/>
              </w:rPr>
              <w:t>招标联系人：李帅威；17860605079；邮箱：17860605079@163.com</w:t>
            </w:r>
          </w:p>
        </w:tc>
      </w:tr>
      <w:tr w14:paraId="7AFC6A3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70C8BD47">
            <w:pPr>
              <w:jc w:val="center"/>
              <w:rPr>
                <w:rFonts w:hint="eastAsia"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052C8ACB">
            <w:pPr>
              <w:ind w:firstLine="482" w:firstLineChars="200"/>
              <w:rPr>
                <w:rFonts w:hint="eastAsia"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14:paraId="26D0E2D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19A7782F">
            <w:pPr>
              <w:jc w:val="center"/>
              <w:rPr>
                <w:rFonts w:hint="eastAsia"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720CDBDD">
            <w:pPr>
              <w:ind w:firstLine="482" w:firstLineChars="200"/>
              <w:rPr>
                <w:rFonts w:hint="eastAsia"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14:paraId="6D0562F4">
            <w:pPr>
              <w:ind w:firstLine="482" w:firstLineChars="200"/>
              <w:rPr>
                <w:rFonts w:eastAsia="宋体"/>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tc>
      </w:tr>
      <w:tr w14:paraId="026E1AC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473E82D7">
            <w:pPr>
              <w:jc w:val="center"/>
              <w:rPr>
                <w:rFonts w:hint="eastAsia"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59DB28FB">
            <w:pPr>
              <w:pStyle w:val="18"/>
              <w:ind w:firstLine="482" w:firstLineChars="200"/>
              <w:rPr>
                <w:rFonts w:hint="eastAsia" w:hAnsi="宋体" w:eastAsia="宋体" w:cs="宋体"/>
                <w:b/>
                <w:bCs/>
                <w:color w:val="FF0000"/>
                <w:sz w:val="24"/>
                <w:szCs w:val="24"/>
              </w:rPr>
            </w:pPr>
            <w:r>
              <w:rPr>
                <w:rFonts w:hint="eastAsia" w:hAnsi="宋体" w:eastAsia="宋体" w:cs="宋体"/>
                <w:b/>
                <w:bCs/>
                <w:color w:val="000000"/>
                <w:sz w:val="24"/>
                <w:szCs w:val="24"/>
              </w:rPr>
              <w:t>投标人条件：</w:t>
            </w:r>
          </w:p>
          <w:p w14:paraId="67DD0A85">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1.拟标投人必须是在中华人民共和国境内注册的独立法人机构，具有独立承担民事责任能力；注册资金不少于</w:t>
            </w:r>
            <w:r>
              <w:rPr>
                <w:rFonts w:hint="eastAsia" w:hAnsi="宋体" w:eastAsia="宋体" w:cs="宋体"/>
                <w:b/>
                <w:bCs/>
                <w:color w:val="000000"/>
                <w:sz w:val="24"/>
                <w:szCs w:val="24"/>
                <w:highlight w:val="yellow"/>
                <w:u w:val="single"/>
                <w:lang w:val="en-US" w:eastAsia="zh-CN"/>
              </w:rPr>
              <w:t>5</w:t>
            </w:r>
            <w:r>
              <w:rPr>
                <w:rFonts w:hint="eastAsia" w:hAnsi="宋体" w:eastAsia="宋体" w:cs="宋体"/>
                <w:b/>
                <w:bCs/>
                <w:color w:val="000000"/>
                <w:sz w:val="24"/>
                <w:szCs w:val="24"/>
                <w:highlight w:val="yellow"/>
                <w:u w:val="single"/>
              </w:rPr>
              <w:t>00</w:t>
            </w:r>
            <w:r>
              <w:rPr>
                <w:rFonts w:hint="eastAsia" w:hAnsi="宋体" w:eastAsia="宋体" w:cs="宋体"/>
                <w:b/>
                <w:color w:val="000000"/>
                <w:sz w:val="24"/>
                <w:szCs w:val="24"/>
                <w:highlight w:val="yellow"/>
                <w:u w:val="single"/>
                <w:lang w:eastAsia="zh-CN"/>
              </w:rPr>
              <w:t>万元</w:t>
            </w:r>
            <w:r>
              <w:rPr>
                <w:rFonts w:hint="eastAsia" w:hAnsi="宋体" w:eastAsia="宋体" w:cs="宋体"/>
                <w:color w:val="000000"/>
                <w:sz w:val="24"/>
                <w:szCs w:val="24"/>
              </w:rPr>
              <w:t>人民币（或等值其他货币）；公司成立</w:t>
            </w:r>
            <w:r>
              <w:rPr>
                <w:rFonts w:hint="eastAsia" w:hAnsi="宋体" w:eastAsia="宋体" w:cs="宋体"/>
                <w:b/>
                <w:color w:val="000000"/>
                <w:sz w:val="24"/>
                <w:szCs w:val="24"/>
                <w:highlight w:val="yellow"/>
                <w:u w:val="single"/>
              </w:rPr>
              <w:t>三年以上</w:t>
            </w:r>
            <w:r>
              <w:rPr>
                <w:rFonts w:hint="eastAsia" w:hAnsi="宋体" w:eastAsia="宋体" w:cs="宋体"/>
                <w:color w:val="000000"/>
                <w:sz w:val="24"/>
                <w:szCs w:val="24"/>
              </w:rPr>
              <w:t>（以营业执照成立日期到开标当日满三年为准），且经营范围满足招标人需求；并在人员、设备、资金等方面具有承担本项目的能力；</w:t>
            </w:r>
          </w:p>
          <w:p w14:paraId="23F0CD5B">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w:t>
            </w:r>
            <w:r>
              <w:rPr>
                <w:rFonts w:hint="eastAsia" w:hAnsi="宋体" w:eastAsia="宋体" w:cs="宋体"/>
                <w:b/>
                <w:sz w:val="24"/>
                <w:szCs w:val="24"/>
              </w:rPr>
              <w:t>副本原件和扫描件（需盖章）</w:t>
            </w:r>
            <w:r>
              <w:rPr>
                <w:rFonts w:hint="eastAsia" w:hAnsi="宋体" w:eastAsia="宋体" w:cs="宋体"/>
                <w:color w:val="000000"/>
                <w:sz w:val="24"/>
                <w:szCs w:val="24"/>
              </w:rPr>
              <w:t>；</w:t>
            </w:r>
          </w:p>
          <w:p w14:paraId="07FBD6E9">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14204940">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4.</w:t>
            </w:r>
            <w:r>
              <w:rPr>
                <w:rFonts w:hAnsi="宋体" w:eastAsia="宋体" w:cs="宋体"/>
                <w:sz w:val="24"/>
                <w:szCs w:val="24"/>
              </w:rPr>
              <w:t>拟投标人在国家市场监督管理总局的《国家企业信用信息公示系统》中查询不存在不良记录</w:t>
            </w:r>
            <w:r>
              <w:rPr>
                <w:rFonts w:hint="eastAsia" w:hAnsi="宋体" w:eastAsia="宋体" w:cs="宋体"/>
                <w:color w:val="000000"/>
                <w:sz w:val="24"/>
                <w:szCs w:val="24"/>
              </w:rPr>
              <w:t>；</w:t>
            </w:r>
          </w:p>
          <w:p w14:paraId="17E43636">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14:paraId="6C8FD625">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w:t>
            </w:r>
            <w:r>
              <w:rPr>
                <w:rFonts w:hint="eastAsia" w:hAnsi="宋体" w:eastAsia="宋体" w:cs="宋体"/>
                <w:sz w:val="24"/>
                <w:szCs w:val="24"/>
                <w:highlight w:val="yellow"/>
              </w:rPr>
              <w:t>202</w:t>
            </w:r>
            <w:r>
              <w:rPr>
                <w:rFonts w:hint="eastAsia" w:hAnsi="宋体" w:eastAsia="宋体" w:cs="宋体"/>
                <w:sz w:val="24"/>
                <w:szCs w:val="24"/>
                <w:highlight w:val="yellow"/>
                <w:lang w:val="en-US" w:eastAsia="zh-CN"/>
              </w:rPr>
              <w:t>3</w:t>
            </w:r>
            <w:r>
              <w:rPr>
                <w:rFonts w:hint="eastAsia" w:hAnsi="宋体" w:eastAsia="宋体" w:cs="宋体"/>
                <w:sz w:val="24"/>
                <w:szCs w:val="24"/>
                <w:highlight w:val="yellow"/>
              </w:rPr>
              <w:t>年1月1日</w:t>
            </w:r>
            <w:r>
              <w:rPr>
                <w:rFonts w:hint="eastAsia" w:hAnsi="宋体" w:eastAsia="宋体" w:cs="宋体"/>
                <w:sz w:val="24"/>
                <w:szCs w:val="24"/>
              </w:rPr>
              <w:t>至今</w:t>
            </w:r>
            <w:r>
              <w:rPr>
                <w:rFonts w:hint="eastAsia" w:hAnsi="宋体" w:eastAsia="宋体" w:cs="宋体"/>
                <w:color w:val="000000"/>
                <w:sz w:val="24"/>
                <w:szCs w:val="24"/>
              </w:rPr>
              <w:t>经</w:t>
            </w:r>
            <w:r>
              <w:rPr>
                <w:rFonts w:hint="eastAsia" w:hAnsi="宋体" w:eastAsia="宋体" w:cs="宋体"/>
                <w:b/>
                <w:bCs/>
                <w:color w:val="000000"/>
                <w:sz w:val="24"/>
                <w:szCs w:val="24"/>
              </w:rPr>
              <w:t>第三方</w:t>
            </w:r>
            <w:r>
              <w:rPr>
                <w:rFonts w:hint="eastAsia" w:hAnsi="宋体" w:eastAsia="宋体" w:cs="宋体"/>
                <w:color w:val="000000"/>
                <w:sz w:val="24"/>
                <w:szCs w:val="24"/>
              </w:rPr>
              <w:t>会计师事务所审计且出具无保留意见的财务审计报告，并加盖公章，包括但不限于报告页、经审计的资产负债表、利润表、现金流量表及报表附注，且未显示异常；</w:t>
            </w:r>
          </w:p>
          <w:p w14:paraId="39384EA1">
            <w:pPr>
              <w:pStyle w:val="18"/>
              <w:ind w:firstLine="480" w:firstLineChars="200"/>
              <w:rPr>
                <w:rFonts w:hint="eastAsia" w:hAnsi="宋体" w:eastAsia="宋体" w:cs="宋体"/>
                <w:kern w:val="0"/>
                <w:sz w:val="24"/>
                <w:szCs w:val="24"/>
                <w:lang w:bidi="ar"/>
              </w:rPr>
            </w:pPr>
            <w:r>
              <w:rPr>
                <w:rFonts w:hint="eastAsia" w:hAnsi="宋体" w:eastAsia="宋体" w:cs="宋体"/>
                <w:color w:val="000000"/>
                <w:kern w:val="0"/>
                <w:sz w:val="24"/>
                <w:szCs w:val="24"/>
              </w:rPr>
              <w:t>7.</w:t>
            </w:r>
            <w:r>
              <w:rPr>
                <w:rFonts w:hint="eastAsia" w:hAnsi="宋体" w:eastAsia="宋体" w:cs="宋体"/>
                <w:color w:val="000000"/>
                <w:sz w:val="24"/>
                <w:szCs w:val="24"/>
              </w:rPr>
              <w:t>拟投标人有与本次招标内容相同或类似项目业绩，且近3年内无因服务不当而造成重大事故；</w:t>
            </w:r>
          </w:p>
          <w:p w14:paraId="5FA8A6C8">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8.</w:t>
            </w:r>
            <w:r>
              <w:rPr>
                <w:rFonts w:hAnsi="宋体" w:eastAsia="宋体" w:cs="宋体"/>
                <w:sz w:val="24"/>
                <w:szCs w:val="24"/>
              </w:rPr>
              <w:t>拟投标人近三年内在经营活动中无与本项目有关的违法及重大违规情况</w:t>
            </w:r>
            <w:r>
              <w:rPr>
                <w:rFonts w:hint="eastAsia" w:hAnsi="宋体" w:eastAsia="宋体" w:cs="宋体"/>
                <w:color w:val="000000"/>
                <w:sz w:val="24"/>
                <w:szCs w:val="24"/>
              </w:rPr>
              <w:t>；</w:t>
            </w:r>
          </w:p>
          <w:p w14:paraId="49ED4351">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14:paraId="2EDDCBCE">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10.拟投标人最近半年纳税正常；</w:t>
            </w:r>
          </w:p>
          <w:p w14:paraId="6AAFBB5E">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11.拟投标人信用证明材料（征信报告）未显示异常；</w:t>
            </w:r>
          </w:p>
          <w:p w14:paraId="0C1E5CC0">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12.拟投标人的直接或间接股东、法定代表人、董事、监事、高管非重汽员工及其亲属；</w:t>
            </w:r>
          </w:p>
          <w:p w14:paraId="6F5829A1">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13.</w:t>
            </w:r>
            <w:r>
              <w:rPr>
                <w:rFonts w:hint="eastAsia" w:hAnsi="宋体" w:eastAsia="宋体" w:cs="宋体"/>
                <w:b/>
                <w:bCs/>
                <w:color w:val="000000"/>
                <w:sz w:val="24"/>
                <w:szCs w:val="24"/>
              </w:rPr>
              <w:t>本项目不接受联合体投标，</w:t>
            </w:r>
            <w:r>
              <w:rPr>
                <w:rFonts w:hint="eastAsia" w:hAnsi="宋体" w:eastAsia="宋体" w:cs="宋体"/>
                <w:color w:val="000000"/>
                <w:sz w:val="24"/>
                <w:szCs w:val="24"/>
              </w:rPr>
              <w:t>拟投标人必须是最终投标单位和签订合同单位，不得以任何理由将已中标项目以任何形式分包或转包给其他单位。</w:t>
            </w:r>
          </w:p>
          <w:p w14:paraId="1D122429">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14.与招标人存在利害关系可能影响招标公正性的法人、其他组织或者个人，不得参加投标。</w:t>
            </w:r>
          </w:p>
        </w:tc>
      </w:tr>
      <w:tr w14:paraId="070ABD7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486B311">
            <w:pPr>
              <w:jc w:val="center"/>
              <w:rPr>
                <w:rFonts w:hint="eastAsia"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14:paraId="441BA3C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02FCA8A6">
            <w:pPr>
              <w:jc w:val="center"/>
              <w:rPr>
                <w:rFonts w:hint="eastAsia"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7A4B40F8">
            <w:pPr>
              <w:ind w:firstLine="482" w:firstLineChars="200"/>
              <w:rPr>
                <w:rFonts w:hint="eastAsia" w:ascii="宋体" w:hAnsi="宋体" w:eastAsia="宋体" w:cs="宋体"/>
                <w:sz w:val="24"/>
                <w:szCs w:val="24"/>
              </w:rPr>
            </w:pPr>
            <w:r>
              <w:rPr>
                <w:rFonts w:hint="eastAsia" w:ascii="宋体" w:hAnsi="宋体" w:eastAsia="宋体" w:cs="宋体"/>
                <w:b/>
                <w:bCs/>
                <w:sz w:val="24"/>
                <w:szCs w:val="24"/>
                <w:highlight w:val="none"/>
              </w:rPr>
              <w:t>发标时间：</w:t>
            </w:r>
            <w:r>
              <w:rPr>
                <w:rFonts w:hint="eastAsia" w:ascii="宋体" w:hAnsi="宋体" w:eastAsia="宋体" w:cs="宋体"/>
                <w:bCs/>
                <w:sz w:val="24"/>
                <w:szCs w:val="24"/>
                <w:highlight w:val="yellow"/>
              </w:rPr>
              <w:t>2026年</w:t>
            </w:r>
            <w:r>
              <w:rPr>
                <w:rFonts w:hint="eastAsia" w:ascii="宋体" w:hAnsi="宋体" w:eastAsia="宋体" w:cs="宋体"/>
                <w:bCs/>
                <w:sz w:val="24"/>
                <w:szCs w:val="24"/>
                <w:highlight w:val="yellow"/>
                <w:lang w:val="en-US" w:eastAsia="zh-CN"/>
              </w:rPr>
              <w:t>7</w:t>
            </w:r>
            <w:r>
              <w:rPr>
                <w:rFonts w:hint="eastAsia" w:ascii="宋体" w:hAnsi="宋体" w:eastAsia="宋体" w:cs="宋体"/>
                <w:bCs/>
                <w:sz w:val="24"/>
                <w:szCs w:val="24"/>
                <w:highlight w:val="yellow"/>
              </w:rPr>
              <w:t xml:space="preserve">月 </w:t>
            </w:r>
            <w:r>
              <w:rPr>
                <w:rFonts w:hint="eastAsia" w:ascii="宋体" w:hAnsi="宋体" w:eastAsia="宋体" w:cs="宋体"/>
                <w:bCs/>
                <w:sz w:val="24"/>
                <w:szCs w:val="24"/>
                <w:highlight w:val="yellow"/>
                <w:lang w:val="en-US" w:eastAsia="zh-CN"/>
              </w:rPr>
              <w:t>20</w:t>
            </w:r>
            <w:r>
              <w:rPr>
                <w:rFonts w:hint="eastAsia" w:ascii="宋体" w:hAnsi="宋体" w:eastAsia="宋体" w:cs="宋体"/>
                <w:bCs/>
                <w:sz w:val="24"/>
                <w:szCs w:val="24"/>
                <w:highlight w:val="yellow"/>
              </w:rPr>
              <w:t>日;</w:t>
            </w:r>
          </w:p>
        </w:tc>
      </w:tr>
      <w:tr w14:paraId="48B288B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7A5CD1FF">
            <w:pPr>
              <w:snapToGrid w:val="0"/>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14:paraId="160E089B">
            <w:pPr>
              <w:ind w:firstLine="482" w:firstLineChars="200"/>
              <w:rPr>
                <w:rFonts w:hint="eastAsia"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r>
              <w:rPr>
                <w:rFonts w:hint="eastAsia" w:ascii="宋体" w:hAnsi="宋体" w:eastAsia="宋体" w:cs="宋体"/>
                <w:sz w:val="24"/>
                <w:szCs w:val="24"/>
              </w:rPr>
              <w:t>、山东省阳光采购服务平台</w:t>
            </w:r>
            <w:r>
              <w:rPr>
                <w:rFonts w:hint="eastAsia" w:ascii="宋体" w:hAnsi="宋体" w:eastAsia="宋体" w:cs="Times New Roman"/>
                <w:color w:val="000000"/>
                <w:sz w:val="24"/>
                <w:szCs w:val="24"/>
              </w:rPr>
              <w:t>。</w:t>
            </w:r>
          </w:p>
        </w:tc>
      </w:tr>
      <w:tr w14:paraId="39704C4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4317B047">
            <w:pPr>
              <w:snapToGrid w:val="0"/>
              <w:ind w:firstLine="480" w:firstLineChars="200"/>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6FAD13AF">
            <w:pPr>
              <w:ind w:firstLine="480" w:firstLineChars="200"/>
              <w:jc w:val="left"/>
              <w:rPr>
                <w:rFonts w:hint="eastAsia"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14:paraId="59A8F7DB">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none"/>
              </w:rPr>
              <w:t>2026年</w:t>
            </w:r>
            <w:r>
              <w:rPr>
                <w:rFonts w:hint="eastAsia" w:ascii="宋体" w:hAnsi="宋体" w:eastAsia="宋体" w:cs="宋体"/>
                <w:bCs/>
                <w:sz w:val="24"/>
                <w:szCs w:val="24"/>
                <w:highlight w:val="none"/>
                <w:lang w:val="en-US" w:eastAsia="zh-CN"/>
              </w:rPr>
              <w:t>7</w:t>
            </w:r>
            <w:r>
              <w:rPr>
                <w:rFonts w:hint="eastAsia" w:ascii="宋体" w:hAnsi="宋体" w:eastAsia="宋体" w:cs="宋体"/>
                <w:bCs/>
                <w:sz w:val="24"/>
                <w:szCs w:val="24"/>
                <w:highlight w:val="none"/>
              </w:rPr>
              <w:t>月</w:t>
            </w:r>
            <w:r>
              <w:rPr>
                <w:rFonts w:hint="eastAsia" w:ascii="宋体" w:hAnsi="宋体" w:eastAsia="宋体" w:cs="宋体"/>
                <w:bCs/>
                <w:sz w:val="24"/>
                <w:szCs w:val="24"/>
                <w:highlight w:val="none"/>
                <w:lang w:val="en-US" w:eastAsia="zh-CN"/>
              </w:rPr>
              <w:t>28</w:t>
            </w:r>
            <w:r>
              <w:rPr>
                <w:rFonts w:hint="eastAsia" w:ascii="宋体" w:hAnsi="宋体" w:eastAsia="宋体" w:cs="宋体"/>
                <w:bCs/>
                <w:sz w:val="24"/>
                <w:szCs w:val="24"/>
                <w:highlight w:val="none"/>
              </w:rPr>
              <w:t>日17:00前；</w:t>
            </w:r>
          </w:p>
          <w:p w14:paraId="20B1C2FD">
            <w:pPr>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14:paraId="6F8F18A6">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14:paraId="6585E5F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654388BD">
            <w:pPr>
              <w:jc w:val="center"/>
              <w:rPr>
                <w:rFonts w:hint="eastAsia"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6992DAF1">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highlight w:val="none"/>
              </w:rPr>
              <w:t>领取答疑、澄清和修改文件时间</w:t>
            </w:r>
            <w:r>
              <w:rPr>
                <w:rFonts w:hint="eastAsia" w:ascii="宋体" w:hAnsi="宋体" w:eastAsia="宋体" w:cs="宋体"/>
                <w:sz w:val="24"/>
                <w:szCs w:val="24"/>
              </w:rPr>
              <w:t>：</w:t>
            </w:r>
            <w:r>
              <w:rPr>
                <w:rFonts w:hint="eastAsia" w:ascii="宋体" w:hAnsi="宋体" w:eastAsia="宋体" w:cs="宋体"/>
                <w:sz w:val="24"/>
                <w:szCs w:val="24"/>
                <w:highlight w:val="none"/>
              </w:rPr>
              <w:t>2026年</w:t>
            </w: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 xml:space="preserve">月 </w:t>
            </w:r>
            <w:r>
              <w:rPr>
                <w:rFonts w:hint="eastAsia" w:ascii="宋体" w:hAnsi="宋体" w:eastAsia="宋体" w:cs="宋体"/>
                <w:sz w:val="24"/>
                <w:szCs w:val="24"/>
                <w:highlight w:val="none"/>
                <w:lang w:val="en-US" w:eastAsia="zh-CN"/>
              </w:rPr>
              <w:t>28</w:t>
            </w:r>
            <w:r>
              <w:rPr>
                <w:rFonts w:hint="eastAsia" w:ascii="宋体" w:hAnsi="宋体" w:eastAsia="宋体" w:cs="宋体"/>
                <w:sz w:val="24"/>
                <w:szCs w:val="24"/>
                <w:highlight w:val="none"/>
              </w:rPr>
              <w:t>日17:00前；</w:t>
            </w:r>
          </w:p>
          <w:p w14:paraId="2695B60D">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14:paraId="4CA94CC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54DD0BEA">
            <w:pPr>
              <w:jc w:val="center"/>
              <w:rPr>
                <w:rFonts w:hint="eastAsia"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206454ED">
            <w:pPr>
              <w:pStyle w:val="115"/>
              <w:spacing w:line="240" w:lineRule="auto"/>
              <w:ind w:firstLine="482"/>
              <w:rPr>
                <w:rFonts w:hint="eastAsia" w:eastAsia="宋体" w:cs="宋体"/>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，注册完毕后按照</w:t>
            </w:r>
            <w:r>
              <w:rPr>
                <w:rFonts w:hint="eastAsia" w:eastAsia="宋体" w:cs="宋体"/>
                <w:b/>
              </w:rPr>
              <w:t>“SRM系统供应商用户手册（附件16）”，</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后进入“供应商应标”，选择对应的项目，点击</w:t>
            </w:r>
            <w:r>
              <w:rPr>
                <w:rFonts w:hint="eastAsia" w:eastAsia="宋体" w:cs="Times New Roman"/>
                <w:highlight w:val="red"/>
              </w:rPr>
              <w:t>“</w:t>
            </w:r>
            <w:r>
              <w:rPr>
                <w:rFonts w:hint="eastAsia" w:eastAsia="宋体" w:cs="Times New Roman"/>
                <w:b/>
                <w:bCs/>
                <w:highlight w:val="red"/>
              </w:rPr>
              <w:t>应标</w:t>
            </w:r>
            <w:r>
              <w:rPr>
                <w:rFonts w:hint="eastAsia" w:eastAsia="宋体" w:cs="Times New Roman"/>
                <w:highlight w:val="red"/>
              </w:rPr>
              <w:t>”</w:t>
            </w:r>
            <w:r>
              <w:rPr>
                <w:rFonts w:hint="eastAsia" w:eastAsia="宋体" w:cs="Times New Roman"/>
                <w:b/>
                <w:bCs/>
                <w:highlight w:val="red"/>
              </w:rPr>
              <w:t>后按照招标文件第三部分投标文件组成资格证明文件中的1.1</w:t>
            </w:r>
            <w:r>
              <w:rPr>
                <w:rFonts w:eastAsia="宋体" w:cs="Times New Roman"/>
                <w:b/>
                <w:bCs/>
                <w:highlight w:val="red"/>
              </w:rPr>
              <w:t>-</w:t>
            </w:r>
            <w:r>
              <w:rPr>
                <w:rFonts w:hint="eastAsia" w:eastAsia="宋体" w:cs="Times New Roman"/>
                <w:b/>
                <w:bCs/>
                <w:highlight w:val="red"/>
              </w:rPr>
              <w:t>1.1</w:t>
            </w:r>
            <w:r>
              <w:rPr>
                <w:rFonts w:hint="eastAsia" w:eastAsia="宋体" w:cs="Times New Roman"/>
                <w:b/>
                <w:bCs/>
                <w:highlight w:val="red"/>
                <w:lang w:val="en-US" w:eastAsia="zh-CN"/>
              </w:rPr>
              <w:t>3</w:t>
            </w:r>
            <w:r>
              <w:rPr>
                <w:rFonts w:hint="eastAsia" w:eastAsia="宋体" w:cs="Times New Roman"/>
                <w:b/>
                <w:bCs/>
                <w:highlight w:val="red"/>
              </w:rPr>
              <w:t>准备资料并</w:t>
            </w:r>
            <w:r>
              <w:rPr>
                <w:rFonts w:hint="eastAsia" w:eastAsia="宋体" w:cs="Times New Roman"/>
                <w:highlight w:val="red"/>
              </w:rPr>
              <w:t>上传，资质审查通过即为报名成功</w:t>
            </w:r>
            <w:r>
              <w:rPr>
                <w:rFonts w:hint="eastAsia" w:hAnsi="Courier New" w:eastAsia="宋体" w:cs="Times New Roman"/>
                <w:highlight w:val="red"/>
              </w:rPr>
              <w:t>；</w:t>
            </w:r>
            <w:r>
              <w:rPr>
                <w:rFonts w:hint="eastAsia" w:hAnsi="Courier New" w:eastAsia="宋体" w:cs="Times New Roman"/>
              </w:rPr>
              <w:t>公示期间请尽快报名</w:t>
            </w:r>
            <w:r>
              <w:rPr>
                <w:rFonts w:hint="eastAsia" w:eastAsia="宋体" w:cs="宋体"/>
              </w:rPr>
              <w:t>。</w:t>
            </w:r>
          </w:p>
        </w:tc>
      </w:tr>
      <w:tr w14:paraId="770D1FE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371A289D">
            <w:pPr>
              <w:jc w:val="left"/>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14:paraId="6D5EE76D">
            <w:pPr>
              <w:pStyle w:val="115"/>
              <w:spacing w:line="240" w:lineRule="auto"/>
              <w:ind w:firstLine="482"/>
              <w:rPr>
                <w:rFonts w:hint="eastAsia" w:eastAsia="宋体" w:cs="宋体"/>
                <w:highlight w:val="yellow"/>
              </w:rPr>
            </w:pPr>
            <w:r>
              <w:rPr>
                <w:rFonts w:hint="eastAsia" w:eastAsia="宋体" w:cs="宋体"/>
                <w:b/>
                <w:bCs/>
                <w:highlight w:val="none"/>
              </w:rPr>
              <w:t>应标截止时间：</w:t>
            </w:r>
            <w:r>
              <w:rPr>
                <w:rFonts w:hint="eastAsia" w:eastAsia="宋体" w:cs="宋体"/>
                <w:highlight w:val="yellow"/>
              </w:rPr>
              <w:t>2026年</w:t>
            </w:r>
            <w:r>
              <w:rPr>
                <w:rFonts w:hint="eastAsia" w:eastAsia="宋体" w:cs="宋体"/>
                <w:highlight w:val="yellow"/>
                <w:lang w:val="en-US" w:eastAsia="zh-CN"/>
              </w:rPr>
              <w:t>7</w:t>
            </w:r>
            <w:r>
              <w:rPr>
                <w:rFonts w:hint="eastAsia" w:eastAsia="宋体" w:cs="宋体"/>
                <w:highlight w:val="yellow"/>
              </w:rPr>
              <w:t xml:space="preserve">月 </w:t>
            </w:r>
            <w:r>
              <w:rPr>
                <w:rFonts w:hint="eastAsia" w:eastAsia="宋体" w:cs="宋体"/>
                <w:highlight w:val="yellow"/>
                <w:lang w:val="en-US" w:eastAsia="zh-CN"/>
              </w:rPr>
              <w:t>25</w:t>
            </w:r>
            <w:r>
              <w:rPr>
                <w:rFonts w:hint="eastAsia" w:eastAsia="宋体" w:cs="宋体"/>
                <w:highlight w:val="yellow"/>
              </w:rPr>
              <w:t>日17时00分00秒</w:t>
            </w:r>
          </w:p>
          <w:p w14:paraId="18014A42">
            <w:pPr>
              <w:pStyle w:val="115"/>
              <w:spacing w:line="240" w:lineRule="auto"/>
              <w:ind w:firstLine="482"/>
              <w:rPr>
                <w:rFonts w:hint="eastAsia"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14:paraId="549041B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B145D77">
            <w:pPr>
              <w:jc w:val="center"/>
              <w:rPr>
                <w:rFonts w:hint="eastAsia" w:hAnsi="宋体" w:eastAsia="宋体" w:cs="宋体"/>
                <w:b/>
                <w:bCs/>
                <w:sz w:val="24"/>
                <w:szCs w:val="24"/>
              </w:rPr>
            </w:pPr>
            <w:r>
              <w:rPr>
                <w:rFonts w:hint="eastAsia" w:ascii="宋体" w:hAnsi="宋体" w:eastAsia="宋体" w:cs="宋体"/>
                <w:b/>
                <w:bCs/>
                <w:sz w:val="24"/>
                <w:szCs w:val="24"/>
              </w:rPr>
              <w:t>3.投标文件的组成、编制及投递</w:t>
            </w:r>
          </w:p>
        </w:tc>
      </w:tr>
      <w:tr w14:paraId="43131CA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2BDC1410">
            <w:pPr>
              <w:jc w:val="center"/>
              <w:rPr>
                <w:rFonts w:hint="eastAsia"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66D6D820">
            <w:pPr>
              <w:ind w:firstLine="480" w:firstLineChars="200"/>
              <w:rPr>
                <w:rFonts w:hint="eastAsia"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w:t>
            </w:r>
            <w:r>
              <w:rPr>
                <w:rFonts w:hint="eastAsia" w:eastAsia="宋体" w:cs="宋体"/>
                <w:bCs/>
                <w:sz w:val="24"/>
                <w:szCs w:val="24"/>
                <w:highlight w:val="yellow"/>
              </w:rPr>
              <w:t>（电子版为纸质盖章版的扫描件）</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14:paraId="2527AE45">
            <w:pPr>
              <w:ind w:firstLine="482" w:firstLineChars="200"/>
              <w:rPr>
                <w:rFonts w:hint="eastAsia"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14:paraId="72AAF483">
            <w:pPr>
              <w:ind w:firstLine="480" w:firstLineChars="200"/>
              <w:rPr>
                <w:rFonts w:hint="eastAsia"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14:paraId="1360426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7B54D650">
            <w:pPr>
              <w:jc w:val="center"/>
              <w:rPr>
                <w:rFonts w:hint="eastAsia"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2256CAAB">
            <w:pPr>
              <w:ind w:firstLine="482" w:firstLineChars="200"/>
              <w:rPr>
                <w:rFonts w:hint="eastAsia" w:eastAsia="宋体" w:cs="宋体"/>
                <w:bCs/>
                <w:sz w:val="24"/>
                <w:szCs w:val="24"/>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p w14:paraId="53B85680">
            <w:pPr>
              <w:ind w:firstLine="420" w:firstLineChars="200"/>
              <w:rPr>
                <w:rFonts w:hint="eastAsia" w:eastAsia="宋体" w:cs="宋体"/>
                <w:bCs/>
                <w:sz w:val="24"/>
                <w:szCs w:val="24"/>
              </w:rPr>
            </w:pPr>
            <w:r>
              <w:rPr>
                <w:rFonts w:hint="eastAsia"/>
                <w:bCs/>
              </w:rPr>
              <w:t xml:space="preserve"> </w:t>
            </w:r>
            <w:r>
              <w:rPr>
                <w:rFonts w:hint="eastAsia" w:eastAsia="宋体" w:cs="宋体"/>
                <w:bCs/>
                <w:sz w:val="24"/>
                <w:szCs w:val="24"/>
              </w:rPr>
              <w:t>纸质版投标文件的份数要求为</w:t>
            </w:r>
            <w:r>
              <w:rPr>
                <w:rFonts w:hint="eastAsia" w:ascii="宋体" w:hAnsi="宋体" w:eastAsia="宋体" w:cs="宋体"/>
                <w:b/>
                <w:sz w:val="24"/>
                <w:szCs w:val="24"/>
                <w:highlight w:val="yellow"/>
              </w:rPr>
              <w:t>正本一份，</w:t>
            </w:r>
            <w:r>
              <w:rPr>
                <w:rFonts w:hint="eastAsia" w:ascii="宋体" w:hAnsi="宋体" w:eastAsia="宋体" w:cs="宋体"/>
                <w:bCs/>
                <w:sz w:val="24"/>
                <w:szCs w:val="24"/>
              </w:rPr>
              <w:t>资质投标书、技术投标书及商务投标书的</w:t>
            </w:r>
            <w:r>
              <w:rPr>
                <w:rFonts w:hint="eastAsia" w:eastAsia="宋体" w:cs="宋体"/>
                <w:b/>
                <w:sz w:val="24"/>
                <w:szCs w:val="24"/>
              </w:rPr>
              <w:t>同类文件封装在一个包封里，包封表面按照附件13标注文件信息；共计三个包封</w:t>
            </w:r>
            <w:r>
              <w:rPr>
                <w:rFonts w:hint="eastAsia" w:eastAsia="宋体" w:cs="宋体"/>
                <w:bCs/>
                <w:sz w:val="24"/>
                <w:szCs w:val="24"/>
              </w:rPr>
              <w:t>。</w:t>
            </w:r>
          </w:p>
          <w:p w14:paraId="6FFD20BA">
            <w:pPr>
              <w:pStyle w:val="18"/>
              <w:ind w:firstLine="480" w:firstLineChars="200"/>
              <w:rPr>
                <w:rFonts w:hint="eastAsia" w:eastAsia="宋体" w:cs="宋体" w:asciiTheme="minorHAnsi" w:hAnsiTheme="minorHAnsi"/>
                <w:bCs/>
                <w:sz w:val="24"/>
                <w:szCs w:val="24"/>
              </w:rPr>
            </w:pPr>
            <w:r>
              <w:rPr>
                <w:rFonts w:hint="eastAsia" w:eastAsia="宋体" w:cs="宋体" w:asciiTheme="minorHAnsi" w:hAnsiTheme="minorHAnsi"/>
                <w:bCs/>
                <w:sz w:val="24"/>
                <w:szCs w:val="24"/>
              </w:rPr>
              <w:t>如选择到场参与开标，自行携带纸质投标文件于开标前至开标地点即可。</w:t>
            </w:r>
          </w:p>
          <w:p w14:paraId="29DD1250">
            <w:pPr>
              <w:pStyle w:val="18"/>
              <w:ind w:firstLine="480" w:firstLineChars="200"/>
              <w:rPr>
                <w:rFonts w:hint="eastAsia" w:eastAsia="宋体" w:cs="宋体" w:asciiTheme="minorHAnsi" w:hAnsiTheme="minorHAnsi"/>
                <w:bCs/>
                <w:sz w:val="24"/>
                <w:szCs w:val="24"/>
              </w:rPr>
            </w:pPr>
            <w:r>
              <w:rPr>
                <w:rFonts w:hint="eastAsia" w:eastAsia="宋体" w:cs="宋体" w:asciiTheme="minorHAnsi" w:hAnsiTheme="minorHAnsi"/>
                <w:bCs/>
                <w:sz w:val="24"/>
                <w:szCs w:val="24"/>
              </w:rPr>
              <w:t>如选择线上参与开标，纸质投标文件需在开标日前两天，邮寄到指定地址。</w:t>
            </w:r>
          </w:p>
          <w:p w14:paraId="110B6AE5">
            <w:pPr>
              <w:pStyle w:val="18"/>
              <w:rPr>
                <w:rFonts w:hint="eastAsia" w:hAnsi="宋体" w:eastAsia="宋体" w:cs="Times New Roman"/>
                <w:color w:val="000000"/>
                <w:sz w:val="24"/>
                <w:szCs w:val="24"/>
              </w:rPr>
            </w:pPr>
            <w:r>
              <w:rPr>
                <w:rFonts w:hint="eastAsia" w:eastAsia="宋体" w:cs="宋体" w:asciiTheme="minorHAnsi" w:hAnsiTheme="minorHAnsi"/>
                <w:b/>
                <w:sz w:val="24"/>
                <w:szCs w:val="24"/>
                <w:highlight w:val="none"/>
              </w:rPr>
              <w:t>邮寄地址：</w:t>
            </w:r>
            <w:r>
              <w:rPr>
                <w:rFonts w:hint="eastAsia" w:hAnsi="宋体" w:eastAsia="宋体" w:cs="Times New Roman"/>
                <w:color w:val="000000"/>
                <w:sz w:val="24"/>
                <w:szCs w:val="24"/>
                <w:highlight w:val="yellow"/>
              </w:rPr>
              <w:t>山东省济南市莱芜区莱城大道</w:t>
            </w:r>
            <w:r>
              <w:rPr>
                <w:rFonts w:hAnsi="宋体" w:eastAsia="宋体" w:cs="Times New Roman"/>
                <w:color w:val="000000"/>
                <w:sz w:val="24"/>
                <w:szCs w:val="24"/>
                <w:highlight w:val="yellow"/>
              </w:rPr>
              <w:t>777</w:t>
            </w:r>
            <w:r>
              <w:rPr>
                <w:rFonts w:hint="eastAsia" w:hAnsi="宋体" w:eastAsia="宋体" w:cs="Times New Roman"/>
                <w:color w:val="000000"/>
                <w:sz w:val="24"/>
                <w:szCs w:val="24"/>
                <w:highlight w:val="yellow"/>
              </w:rPr>
              <w:t>号</w:t>
            </w:r>
          </w:p>
        </w:tc>
      </w:tr>
      <w:tr w14:paraId="413FB92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3E69E614">
            <w:pPr>
              <w:jc w:val="center"/>
              <w:rPr>
                <w:rFonts w:hint="eastAsia"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14:paraId="5A5260CB">
            <w:pPr>
              <w:pStyle w:val="18"/>
              <w:ind w:firstLine="482" w:firstLineChars="200"/>
              <w:rPr>
                <w:rFonts w:hint="eastAsia" w:hAnsi="宋体" w:eastAsia="宋体" w:cs="宋体"/>
                <w:b/>
                <w:bCs/>
                <w:sz w:val="24"/>
                <w:szCs w:val="24"/>
              </w:rPr>
            </w:pPr>
            <w:r>
              <w:rPr>
                <w:rFonts w:hint="eastAsia" w:hAnsi="宋体" w:eastAsia="宋体" w:cs="宋体"/>
                <w:b/>
                <w:bCs/>
                <w:sz w:val="24"/>
              </w:rPr>
              <w:t>纸质版投标文件和电子版投标文件必须保证内容一致；如确实存在不一致的，以电子标书为准，同时要求投标人对纸版标书</w:t>
            </w:r>
            <w:r>
              <w:rPr>
                <w:rFonts w:hint="eastAsia" w:hAnsi="宋体" w:eastAsia="宋体" w:cs="宋体"/>
                <w:b/>
                <w:bCs/>
                <w:sz w:val="24"/>
                <w:lang w:eastAsia="zh-CN"/>
              </w:rPr>
              <w:t>作出</w:t>
            </w:r>
            <w:r>
              <w:rPr>
                <w:rFonts w:hint="eastAsia" w:hAnsi="宋体" w:eastAsia="宋体" w:cs="宋体"/>
                <w:b/>
                <w:bCs/>
                <w:sz w:val="24"/>
              </w:rPr>
              <w:t>修正。</w:t>
            </w:r>
          </w:p>
        </w:tc>
      </w:tr>
      <w:tr w14:paraId="63A3B78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60437B90">
            <w:pPr>
              <w:jc w:val="center"/>
              <w:rPr>
                <w:rFonts w:hint="eastAsia"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14:paraId="5645A2C7">
            <w:pPr>
              <w:pStyle w:val="14"/>
              <w:spacing w:before="0" w:after="0" w:afterLines="0" w:line="24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2B0473B3">
            <w:pPr>
              <w:pStyle w:val="18"/>
              <w:rPr>
                <w:rFonts w:hint="eastAsia" w:eastAsia="宋体" w:cs="宋体" w:asciiTheme="minorHAnsi" w:hAnsiTheme="minorHAnsi"/>
                <w:b/>
                <w:sz w:val="24"/>
                <w:szCs w:val="24"/>
              </w:rPr>
            </w:pPr>
            <w:r>
              <w:rPr>
                <w:rFonts w:hint="eastAsia" w:hAnsi="宋体" w:eastAsia="宋体" w:cs="宋体"/>
                <w:b/>
                <w:bCs/>
                <w:sz w:val="24"/>
                <w:szCs w:val="24"/>
              </w:rPr>
              <w:t>技术标书和商务标书不单独装订的，投标文件做无效标处理。</w:t>
            </w:r>
          </w:p>
        </w:tc>
      </w:tr>
      <w:tr w14:paraId="1F1BFCC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33D9E92E">
            <w:pPr>
              <w:jc w:val="center"/>
              <w:rPr>
                <w:rFonts w:hint="eastAsia"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14:paraId="29C4190D">
            <w:pPr>
              <w:pStyle w:val="18"/>
              <w:ind w:firstLine="482" w:firstLineChars="200"/>
              <w:rPr>
                <w:rFonts w:hint="eastAsia" w:hAnsi="宋体" w:eastAsia="宋体" w:cs="宋体"/>
                <w:sz w:val="24"/>
                <w:szCs w:val="24"/>
                <w:highlight w:val="yellow"/>
              </w:rPr>
            </w:pPr>
            <w:r>
              <w:rPr>
                <w:rFonts w:hint="eastAsia" w:hAnsi="宋体" w:eastAsia="宋体" w:cs="宋体"/>
                <w:b/>
                <w:bCs/>
                <w:sz w:val="24"/>
                <w:szCs w:val="24"/>
                <w:highlight w:val="none"/>
              </w:rPr>
              <w:t>投标文件递交截止时间：</w:t>
            </w:r>
            <w:r>
              <w:rPr>
                <w:rFonts w:hint="eastAsia" w:hAnsi="宋体" w:eastAsia="宋体" w:cs="宋体"/>
                <w:sz w:val="24"/>
                <w:szCs w:val="24"/>
                <w:highlight w:val="yellow"/>
                <w:u w:val="single"/>
              </w:rPr>
              <w:t>2026</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7</w:t>
            </w:r>
            <w:r>
              <w:rPr>
                <w:rFonts w:hint="eastAsia" w:hAnsi="宋体" w:eastAsia="宋体" w:cs="宋体"/>
                <w:sz w:val="24"/>
                <w:szCs w:val="24"/>
                <w:highlight w:val="yellow"/>
              </w:rPr>
              <w:t>月</w:t>
            </w:r>
            <w:r>
              <w:rPr>
                <w:rFonts w:hint="eastAsia" w:hAnsi="宋体" w:eastAsia="宋体" w:cs="宋体"/>
                <w:sz w:val="24"/>
                <w:szCs w:val="24"/>
                <w:highlight w:val="yellow"/>
                <w:u w:val="single"/>
              </w:rPr>
              <w:t xml:space="preserve"> </w:t>
            </w:r>
            <w:r>
              <w:rPr>
                <w:rFonts w:hint="eastAsia" w:hAnsi="宋体" w:eastAsia="宋体" w:cs="宋体"/>
                <w:sz w:val="24"/>
                <w:szCs w:val="24"/>
                <w:highlight w:val="yellow"/>
                <w:u w:val="single"/>
                <w:lang w:val="en-US" w:eastAsia="zh-CN"/>
              </w:rPr>
              <w:t>31</w:t>
            </w:r>
            <w:r>
              <w:rPr>
                <w:rFonts w:hint="eastAsia" w:hAnsi="宋体" w:eastAsia="宋体" w:cs="宋体"/>
                <w:sz w:val="24"/>
                <w:szCs w:val="24"/>
                <w:highlight w:val="yellow"/>
              </w:rPr>
              <w:t>日</w:t>
            </w:r>
            <w:r>
              <w:rPr>
                <w:rFonts w:hint="eastAsia" w:hAnsi="宋体" w:eastAsia="宋体" w:cs="宋体"/>
                <w:kern w:val="0"/>
                <w:sz w:val="24"/>
                <w:szCs w:val="24"/>
                <w:highlight w:val="yellow"/>
                <w:lang w:val="en-US" w:eastAsia="zh-CN"/>
              </w:rPr>
              <w:t>9</w:t>
            </w:r>
            <w:r>
              <w:rPr>
                <w:rFonts w:hint="eastAsia" w:hAnsi="宋体" w:eastAsia="宋体" w:cs="宋体"/>
                <w:sz w:val="24"/>
                <w:szCs w:val="24"/>
                <w:highlight w:val="yellow"/>
              </w:rPr>
              <w:t>:00:00（北京时间）</w:t>
            </w:r>
          </w:p>
          <w:p w14:paraId="5E08AE6E">
            <w:pPr>
              <w:pStyle w:val="18"/>
              <w:ind w:firstLine="482" w:firstLineChars="200"/>
              <w:rPr>
                <w:rFonts w:hint="eastAsia"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14:paraId="30456C5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594F364C">
            <w:pPr>
              <w:jc w:val="center"/>
              <w:rPr>
                <w:rFonts w:hint="eastAsia"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14:paraId="4AFF2E33">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14:paraId="2079CE1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81FF04E">
            <w:pPr>
              <w:jc w:val="center"/>
              <w:rPr>
                <w:rFonts w:hint="eastAsia"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0263990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2229C9AB">
            <w:pPr>
              <w:jc w:val="center"/>
              <w:rPr>
                <w:rFonts w:hint="eastAsia"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7CBA3152">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14:paraId="7CC9237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06C8E595">
            <w:pPr>
              <w:jc w:val="center"/>
              <w:rPr>
                <w:rFonts w:hint="eastAsia"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7CED2064">
            <w:pPr>
              <w:tabs>
                <w:tab w:val="left" w:pos="932"/>
              </w:tabs>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20</w:t>
            </w:r>
            <w:r>
              <w:rPr>
                <w:rFonts w:hint="eastAsia" w:ascii="宋体" w:hAnsi="宋体" w:eastAsia="宋体" w:cs="宋体"/>
                <w:sz w:val="24"/>
                <w:szCs w:val="24"/>
                <w:highlight w:val="yellow"/>
              </w:rPr>
              <w:t>000元</w:t>
            </w:r>
          </w:p>
          <w:p w14:paraId="1866D2FE">
            <w:pPr>
              <w:tabs>
                <w:tab w:val="left" w:pos="932"/>
              </w:tabs>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单位名称：</w:t>
            </w:r>
            <w:r>
              <w:rPr>
                <w:rFonts w:ascii="宋体" w:hAnsi="宋体" w:eastAsia="宋体" w:cs="宋体"/>
                <w:sz w:val="24"/>
                <w:szCs w:val="24"/>
              </w:rPr>
              <w:t>中国重汽集团济南卡车股份有限公司</w:t>
            </w:r>
          </w:p>
          <w:p w14:paraId="1258CFB0">
            <w:pPr>
              <w:tabs>
                <w:tab w:val="left" w:pos="932"/>
              </w:tabs>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ascii="宋体" w:hAnsi="宋体" w:eastAsia="宋体" w:cs="宋体"/>
                <w:sz w:val="24"/>
                <w:szCs w:val="24"/>
              </w:rPr>
              <w:t>招商银行股份有限公司济南分行营业部</w:t>
            </w:r>
          </w:p>
          <w:p w14:paraId="140304F3">
            <w:pPr>
              <w:tabs>
                <w:tab w:val="left" w:pos="932"/>
              </w:tabs>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w:t>
            </w:r>
            <w:r>
              <w:rPr>
                <w:rFonts w:hint="eastAsia" w:ascii="宋体" w:hAnsi="宋体" w:eastAsia="宋体" w:cs="宋体"/>
                <w:b/>
                <w:bCs/>
                <w:color w:val="000000"/>
                <w:kern w:val="0"/>
                <w:sz w:val="24"/>
                <w:szCs w:val="24"/>
                <w:highlight w:val="yellow"/>
                <w:lang w:eastAsia="zh-CN"/>
              </w:rPr>
              <w:t>账号</w:t>
            </w:r>
            <w:r>
              <w:rPr>
                <w:rFonts w:hint="eastAsia" w:ascii="宋体" w:hAnsi="宋体" w:eastAsia="宋体" w:cs="宋体"/>
                <w:b/>
                <w:bCs/>
                <w:color w:val="000000"/>
                <w:kern w:val="0"/>
                <w:sz w:val="24"/>
                <w:szCs w:val="24"/>
                <w:highlight w:val="yellow"/>
              </w:rPr>
              <w:t>：</w:t>
            </w:r>
            <w:r>
              <w:rPr>
                <w:rFonts w:ascii="宋体" w:hAnsi="宋体" w:eastAsia="宋体" w:cs="宋体"/>
                <w:sz w:val="24"/>
                <w:szCs w:val="24"/>
              </w:rPr>
              <w:t>531900051810601</w:t>
            </w:r>
          </w:p>
          <w:p w14:paraId="2E55A906">
            <w:pPr>
              <w:ind w:firstLine="482" w:firstLineChars="200"/>
              <w:rPr>
                <w:rFonts w:hint="eastAsia"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联行号：</w:t>
            </w:r>
            <w:r>
              <w:rPr>
                <w:rFonts w:ascii="宋体" w:hAnsi="宋体" w:eastAsia="宋体" w:cs="宋体"/>
                <w:sz w:val="24"/>
                <w:szCs w:val="24"/>
              </w:rPr>
              <w:t>308451028020</w:t>
            </w:r>
          </w:p>
          <w:p w14:paraId="76D8C7BC">
            <w:pPr>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投标保证金应从投标人的基本账户转出至上述账户并到账，否则视为无效投标。</w:t>
            </w:r>
          </w:p>
          <w:p w14:paraId="126F0278">
            <w:pPr>
              <w:ind w:firstLine="480" w:firstLineChars="200"/>
              <w:rPr>
                <w:rFonts w:hint="eastAsia" w:ascii="宋体" w:hAnsi="宋体" w:eastAsia="宋体" w:cs="宋体"/>
                <w:sz w:val="24"/>
                <w:szCs w:val="24"/>
                <w:highlight w:val="cyan"/>
              </w:rPr>
            </w:pPr>
            <w:r>
              <w:rPr>
                <w:rFonts w:hint="eastAsia" w:eastAsia="宋体" w:cs="Times New Roman"/>
                <w:sz w:val="24"/>
                <w:szCs w:val="28"/>
                <w:highlight w:val="yellow"/>
              </w:rPr>
              <w:t>转账附言：公司名称+项目名称+投标保证金。（严格按照此格式备注）</w:t>
            </w:r>
          </w:p>
        </w:tc>
      </w:tr>
      <w:tr w14:paraId="0CF9B7E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5848F7CB">
            <w:pPr>
              <w:jc w:val="center"/>
              <w:rPr>
                <w:rFonts w:hint="eastAsia"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2508B8A8">
            <w:pPr>
              <w:pStyle w:val="38"/>
              <w:spacing w:after="0" w:line="240" w:lineRule="auto"/>
              <w:ind w:left="0" w:leftChars="0" w:firstLine="482"/>
              <w:rPr>
                <w:rFonts w:hint="eastAsia" w:ascii="宋体" w:hAnsi="宋体" w:cs="宋体"/>
                <w:sz w:val="24"/>
                <w:szCs w:val="24"/>
              </w:rPr>
            </w:pPr>
            <w:r>
              <w:rPr>
                <w:rFonts w:hint="eastAsia" w:ascii="宋体" w:hAnsi="宋体" w:cs="宋体"/>
                <w:b/>
                <w:bCs/>
                <w:sz w:val="24"/>
                <w:szCs w:val="24"/>
                <w:highlight w:val="none"/>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rPr>
              <w:t>6年</w:t>
            </w:r>
            <w:r>
              <w:rPr>
                <w:rFonts w:hint="eastAsia" w:ascii="宋体" w:hAnsi="宋体" w:cs="宋体"/>
                <w:sz w:val="24"/>
                <w:szCs w:val="24"/>
                <w:highlight w:val="yellow"/>
                <w:lang w:val="en-US" w:eastAsia="zh-CN"/>
              </w:rPr>
              <w:t>7</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30</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w:t>
            </w:r>
          </w:p>
          <w:p w14:paraId="4F192A27">
            <w:pPr>
              <w:pStyle w:val="38"/>
              <w:spacing w:after="0" w:line="240" w:lineRule="auto"/>
              <w:ind w:left="0" w:leftChars="0" w:firstLine="480"/>
              <w:rPr>
                <w:rFonts w:hint="eastAsia" w:ascii="宋体" w:hAnsi="宋体" w:cs="宋体"/>
                <w:sz w:val="24"/>
                <w:szCs w:val="24"/>
              </w:rPr>
            </w:pPr>
            <w:r>
              <w:rPr>
                <w:rFonts w:hint="eastAsia" w:ascii="宋体" w:hAnsi="宋体" w:cs="宋体"/>
                <w:sz w:val="24"/>
                <w:szCs w:val="24"/>
              </w:rPr>
              <w:t>供应商应充分考虑银行信息交换时间，由此带来的保证金不能按时到</w:t>
            </w:r>
            <w:r>
              <w:rPr>
                <w:rFonts w:hint="eastAsia" w:ascii="宋体" w:hAnsi="宋体" w:cs="宋体"/>
                <w:sz w:val="24"/>
                <w:szCs w:val="24"/>
                <w:lang w:val="en-US" w:eastAsia="zh-CN"/>
              </w:rPr>
              <w:t>账</w:t>
            </w:r>
            <w:r>
              <w:rPr>
                <w:rFonts w:hint="eastAsia" w:ascii="宋体" w:hAnsi="宋体" w:cs="宋体"/>
                <w:sz w:val="24"/>
                <w:szCs w:val="24"/>
              </w:rPr>
              <w:t>的责任由供应商自行承担。</w:t>
            </w:r>
          </w:p>
        </w:tc>
      </w:tr>
      <w:tr w14:paraId="2936905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2C702F2E">
            <w:pPr>
              <w:jc w:val="center"/>
              <w:rPr>
                <w:rFonts w:hint="eastAsia"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14:paraId="57395816">
            <w:pPr>
              <w:pStyle w:val="38"/>
              <w:spacing w:after="0" w:line="240" w:lineRule="auto"/>
              <w:ind w:left="0" w:leftChars="0" w:firstLine="480"/>
              <w:rPr>
                <w:rFonts w:hint="eastAsia"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对于没有中标的投标人，投标保证金将于招标人内部完成中标人评审并确认最终中标人后在30工作日内予以原路返还（无息）；对于中标方，投标保证金将在签订合同后30个工作日内原路返还（无息）。</w:t>
            </w:r>
          </w:p>
        </w:tc>
      </w:tr>
      <w:tr w14:paraId="1AB0FC5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521FB9D">
            <w:pPr>
              <w:jc w:val="center"/>
              <w:rPr>
                <w:rFonts w:hint="eastAsia" w:ascii="宋体" w:hAnsi="宋体" w:eastAsia="宋体" w:cs="宋体"/>
                <w:b/>
                <w:bCs/>
                <w:sz w:val="24"/>
                <w:szCs w:val="24"/>
              </w:rPr>
            </w:pPr>
            <w:r>
              <w:rPr>
                <w:rFonts w:hint="eastAsia" w:ascii="宋体" w:hAnsi="宋体" w:eastAsia="宋体" w:cs="宋体"/>
                <w:b/>
                <w:bCs/>
                <w:sz w:val="24"/>
                <w:szCs w:val="24"/>
              </w:rPr>
              <w:t>5.开评标</w:t>
            </w:r>
          </w:p>
        </w:tc>
      </w:tr>
      <w:tr w14:paraId="2859203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7F19F219">
            <w:pPr>
              <w:jc w:val="center"/>
              <w:rPr>
                <w:rFonts w:hint="eastAsia"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5574A822">
            <w:pPr>
              <w:ind w:firstLine="482" w:firstLineChars="200"/>
              <w:rPr>
                <w:rFonts w:hint="eastAsia" w:ascii="宋体" w:hAnsi="宋体" w:eastAsia="宋体" w:cs="宋体"/>
                <w:sz w:val="24"/>
                <w:szCs w:val="24"/>
              </w:rPr>
            </w:pPr>
            <w:r>
              <w:rPr>
                <w:rFonts w:hint="eastAsia" w:ascii="宋体" w:hAnsi="宋体" w:eastAsia="宋体" w:cs="宋体"/>
                <w:b/>
                <w:bCs/>
                <w:sz w:val="24"/>
                <w:szCs w:val="24"/>
                <w:highlight w:val="none"/>
              </w:rPr>
              <w:t>开标时间：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rPr>
              <w:t>6年</w:t>
            </w:r>
            <w:r>
              <w:rPr>
                <w:rFonts w:hint="eastAsia" w:ascii="宋体" w:hAnsi="宋体" w:cs="宋体"/>
                <w:sz w:val="24"/>
                <w:szCs w:val="24"/>
                <w:highlight w:val="yellow"/>
                <w:lang w:val="en-US" w:eastAsia="zh-CN"/>
              </w:rPr>
              <w:t>7</w:t>
            </w:r>
            <w:r>
              <w:rPr>
                <w:rFonts w:hint="eastAsia" w:ascii="宋体" w:hAnsi="宋体" w:cs="宋体"/>
                <w:sz w:val="24"/>
                <w:szCs w:val="24"/>
                <w:highlight w:val="yellow"/>
              </w:rPr>
              <w:t xml:space="preserve">月 </w:t>
            </w:r>
            <w:r>
              <w:rPr>
                <w:rFonts w:hint="eastAsia" w:ascii="宋体" w:hAnsi="宋体" w:cs="宋体"/>
                <w:sz w:val="24"/>
                <w:szCs w:val="24"/>
                <w:highlight w:val="yellow"/>
                <w:lang w:val="en-US" w:eastAsia="zh-CN"/>
              </w:rPr>
              <w:t>31</w:t>
            </w:r>
            <w:r>
              <w:rPr>
                <w:rFonts w:hint="eastAsia" w:ascii="宋体" w:hAnsi="宋体" w:cs="宋体"/>
                <w:sz w:val="24"/>
                <w:szCs w:val="24"/>
                <w:highlight w:val="yellow"/>
              </w:rPr>
              <w:t>日9:</w:t>
            </w:r>
            <w:r>
              <w:rPr>
                <w:rFonts w:ascii="宋体" w:hAnsi="宋体" w:cs="宋体"/>
                <w:sz w:val="24"/>
                <w:szCs w:val="24"/>
                <w:highlight w:val="yellow"/>
              </w:rPr>
              <w:t>0</w:t>
            </w:r>
            <w:r>
              <w:rPr>
                <w:rFonts w:hint="eastAsia" w:ascii="宋体" w:hAnsi="宋体" w:cs="宋体"/>
                <w:sz w:val="24"/>
                <w:szCs w:val="24"/>
                <w:highlight w:val="yellow"/>
              </w:rPr>
              <w:t>0:00</w:t>
            </w:r>
            <w:r>
              <w:rPr>
                <w:rFonts w:hint="eastAsia" w:ascii="宋体" w:hAnsi="宋体" w:eastAsia="宋体" w:cs="宋体"/>
                <w:kern w:val="0"/>
                <w:sz w:val="24"/>
                <w:szCs w:val="24"/>
                <w:highlight w:val="yellow"/>
              </w:rPr>
              <w:t>。（暂定，具体时间地点另行通知）</w:t>
            </w:r>
          </w:p>
          <w:p w14:paraId="06E1DE03">
            <w:pPr>
              <w:ind w:firstLine="482" w:firstLineChars="200"/>
              <w:rPr>
                <w:rFonts w:hint="eastAsia" w:ascii="宋体" w:hAnsi="宋体" w:eastAsia="宋体" w:cs="宋体"/>
                <w:sz w:val="24"/>
                <w:szCs w:val="24"/>
              </w:rPr>
            </w:pPr>
            <w:r>
              <w:rPr>
                <w:rFonts w:hint="eastAsia" w:ascii="宋体" w:hAnsi="宋体" w:eastAsia="宋体" w:cs="宋体"/>
                <w:b/>
                <w:bCs/>
                <w:sz w:val="24"/>
                <w:szCs w:val="24"/>
                <w:highlight w:val="none"/>
              </w:rPr>
              <w:t>开标地点：</w:t>
            </w:r>
            <w:r>
              <w:rPr>
                <w:rFonts w:hint="eastAsia" w:ascii="宋体" w:hAnsi="宋体" w:eastAsia="宋体" w:cs="宋体"/>
                <w:sz w:val="24"/>
                <w:szCs w:val="24"/>
                <w:highlight w:val="yellow"/>
              </w:rPr>
              <w:t>济南市</w:t>
            </w:r>
            <w:r>
              <w:rPr>
                <w:rFonts w:hint="eastAsia" w:ascii="宋体" w:hAnsi="宋体" w:eastAsia="宋体" w:cs="Times New Roman"/>
                <w:color w:val="000000"/>
                <w:sz w:val="24"/>
                <w:szCs w:val="24"/>
                <w:highlight w:val="yellow"/>
              </w:rPr>
              <w:t>莱芜区莱城大道</w:t>
            </w:r>
            <w:r>
              <w:rPr>
                <w:rFonts w:hint="eastAsia" w:ascii="宋体" w:hAnsi="宋体" w:eastAsia="宋体" w:cs="宋体"/>
                <w:sz w:val="24"/>
                <w:szCs w:val="24"/>
                <w:highlight w:val="yellow"/>
              </w:rPr>
              <w:t>777号办公楼三楼会议室</w:t>
            </w:r>
            <w:r>
              <w:rPr>
                <w:rFonts w:hint="eastAsia" w:ascii="宋体" w:hAnsi="宋体" w:eastAsia="宋体" w:cs="宋体"/>
                <w:sz w:val="24"/>
                <w:szCs w:val="24"/>
              </w:rPr>
              <w:t>。</w:t>
            </w:r>
          </w:p>
        </w:tc>
      </w:tr>
      <w:tr w14:paraId="1DFF36F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16201239">
            <w:pPr>
              <w:jc w:val="center"/>
              <w:rPr>
                <w:rFonts w:hint="eastAsia"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14:paraId="45D9203F">
            <w:pPr>
              <w:pStyle w:val="12"/>
              <w:ind w:firstLine="482" w:firstLineChars="200"/>
              <w:rPr>
                <w:rFonts w:hint="eastAsia" w:ascii="宋体" w:hAnsi="宋体" w:eastAsia="宋体" w:cs="宋体"/>
                <w:sz w:val="24"/>
                <w:szCs w:val="24"/>
              </w:rPr>
            </w:pPr>
            <w:r>
              <w:rPr>
                <w:rFonts w:hint="eastAsia" w:ascii="宋体" w:hAnsi="宋体" w:eastAsia="宋体" w:cs="宋体"/>
                <w:b/>
                <w:bCs/>
                <w:sz w:val="24"/>
                <w:szCs w:val="24"/>
              </w:rPr>
              <w:t>评标方法：资质标审核→唱标→综合评标。</w:t>
            </w:r>
            <w:r>
              <w:rPr>
                <w:rFonts w:hint="eastAsia" w:ascii="宋体" w:hAnsi="宋体" w:eastAsia="宋体" w:cs="宋体"/>
                <w:sz w:val="24"/>
                <w:szCs w:val="24"/>
              </w:rPr>
              <w:t>具体详见“第二部分投标须知第六条：评标原则”。</w:t>
            </w:r>
          </w:p>
        </w:tc>
      </w:tr>
      <w:tr w14:paraId="23590B8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87CADDE">
            <w:pPr>
              <w:jc w:val="center"/>
              <w:rPr>
                <w:rFonts w:hint="eastAsia" w:ascii="宋体" w:hAnsi="宋体" w:eastAsia="宋体" w:cs="宋体"/>
                <w:sz w:val="24"/>
                <w:szCs w:val="24"/>
              </w:rPr>
            </w:pPr>
            <w:r>
              <w:rPr>
                <w:rFonts w:hint="eastAsia" w:ascii="宋体" w:hAnsi="宋体" w:eastAsia="宋体" w:cs="宋体"/>
                <w:b/>
                <w:bCs/>
                <w:sz w:val="24"/>
                <w:szCs w:val="24"/>
              </w:rPr>
              <w:t>6.合同签订</w:t>
            </w:r>
          </w:p>
        </w:tc>
      </w:tr>
      <w:tr w14:paraId="40818B6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5BA5996D">
            <w:pPr>
              <w:jc w:val="center"/>
              <w:rPr>
                <w:rFonts w:hint="eastAsia"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09BD8861">
            <w:pPr>
              <w:ind w:firstLine="480" w:firstLineChars="200"/>
              <w:rPr>
                <w:rFonts w:hint="eastAsia" w:ascii="宋体" w:hAnsi="宋体" w:eastAsia="宋体" w:cs="宋体"/>
                <w:sz w:val="24"/>
                <w:szCs w:val="24"/>
              </w:rPr>
            </w:pPr>
            <w:r>
              <w:rPr>
                <w:rFonts w:hint="eastAsia" w:ascii="宋体" w:hAnsi="宋体" w:eastAsia="宋体" w:cs="宋体"/>
                <w:sz w:val="24"/>
                <w:szCs w:val="24"/>
              </w:rPr>
              <w:t>见第二部分投标须知第七条。</w:t>
            </w:r>
          </w:p>
        </w:tc>
      </w:tr>
      <w:tr w14:paraId="6C0EDC5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E07CB1E">
            <w:pPr>
              <w:jc w:val="center"/>
              <w:rPr>
                <w:rFonts w:hint="eastAsia" w:ascii="宋体" w:hAnsi="宋体" w:eastAsia="宋体" w:cs="宋体"/>
                <w:b/>
                <w:bCs/>
                <w:sz w:val="24"/>
                <w:szCs w:val="24"/>
              </w:rPr>
            </w:pPr>
            <w:r>
              <w:rPr>
                <w:rFonts w:hint="eastAsia" w:ascii="宋体" w:hAnsi="宋体" w:eastAsia="宋体" w:cs="宋体"/>
                <w:b/>
                <w:bCs/>
                <w:sz w:val="24"/>
                <w:szCs w:val="24"/>
              </w:rPr>
              <w:t>7.交货期及付款方式</w:t>
            </w:r>
          </w:p>
        </w:tc>
      </w:tr>
      <w:tr w14:paraId="296B8C3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14:paraId="161EED8D">
            <w:pPr>
              <w:jc w:val="center"/>
              <w:rPr>
                <w:rFonts w:hint="eastAsia"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1D158BFB">
            <w:pPr>
              <w:pStyle w:val="18"/>
              <w:ind w:firstLine="482" w:firstLineChars="200"/>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t>交货期：</w:t>
            </w:r>
          </w:p>
          <w:p w14:paraId="34F36018">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自接到中标通知日起，</w:t>
            </w:r>
            <w:r>
              <w:rPr>
                <w:rFonts w:hint="eastAsia" w:hAnsi="宋体" w:eastAsia="宋体" w:cs="宋体"/>
                <w:color w:val="000000"/>
                <w:sz w:val="24"/>
                <w:szCs w:val="24"/>
                <w:highlight w:val="yellow"/>
                <w:lang w:val="en-US" w:eastAsia="zh-CN"/>
              </w:rPr>
              <w:t>4</w:t>
            </w:r>
            <w:r>
              <w:rPr>
                <w:rFonts w:hint="eastAsia" w:hAnsi="宋体" w:eastAsia="宋体" w:cs="宋体"/>
                <w:color w:val="000000"/>
                <w:sz w:val="24"/>
                <w:szCs w:val="24"/>
                <w:highlight w:val="yellow"/>
              </w:rPr>
              <w:t>个月内</w:t>
            </w:r>
            <w:r>
              <w:rPr>
                <w:rFonts w:hint="eastAsia" w:hAnsi="宋体" w:eastAsia="宋体" w:cs="宋体"/>
                <w:color w:val="000000"/>
                <w:sz w:val="24"/>
                <w:szCs w:val="24"/>
              </w:rPr>
              <w:t>完成现场安装调试及培训服务</w:t>
            </w:r>
            <w:r>
              <w:rPr>
                <w:rFonts w:hint="eastAsia" w:hAnsi="宋体" w:eastAsia="宋体" w:cs="宋体"/>
                <w:color w:val="000000"/>
                <w:sz w:val="24"/>
                <w:szCs w:val="24"/>
                <w:lang w:eastAsia="zh-CN"/>
              </w:rPr>
              <w:t>，</w:t>
            </w:r>
            <w:r>
              <w:rPr>
                <w:rFonts w:hint="eastAsia" w:hAnsi="宋体" w:eastAsia="宋体" w:cs="宋体"/>
                <w:color w:val="000000"/>
                <w:sz w:val="24"/>
                <w:szCs w:val="24"/>
              </w:rPr>
              <w:t>投标人应当随标书提供详细的工期计划。</w:t>
            </w:r>
          </w:p>
          <w:p w14:paraId="55072F89">
            <w:pPr>
              <w:pStyle w:val="18"/>
              <w:ind w:firstLine="482" w:firstLineChars="200"/>
              <w:rPr>
                <w:rFonts w:hint="eastAsia" w:hAnsi="宋体" w:eastAsia="宋体" w:cs="宋体"/>
                <w:color w:val="000000"/>
                <w:sz w:val="24"/>
                <w:szCs w:val="24"/>
              </w:rPr>
            </w:pPr>
            <w:r>
              <w:rPr>
                <w:rFonts w:hint="eastAsia" w:hAnsi="宋体" w:eastAsia="宋体" w:cs="宋体"/>
                <w:b/>
                <w:bCs/>
                <w:color w:val="000000"/>
                <w:sz w:val="24"/>
                <w:szCs w:val="24"/>
                <w:highlight w:val="cyan"/>
                <w:lang w:val="en-US" w:eastAsia="zh-CN"/>
              </w:rPr>
              <w:t>说明</w:t>
            </w:r>
            <w:r>
              <w:rPr>
                <w:rFonts w:hint="eastAsia" w:hAnsi="宋体" w:eastAsia="宋体" w:cs="宋体"/>
                <w:b/>
                <w:bCs/>
                <w:color w:val="000000"/>
                <w:sz w:val="24"/>
                <w:szCs w:val="24"/>
                <w:highlight w:val="cyan"/>
              </w:rPr>
              <w:t>：以投标人承诺的交货期为准，交货期越短，该项评审得分越高。</w:t>
            </w:r>
          </w:p>
        </w:tc>
      </w:tr>
      <w:tr w14:paraId="364FD02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005FD34D">
            <w:pPr>
              <w:jc w:val="center"/>
              <w:rPr>
                <w:rFonts w:hint="eastAsia"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6D806C12">
            <w:pPr>
              <w:pStyle w:val="18"/>
              <w:ind w:firstLine="482" w:firstLineChars="200"/>
              <w:rPr>
                <w:rFonts w:hint="eastAsia"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3CBC550B">
            <w:pPr>
              <w:widowControl/>
              <w:ind w:firstLine="482" w:firstLineChars="200"/>
              <w:jc w:val="left"/>
              <w:rPr>
                <w:rFonts w:hint="eastAsia" w:hAnsi="宋体" w:eastAsia="宋体" w:cs="宋体"/>
                <w:color w:val="000000"/>
                <w:sz w:val="24"/>
                <w:szCs w:val="24"/>
              </w:rPr>
            </w:pPr>
            <w:r>
              <w:rPr>
                <w:rFonts w:hint="eastAsia" w:hAnsi="宋体" w:eastAsia="宋体" w:cs="宋体"/>
                <w:b/>
                <w:bCs/>
                <w:color w:val="000000"/>
                <w:sz w:val="24"/>
                <w:szCs w:val="24"/>
              </w:rPr>
              <w:t>交货地点：</w:t>
            </w:r>
            <w:r>
              <w:rPr>
                <w:rFonts w:hint="eastAsia" w:ascii="宋体" w:hAnsi="宋体" w:eastAsia="宋体" w:cs="宋体"/>
                <w:color w:val="000000"/>
                <w:sz w:val="24"/>
                <w:szCs w:val="24"/>
                <w:highlight w:val="yellow"/>
                <w:u w:val="single"/>
              </w:rPr>
              <w:t>济南卡车制造公司</w:t>
            </w:r>
            <w:r>
              <w:rPr>
                <w:rFonts w:hint="eastAsia" w:ascii="宋体" w:hAnsi="宋体" w:eastAsia="宋体" w:cs="宋体"/>
                <w:color w:val="000000"/>
                <w:sz w:val="24"/>
                <w:szCs w:val="24"/>
                <w:highlight w:val="yellow"/>
                <w:u w:val="single"/>
                <w:lang w:val="en-US" w:eastAsia="zh-CN"/>
              </w:rPr>
              <w:t>党家庄厂区总三</w:t>
            </w:r>
            <w:r>
              <w:rPr>
                <w:rFonts w:hint="eastAsia" w:ascii="宋体" w:hAnsi="宋体" w:eastAsia="宋体" w:cs="宋体"/>
                <w:color w:val="000000"/>
                <w:sz w:val="24"/>
                <w:szCs w:val="24"/>
                <w:highlight w:val="yellow"/>
                <w:u w:val="single"/>
              </w:rPr>
              <w:t>车间</w:t>
            </w:r>
            <w:r>
              <w:rPr>
                <w:rFonts w:hint="eastAsia" w:ascii="宋体" w:hAnsi="宋体" w:eastAsia="宋体" w:cs="宋体"/>
                <w:color w:val="000000"/>
                <w:sz w:val="24"/>
                <w:szCs w:val="24"/>
              </w:rPr>
              <w:t>。</w:t>
            </w:r>
          </w:p>
        </w:tc>
      </w:tr>
      <w:tr w14:paraId="00D3B7E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4D64109">
            <w:pPr>
              <w:jc w:val="center"/>
              <w:rPr>
                <w:rFonts w:hint="eastAsia"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02A56DC2">
            <w:pPr>
              <w:pStyle w:val="12"/>
              <w:ind w:firstLine="482" w:firstLineChars="200"/>
              <w:rPr>
                <w:rFonts w:hint="eastAsia"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b/>
                <w:bCs/>
                <w:sz w:val="24"/>
                <w:szCs w:val="24"/>
              </w:rPr>
              <w:t>（投标人可在满足上述最短质保期基础上竞报）</w:t>
            </w:r>
          </w:p>
        </w:tc>
      </w:tr>
      <w:tr w14:paraId="64FE728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0D8BB97F">
            <w:pPr>
              <w:jc w:val="center"/>
              <w:rPr>
                <w:rFonts w:hint="eastAsia"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5CF44321">
            <w:pPr>
              <w:pStyle w:val="18"/>
              <w:ind w:firstLine="482" w:firstLineChars="200"/>
              <w:rPr>
                <w:rFonts w:hint="eastAsia" w:hAnsi="宋体" w:eastAsia="宋体" w:cs="宋体"/>
                <w:color w:val="000000"/>
                <w:sz w:val="24"/>
                <w:szCs w:val="24"/>
                <w:highlight w:val="yellow"/>
              </w:rPr>
            </w:pPr>
            <w:r>
              <w:rPr>
                <w:rFonts w:hint="eastAsia" w:hAnsi="宋体" w:eastAsia="宋体" w:cs="宋体"/>
                <w:b/>
                <w:bCs/>
                <w:color w:val="000000"/>
                <w:sz w:val="24"/>
                <w:szCs w:val="24"/>
              </w:rPr>
              <w:t>付款方式：</w:t>
            </w:r>
            <w:r>
              <w:rPr>
                <w:rFonts w:hint="eastAsia" w:hAnsi="宋体" w:eastAsia="宋体" w:cs="宋体"/>
                <w:b/>
                <w:bCs/>
                <w:color w:val="000000"/>
                <w:sz w:val="24"/>
                <w:szCs w:val="24"/>
                <w:highlight w:val="yellow"/>
                <w:u w:val="single"/>
              </w:rPr>
              <w:t>半年期商业汇票（包括银行承兑汇票和商业承兑汇票）</w:t>
            </w:r>
            <w:r>
              <w:rPr>
                <w:rFonts w:hint="eastAsia" w:hAnsi="宋体" w:eastAsia="宋体" w:cs="宋体"/>
                <w:color w:val="000000"/>
                <w:sz w:val="24"/>
                <w:szCs w:val="24"/>
                <w:highlight w:val="yellow"/>
              </w:rPr>
              <w:t>：</w:t>
            </w:r>
          </w:p>
          <w:p w14:paraId="1C731367">
            <w:pPr>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lang w:val="en-US" w:eastAsia="zh-CN"/>
              </w:rPr>
              <w:t>(1</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rPr>
              <w:t>合同生效设备全部到齐无质量问题通过买方初步验收后, 卖方提交金额为合同含税价款</w:t>
            </w:r>
            <w:r>
              <w:rPr>
                <w:rFonts w:hint="eastAsia" w:ascii="宋体" w:hAnsi="宋体" w:eastAsia="宋体" w:cs="宋体"/>
                <w:b/>
                <w:bCs/>
                <w:color w:val="000000"/>
                <w:sz w:val="24"/>
                <w:szCs w:val="24"/>
                <w:highlight w:val="yellow"/>
                <w:lang w:val="en-US" w:eastAsia="zh-CN"/>
              </w:rPr>
              <w:t>30</w:t>
            </w:r>
            <w:r>
              <w:rPr>
                <w:rFonts w:hint="eastAsia" w:ascii="宋体" w:hAnsi="宋体" w:eastAsia="宋体" w:cs="宋体"/>
                <w:b/>
                <w:bCs/>
                <w:color w:val="000000"/>
                <w:sz w:val="24"/>
                <w:szCs w:val="24"/>
                <w:highlight w:val="yellow"/>
              </w:rPr>
              <w:t>%</w:t>
            </w:r>
            <w:r>
              <w:rPr>
                <w:rFonts w:hint="eastAsia" w:ascii="宋体" w:hAnsi="宋体" w:eastAsia="宋体" w:cs="宋体"/>
                <w:color w:val="000000"/>
                <w:sz w:val="24"/>
                <w:szCs w:val="24"/>
                <w:highlight w:val="yellow"/>
              </w:rPr>
              <w:t>的收据及合同全额</w:t>
            </w:r>
            <w:r>
              <w:rPr>
                <w:rFonts w:hint="eastAsia" w:ascii="宋体" w:hAnsi="宋体" w:eastAsia="宋体" w:cs="宋体"/>
                <w:color w:val="000000"/>
                <w:sz w:val="24"/>
                <w:szCs w:val="24"/>
                <w:highlight w:val="yellow"/>
                <w:lang w:val="en-US" w:eastAsia="zh-CN"/>
              </w:rPr>
              <w:t>30%</w:t>
            </w:r>
            <w:r>
              <w:rPr>
                <w:rFonts w:hint="eastAsia" w:ascii="宋体" w:hAnsi="宋体" w:eastAsia="宋体" w:cs="宋体"/>
                <w:color w:val="000000"/>
                <w:sz w:val="24"/>
                <w:szCs w:val="24"/>
                <w:highlight w:val="yellow"/>
              </w:rPr>
              <w:t>增值税专用发票（税率为</w:t>
            </w:r>
            <w:r>
              <w:rPr>
                <w:rFonts w:hint="eastAsia" w:ascii="宋体" w:hAnsi="宋体" w:eastAsia="宋体" w:cs="宋体"/>
                <w:color w:val="000000"/>
                <w:sz w:val="24"/>
                <w:szCs w:val="24"/>
                <w:highlight w:val="yellow"/>
                <w:lang w:val="en-US" w:eastAsia="zh-CN"/>
              </w:rPr>
              <w:t>13</w:t>
            </w:r>
            <w:r>
              <w:rPr>
                <w:rFonts w:hint="eastAsia" w:ascii="宋体" w:hAnsi="宋体" w:eastAsia="宋体" w:cs="宋体"/>
                <w:color w:val="000000"/>
                <w:sz w:val="24"/>
                <w:szCs w:val="24"/>
                <w:highlight w:val="yellow"/>
              </w:rPr>
              <w:t xml:space="preserve"> %，正本一份，复印件二份），经买方依照财务制度审核无误后支付。</w:t>
            </w:r>
          </w:p>
          <w:p w14:paraId="008A1821">
            <w:pPr>
              <w:ind w:firstLine="480" w:firstLineChars="200"/>
              <w:rPr>
                <w:rFonts w:hint="eastAsia" w:ascii="宋体" w:hAnsi="宋体" w:eastAsia="宋体" w:cs="宋体"/>
                <w:color w:val="000000"/>
                <w:sz w:val="24"/>
                <w:szCs w:val="24"/>
                <w:highlight w:val="yellow"/>
                <w:lang w:eastAsia="zh-CN"/>
              </w:rPr>
            </w:pP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2</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rPr>
              <w:t>设备全部到齐无质量问题，经安装、调试最终验收合格后，卖方提交金额为合同含税价款</w:t>
            </w:r>
            <w:r>
              <w:rPr>
                <w:rFonts w:hint="eastAsia" w:ascii="宋体" w:hAnsi="宋体" w:eastAsia="宋体" w:cs="宋体"/>
                <w:b/>
                <w:bCs/>
                <w:color w:val="000000"/>
                <w:sz w:val="24"/>
                <w:szCs w:val="24"/>
                <w:highlight w:val="yellow"/>
                <w:lang w:val="en-US" w:eastAsia="zh-CN"/>
              </w:rPr>
              <w:t>60</w:t>
            </w:r>
            <w:r>
              <w:rPr>
                <w:rFonts w:hint="eastAsia" w:ascii="宋体" w:hAnsi="宋体" w:eastAsia="宋体" w:cs="宋体"/>
                <w:b/>
                <w:bCs/>
                <w:color w:val="000000"/>
                <w:sz w:val="24"/>
                <w:szCs w:val="24"/>
                <w:highlight w:val="yellow"/>
              </w:rPr>
              <w:t xml:space="preserve"> %</w:t>
            </w:r>
            <w:r>
              <w:rPr>
                <w:rFonts w:hint="eastAsia" w:ascii="宋体" w:hAnsi="宋体" w:eastAsia="宋体" w:cs="宋体"/>
                <w:color w:val="000000"/>
                <w:sz w:val="24"/>
                <w:szCs w:val="24"/>
                <w:highlight w:val="yellow"/>
              </w:rPr>
              <w:t>的收据及合同全额</w:t>
            </w:r>
            <w:r>
              <w:rPr>
                <w:rFonts w:hint="eastAsia" w:ascii="宋体" w:hAnsi="宋体" w:eastAsia="宋体" w:cs="宋体"/>
                <w:color w:val="000000"/>
                <w:sz w:val="24"/>
                <w:szCs w:val="24"/>
                <w:highlight w:val="yellow"/>
                <w:lang w:val="en-US" w:eastAsia="zh-CN"/>
              </w:rPr>
              <w:t>70%</w:t>
            </w:r>
            <w:r>
              <w:rPr>
                <w:rFonts w:hint="eastAsia" w:ascii="宋体" w:hAnsi="宋体" w:eastAsia="宋体" w:cs="宋体"/>
                <w:color w:val="000000"/>
                <w:sz w:val="24"/>
                <w:szCs w:val="24"/>
                <w:highlight w:val="yellow"/>
              </w:rPr>
              <w:t>增值税专用发票（税率为</w:t>
            </w:r>
            <w:r>
              <w:rPr>
                <w:rFonts w:hint="eastAsia" w:ascii="宋体" w:hAnsi="宋体" w:eastAsia="宋体" w:cs="宋体"/>
                <w:color w:val="000000"/>
                <w:sz w:val="24"/>
                <w:szCs w:val="24"/>
                <w:highlight w:val="yellow"/>
                <w:lang w:val="en-US" w:eastAsia="zh-CN"/>
              </w:rPr>
              <w:t>13</w:t>
            </w:r>
            <w:r>
              <w:rPr>
                <w:rFonts w:hint="eastAsia" w:ascii="宋体" w:hAnsi="宋体" w:eastAsia="宋体" w:cs="宋体"/>
                <w:color w:val="000000"/>
                <w:sz w:val="24"/>
                <w:szCs w:val="24"/>
                <w:highlight w:val="yellow"/>
              </w:rPr>
              <w:t xml:space="preserve"> %，正本一份，复印件二份）并附带该套合同设备最终验收报告的原件及其复印件两份，经买方依照财务制度审核无误后支付</w:t>
            </w:r>
            <w:r>
              <w:rPr>
                <w:rFonts w:hint="eastAsia" w:ascii="宋体" w:hAnsi="宋体" w:eastAsia="宋体" w:cs="宋体"/>
                <w:color w:val="000000"/>
                <w:sz w:val="24"/>
                <w:szCs w:val="24"/>
                <w:highlight w:val="yellow"/>
                <w:lang w:eastAsia="zh-CN"/>
              </w:rPr>
              <w:t>。</w:t>
            </w:r>
          </w:p>
          <w:p w14:paraId="6EBFFF9D">
            <w:pPr>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3</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rPr>
              <w:t>合同含税总价款的</w:t>
            </w:r>
            <w:r>
              <w:rPr>
                <w:rFonts w:hint="eastAsia" w:ascii="宋体" w:hAnsi="宋体" w:eastAsia="宋体" w:cs="宋体"/>
                <w:b/>
                <w:bCs/>
                <w:color w:val="000000"/>
                <w:sz w:val="24"/>
                <w:szCs w:val="24"/>
                <w:highlight w:val="yellow"/>
              </w:rPr>
              <w:t xml:space="preserve"> 10 %</w:t>
            </w:r>
            <w:r>
              <w:rPr>
                <w:rFonts w:hint="eastAsia" w:ascii="宋体" w:hAnsi="宋体" w:eastAsia="宋体" w:cs="宋体"/>
                <w:color w:val="000000"/>
                <w:sz w:val="24"/>
                <w:szCs w:val="24"/>
                <w:highlight w:val="yellow"/>
              </w:rPr>
              <w:t>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支付。如有质量问题，质量保证金予以相应扣除。</w:t>
            </w:r>
          </w:p>
          <w:p w14:paraId="5A9EE5C1">
            <w:pPr>
              <w:pStyle w:val="2"/>
              <w:rPr>
                <w:rFonts w:hint="default" w:eastAsia="宋体"/>
                <w:lang w:val="en-US" w:eastAsia="zh-CN"/>
              </w:rPr>
            </w:pPr>
            <w:r>
              <w:rPr>
                <w:rFonts w:hint="eastAsia" w:ascii="宋体" w:hAnsi="宋体" w:cs="宋体"/>
                <w:color w:val="000000"/>
                <w:sz w:val="24"/>
                <w:szCs w:val="24"/>
                <w:highlight w:val="yellow"/>
                <w:lang w:val="en-US" w:eastAsia="zh-CN"/>
              </w:rPr>
              <w:t>付款方式及比例原则上不允许偏离</w:t>
            </w:r>
          </w:p>
        </w:tc>
      </w:tr>
      <w:tr w14:paraId="29DEC42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6BA099EE">
            <w:pPr>
              <w:jc w:val="center"/>
              <w:rPr>
                <w:rFonts w:hint="eastAsia"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12A77D12">
            <w:pPr>
              <w:ind w:firstLine="482" w:firstLineChars="200"/>
              <w:rPr>
                <w:rFonts w:hint="eastAsia" w:ascii="宋体" w:hAnsi="宋体" w:eastAsia="宋体" w:cs="宋体"/>
                <w:b/>
                <w:color w:val="000000"/>
                <w:sz w:val="24"/>
                <w:szCs w:val="24"/>
                <w:highlight w:val="yellow"/>
              </w:rPr>
            </w:pPr>
            <w:r>
              <w:rPr>
                <w:rFonts w:hint="eastAsia" w:ascii="宋体" w:hAnsi="宋体" w:eastAsia="宋体" w:cs="宋体"/>
                <w:b/>
                <w:color w:val="000000"/>
                <w:sz w:val="24"/>
                <w:szCs w:val="24"/>
                <w:highlight w:val="yellow"/>
              </w:rPr>
              <w:t>增值税专用发票开票信息：</w:t>
            </w:r>
          </w:p>
          <w:p w14:paraId="602B78C1">
            <w:pPr>
              <w:ind w:firstLine="480" w:firstLineChars="200"/>
              <w:rPr>
                <w:rFonts w:hint="eastAsia" w:ascii="宋体" w:hAnsi="宋体" w:cs="宋体"/>
                <w:bCs/>
                <w:sz w:val="24"/>
                <w:szCs w:val="24"/>
              </w:rPr>
            </w:pPr>
            <w:r>
              <w:rPr>
                <w:rFonts w:hint="eastAsia" w:ascii="宋体" w:hAnsi="宋体" w:eastAsia="宋体" w:cs="宋体"/>
                <w:color w:val="000000"/>
                <w:sz w:val="24"/>
                <w:szCs w:val="24"/>
                <w:highlight w:val="yellow"/>
              </w:rPr>
              <w:t>详见合同签订信息</w:t>
            </w:r>
          </w:p>
        </w:tc>
      </w:tr>
      <w:tr w14:paraId="0E7DE57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B7F3B8B">
            <w:pPr>
              <w:pStyle w:val="12"/>
              <w:jc w:val="center"/>
              <w:rPr>
                <w:rFonts w:hint="eastAsia" w:ascii="宋体" w:hAnsi="宋体" w:eastAsia="宋体" w:cs="宋体"/>
                <w:sz w:val="24"/>
                <w:szCs w:val="24"/>
              </w:rPr>
            </w:pPr>
            <w:r>
              <w:rPr>
                <w:rFonts w:hint="eastAsia" w:ascii="宋体" w:hAnsi="宋体" w:eastAsia="宋体" w:cs="宋体"/>
                <w:b/>
                <w:bCs/>
                <w:sz w:val="24"/>
                <w:szCs w:val="24"/>
              </w:rPr>
              <w:t>8.其它</w:t>
            </w:r>
            <w:bookmarkStart w:id="122" w:name="_GoBack"/>
            <w:bookmarkEnd w:id="122"/>
          </w:p>
        </w:tc>
      </w:tr>
      <w:tr w14:paraId="47002BE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553049E5">
            <w:pPr>
              <w:jc w:val="center"/>
              <w:rPr>
                <w:rFonts w:hint="eastAsia"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78680A89">
            <w:pPr>
              <w:pStyle w:val="12"/>
              <w:ind w:firstLine="480" w:firstLineChars="200"/>
              <w:rPr>
                <w:rFonts w:hint="eastAsia"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68F9D36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1F7FF6D0">
            <w:pPr>
              <w:jc w:val="center"/>
              <w:rPr>
                <w:rFonts w:hint="eastAsia"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461A5D92">
            <w:pPr>
              <w:ind w:firstLine="480" w:firstLineChars="200"/>
              <w:rPr>
                <w:rFonts w:hint="eastAsia"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14:paraId="5CF2460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70FA00FC">
            <w:pPr>
              <w:jc w:val="center"/>
              <w:rPr>
                <w:rFonts w:hint="eastAsia"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0A0D51A1">
            <w:pPr>
              <w:pStyle w:val="12"/>
              <w:ind w:firstLine="480" w:firstLineChars="200"/>
              <w:rPr>
                <w:rFonts w:hint="eastAsia" w:ascii="宋体" w:hAnsi="宋体" w:eastAsia="宋体" w:cs="宋体"/>
                <w:sz w:val="24"/>
                <w:szCs w:val="24"/>
              </w:rPr>
            </w:pPr>
            <w:r>
              <w:rPr>
                <w:rFonts w:hint="eastAsia" w:ascii="宋体" w:hAnsi="宋体" w:eastAsia="宋体" w:cs="宋体"/>
                <w:sz w:val="24"/>
                <w:szCs w:val="24"/>
              </w:rPr>
              <w:t>中标方应在合同签订后</w:t>
            </w:r>
            <w:r>
              <w:rPr>
                <w:rFonts w:hint="eastAsia" w:ascii="宋体" w:hAnsi="宋体" w:eastAsia="宋体" w:cs="宋体"/>
                <w:sz w:val="24"/>
                <w:szCs w:val="24"/>
                <w:highlight w:val="yellow"/>
              </w:rPr>
              <w:t>10</w:t>
            </w:r>
            <w:r>
              <w:rPr>
                <w:rFonts w:hint="eastAsia" w:ascii="宋体" w:hAnsi="宋体" w:eastAsia="宋体" w:cs="宋体"/>
                <w:sz w:val="24"/>
                <w:szCs w:val="24"/>
              </w:rPr>
              <w:t>日内需根据设计</w:t>
            </w:r>
            <w:r>
              <w:rPr>
                <w:rStyle w:val="45"/>
                <w:rFonts w:hint="eastAsia" w:ascii="宋体" w:hAnsi="宋体" w:eastAsia="宋体" w:cs="宋体"/>
                <w:sz w:val="24"/>
                <w:szCs w:val="24"/>
              </w:rPr>
              <w:t>提资</w:t>
            </w:r>
            <w:r>
              <w:rPr>
                <w:rFonts w:hint="eastAsia" w:ascii="宋体" w:hAnsi="宋体" w:eastAsia="宋体" w:cs="宋体"/>
                <w:sz w:val="24"/>
                <w:szCs w:val="24"/>
              </w:rPr>
              <w:t>要求提供详细的</w:t>
            </w:r>
            <w:r>
              <w:rPr>
                <w:rStyle w:val="45"/>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5"/>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5"/>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14:paraId="3B3D5CB9">
      <w:pPr>
        <w:pStyle w:val="18"/>
        <w:jc w:val="center"/>
        <w:outlineLvl w:val="0"/>
        <w:rPr>
          <w:rFonts w:ascii="Calibri" w:hAnsi="Calibri" w:eastAsia="宋体" w:cs="Times New Roman"/>
          <w:b/>
          <w:bCs/>
          <w:kern w:val="44"/>
          <w:sz w:val="36"/>
          <w:szCs w:val="44"/>
        </w:rPr>
      </w:pPr>
      <w:bookmarkStart w:id="4" w:name="_Toc15609"/>
    </w:p>
    <w:p w14:paraId="22FF9D4F">
      <w:pPr>
        <w:pStyle w:val="18"/>
        <w:jc w:val="center"/>
        <w:outlineLvl w:val="0"/>
        <w:rPr>
          <w:rFonts w:ascii="Calibri" w:hAnsi="Calibri" w:eastAsia="宋体" w:cs="Times New Roman"/>
          <w:b/>
          <w:bCs/>
          <w:kern w:val="44"/>
          <w:sz w:val="36"/>
          <w:szCs w:val="44"/>
        </w:rPr>
      </w:pPr>
    </w:p>
    <w:p w14:paraId="0A5947EC">
      <w:pPr>
        <w:widowControl/>
        <w:jc w:val="left"/>
        <w:rPr>
          <w:rFonts w:ascii="Calibri" w:hAnsi="Calibri" w:eastAsia="宋体" w:cs="Times New Roman"/>
          <w:b/>
          <w:bCs/>
          <w:kern w:val="44"/>
          <w:sz w:val="36"/>
          <w:szCs w:val="44"/>
        </w:rPr>
      </w:pPr>
      <w:r>
        <w:rPr>
          <w:rFonts w:ascii="Calibri" w:hAnsi="Calibri" w:eastAsia="宋体" w:cs="Times New Roman"/>
          <w:b/>
          <w:bCs/>
          <w:kern w:val="44"/>
          <w:sz w:val="36"/>
          <w:szCs w:val="44"/>
        </w:rPr>
        <w:br w:type="page"/>
      </w:r>
    </w:p>
    <w:p w14:paraId="51A2D029">
      <w:pPr>
        <w:pStyle w:val="18"/>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第二部分 投标须知</w:t>
      </w:r>
      <w:bookmarkEnd w:id="4"/>
    </w:p>
    <w:p w14:paraId="116CCCE2">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14:paraId="7F09B33C">
      <w:pPr>
        <w:spacing w:line="360" w:lineRule="auto"/>
        <w:ind w:left="1679" w:leftChars="228" w:hanging="1200" w:hangingChars="5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rPr>
        <w:t>见《投标须知前附表》。</w:t>
      </w:r>
    </w:p>
    <w:bookmarkEnd w:id="5"/>
    <w:p w14:paraId="32A5B15D">
      <w:pPr>
        <w:keepNext/>
        <w:keepLines/>
        <w:numPr>
          <w:ilvl w:val="0"/>
          <w:numId w:val="6"/>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招标内容及形式</w:t>
      </w:r>
    </w:p>
    <w:p w14:paraId="27EA3BC9">
      <w:pPr>
        <w:pStyle w:val="18"/>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见《投标须知前附表》。</w:t>
      </w:r>
    </w:p>
    <w:p w14:paraId="406A00D9">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14:paraId="5E3AA69C">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14:paraId="791DEA0E">
      <w:pPr>
        <w:keepNext/>
        <w:keepLines/>
        <w:numPr>
          <w:ilvl w:val="0"/>
          <w:numId w:val="6"/>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14:paraId="48FB6D71">
      <w:pPr>
        <w:pStyle w:val="18"/>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14:paraId="23A593DA">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14:paraId="1CB88EEA">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35502DA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投标人根据招标人在中国重汽官网等公开媒体上发布的招标信息，在“中国重汽e采通”平台报名。按照中国重汽e采通“SRM非生产供应商注册手册（附件15）”进行注册，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“SRM系统供应商用户手册（附件16）”登录系统，</w:t>
      </w:r>
      <w:r>
        <w:rPr>
          <w:rFonts w:hint="eastAsia" w:ascii="宋体" w:hAnsi="宋体" w:eastAsia="宋体" w:cs="宋体"/>
          <w:color w:val="000000"/>
          <w:sz w:val="24"/>
          <w:szCs w:val="24"/>
        </w:rPr>
        <w:t>进入“供应商应标”，选择对应的项目，点击“应标”后按照招标文件第三部分投标文件组成资格证明文件中的1.1-1.13准备资料并上传，资质审查通过即为报名成功，公示期间请尽快报名。</w:t>
      </w:r>
    </w:p>
    <w:p w14:paraId="4EE0A28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1E6690B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14:paraId="7AAF0889">
      <w:pPr>
        <w:keepNext/>
        <w:keepLines/>
        <w:numPr>
          <w:ilvl w:val="0"/>
          <w:numId w:val="7"/>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4802C5EE">
      <w:pPr>
        <w:pStyle w:val="18"/>
        <w:spacing w:line="360" w:lineRule="auto"/>
        <w:ind w:firstLine="480"/>
        <w:rPr>
          <w:rFonts w:hint="eastAsia" w:hAnsi="宋体" w:eastAsia="宋体" w:cs="宋体"/>
          <w:b/>
          <w:color w:val="000000"/>
          <w:sz w:val="24"/>
          <w:szCs w:val="24"/>
        </w:rPr>
      </w:pPr>
      <w:r>
        <w:rPr>
          <w:rFonts w:hint="eastAsia" w:hAnsi="宋体" w:eastAsia="宋体" w:cs="宋体"/>
          <w:b/>
          <w:bCs/>
          <w:color w:val="000000"/>
          <w:sz w:val="24"/>
          <w:szCs w:val="24"/>
        </w:rPr>
        <w:t>对于中国境内投标人，投标条件详见招标文件“第一部分投标须知前附表1.6”。</w:t>
      </w:r>
    </w:p>
    <w:p w14:paraId="2E1BFADA">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687A121A">
      <w:pPr>
        <w:pStyle w:val="18"/>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color w:val="000000"/>
          <w:sz w:val="24"/>
          <w:szCs w:val="24"/>
          <w:highlight w:val="yellow"/>
        </w:rPr>
        <w:t>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14:paraId="2E47E4E6">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1BF71E1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rPr>
        <w:t>【人民币（应同时报含税价和不含税价并写明税率）】</w:t>
      </w:r>
      <w:r>
        <w:rPr>
          <w:rFonts w:hint="eastAsia" w:ascii="宋体" w:hAnsi="宋体" w:eastAsia="宋体" w:cs="宋体"/>
          <w:b/>
          <w:bCs/>
          <w:color w:val="000000"/>
          <w:sz w:val="24"/>
          <w:szCs w:val="24"/>
          <w:highlight w:val="yellow"/>
        </w:rPr>
        <w:t>。</w:t>
      </w:r>
    </w:p>
    <w:p w14:paraId="3B294D8F">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14:paraId="3000524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3CAA5A1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5A8CF34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143EADA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0119101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7A9D6DFA">
      <w:pPr>
        <w:pStyle w:val="18"/>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0C6ADF12">
      <w:pPr>
        <w:pStyle w:val="18"/>
        <w:spacing w:line="360" w:lineRule="auto"/>
        <w:ind w:firstLine="480" w:firstLineChars="200"/>
        <w:rPr>
          <w:rFonts w:hint="eastAsia" w:hAnsi="宋体" w:eastAsia="宋体" w:cs="宋体"/>
          <w:color w:val="000000"/>
          <w:sz w:val="24"/>
          <w:szCs w:val="24"/>
          <w:highlight w:val="yellow"/>
        </w:rPr>
      </w:pPr>
      <w:r>
        <w:rPr>
          <w:rFonts w:hint="eastAsia" w:hAnsi="宋体" w:eastAsia="宋体" w:cs="宋体"/>
          <w:color w:val="000000"/>
          <w:sz w:val="24"/>
          <w:szCs w:val="24"/>
        </w:rPr>
        <w:t>4.7</w:t>
      </w:r>
      <w:r>
        <w:rPr>
          <w:rFonts w:hint="eastAsia" w:hAnsi="宋体" w:eastAsia="宋体" w:cs="宋体"/>
          <w:color w:val="000000"/>
          <w:sz w:val="24"/>
          <w:szCs w:val="24"/>
          <w:highlight w:val="yellow"/>
        </w:rPr>
        <w:t>设备设施颜色严格执行我公司企业标准《设备设施颜色标识》（Q/ZZ30070</w:t>
      </w:r>
    </w:p>
    <w:p w14:paraId="58A3A5B9">
      <w:pPr>
        <w:pStyle w:val="18"/>
        <w:spacing w:line="360" w:lineRule="auto"/>
        <w:rPr>
          <w:rFonts w:hint="eastAsia" w:hAnsi="宋体" w:eastAsia="宋体" w:cs="宋体"/>
          <w:color w:val="000000"/>
          <w:sz w:val="24"/>
          <w:szCs w:val="24"/>
        </w:rPr>
      </w:pPr>
      <w:r>
        <w:rPr>
          <w:rFonts w:hint="eastAsia" w:hAnsi="宋体" w:eastAsia="宋体" w:cs="宋体"/>
          <w:color w:val="000000"/>
          <w:sz w:val="24"/>
          <w:szCs w:val="24"/>
          <w:highlight w:val="yellow"/>
        </w:rPr>
        <w:t>—2020）</w:t>
      </w:r>
      <w:r>
        <w:rPr>
          <w:rFonts w:hint="eastAsia" w:hAnsi="宋体" w:eastAsia="宋体" w:cs="宋体"/>
          <w:color w:val="000000"/>
          <w:sz w:val="24"/>
          <w:szCs w:val="24"/>
        </w:rPr>
        <w:t>。</w:t>
      </w:r>
    </w:p>
    <w:p w14:paraId="2B398C6F">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5FF6928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7976BF3B">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0D1EADBD">
      <w:pPr>
        <w:keepNext/>
        <w:keepLines/>
        <w:spacing w:line="360" w:lineRule="auto"/>
        <w:ind w:firstLine="480" w:firstLineChars="200"/>
        <w:rPr>
          <w:rFonts w:hint="eastAsia"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14:paraId="1C9A2F64">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2AC1C55C">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14:paraId="4D5A6B02">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14:paraId="274A0D56">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2DEF82A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rPr>
        <w:t>中国重汽官网、山东省阳光采购服务平台、中国招标投标公共服务平台等公开媒体</w:t>
      </w:r>
      <w:r>
        <w:rPr>
          <w:rFonts w:hint="eastAsia" w:ascii="宋体" w:hAnsi="宋体" w:eastAsia="宋体" w:cs="宋体"/>
          <w:color w:val="000000"/>
          <w:sz w:val="24"/>
          <w:szCs w:val="24"/>
        </w:rPr>
        <w:t>公布。</w:t>
      </w:r>
    </w:p>
    <w:p w14:paraId="4F1DAFE9">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540C040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见《投标须知前附表》第二条，逾期不受理。</w:t>
      </w:r>
    </w:p>
    <w:p w14:paraId="5D058BF1">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4.投标报名</w:t>
      </w:r>
    </w:p>
    <w:p w14:paraId="2C37BDC5">
      <w:pPr>
        <w:keepNext/>
        <w:keepLines/>
        <w:spacing w:line="360" w:lineRule="auto"/>
        <w:ind w:firstLine="482"/>
        <w:rPr>
          <w:rFonts w:hint="eastAsia"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w:t>
      </w:r>
      <w:r>
        <w:rPr>
          <w:rFonts w:hint="eastAsia" w:ascii="宋体" w:hAnsi="宋体" w:eastAsia="宋体" w:cs="宋体"/>
          <w:sz w:val="24"/>
          <w:szCs w:val="24"/>
          <w:lang w:val="en-US" w:eastAsia="zh-CN"/>
        </w:rPr>
        <w:t>账</w:t>
      </w:r>
      <w:r>
        <w:rPr>
          <w:rFonts w:hint="eastAsia" w:ascii="宋体" w:hAnsi="宋体" w:eastAsia="宋体" w:cs="宋体"/>
          <w:sz w:val="24"/>
          <w:szCs w:val="24"/>
        </w:rPr>
        <w:t>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（保证金具体金额及缴纳截止时间见《投标须知前附表》4.2和4.3）。</w:t>
      </w:r>
    </w:p>
    <w:p w14:paraId="37708797">
      <w:pPr>
        <w:pStyle w:val="115"/>
        <w:ind w:firstLine="480"/>
        <w:rPr>
          <w:rFonts w:hint="eastAsia" w:eastAsia="宋体" w:cs="宋体"/>
        </w:rPr>
      </w:pPr>
      <w:r>
        <w:rPr>
          <w:rFonts w:hint="eastAsia" w:eastAsia="宋体" w:cs="宋体"/>
        </w:rPr>
        <w:t>4.2招标人银行账户信息如下：见《投标须知前附表》4.2。</w:t>
      </w:r>
    </w:p>
    <w:p w14:paraId="38008E24">
      <w:pPr>
        <w:pStyle w:val="115"/>
        <w:ind w:firstLine="480"/>
        <w:rPr>
          <w:rFonts w:hint="eastAsia" w:eastAsia="宋体" w:cs="宋体"/>
        </w:rPr>
      </w:pPr>
      <w:r>
        <w:rPr>
          <w:rFonts w:hint="eastAsia" w:eastAsia="宋体" w:cs="宋体"/>
        </w:rPr>
        <w:t>转账附言：公司名称+项目名称+投标保证金；</w:t>
      </w:r>
    </w:p>
    <w:p w14:paraId="0B4761C9">
      <w:pPr>
        <w:pStyle w:val="115"/>
        <w:ind w:firstLine="480"/>
        <w:rPr>
          <w:rFonts w:hint="eastAsia" w:eastAsia="宋体" w:cs="宋体"/>
        </w:rPr>
      </w:pPr>
      <w:r>
        <w:rPr>
          <w:rFonts w:hint="eastAsia" w:eastAsia="宋体" w:cs="宋体"/>
        </w:rPr>
        <w:t>对于没有中标的投标人，投标保证金将于招标人内部完成中标人评审并确认最终中标人后在30工作日内予以原路返还（无息）；对于中标方，投标保证金将在签订合同后30个工作日内原路返还（无息）；</w:t>
      </w:r>
    </w:p>
    <w:p w14:paraId="1C4AC067">
      <w:pPr>
        <w:pStyle w:val="115"/>
        <w:ind w:firstLine="480"/>
        <w:rPr>
          <w:rFonts w:hint="eastAsia" w:eastAsia="宋体" w:cs="宋体"/>
        </w:rPr>
      </w:pPr>
      <w:r>
        <w:rPr>
          <w:rFonts w:hint="eastAsia" w:eastAsia="宋体" w:cs="宋体"/>
        </w:rPr>
        <w:t>4.3说明</w:t>
      </w:r>
    </w:p>
    <w:p w14:paraId="6AED142D">
      <w:pPr>
        <w:pStyle w:val="115"/>
        <w:ind w:firstLine="480"/>
        <w:rPr>
          <w:rFonts w:hint="eastAsia" w:eastAsia="宋体" w:cs="宋体"/>
        </w:rPr>
      </w:pPr>
      <w:r>
        <w:rPr>
          <w:rFonts w:hint="eastAsia" w:eastAsia="宋体" w:cs="宋体"/>
        </w:rPr>
        <w:t>4.3.1 投标人在向招标人出示《投标保证金缴纳凭证》后方可进行投标；</w:t>
      </w:r>
    </w:p>
    <w:p w14:paraId="7CEAC20D">
      <w:pPr>
        <w:pStyle w:val="115"/>
        <w:ind w:firstLine="480"/>
        <w:rPr>
          <w:rFonts w:hint="eastAsia" w:eastAsia="宋体" w:cs="宋体"/>
        </w:rPr>
      </w:pPr>
      <w:r>
        <w:rPr>
          <w:rFonts w:hint="eastAsia" w:eastAsia="宋体" w:cs="宋体"/>
        </w:rPr>
        <w:t>4.3.2 发生以下情况时，招标人有权没收保证金：</w:t>
      </w:r>
    </w:p>
    <w:p w14:paraId="30A58C67">
      <w:pPr>
        <w:pStyle w:val="115"/>
        <w:ind w:firstLine="480"/>
        <w:rPr>
          <w:rFonts w:hint="eastAsia" w:eastAsia="宋体" w:cs="宋体"/>
        </w:rPr>
      </w:pPr>
      <w:r>
        <w:rPr>
          <w:rFonts w:hint="eastAsia" w:eastAsia="宋体" w:cs="宋体"/>
        </w:rPr>
        <w:t>4.3.2.1 截至开标前3天，投标人无正当理由且未以书面形式递交说明而在投标截止日不来投标的；</w:t>
      </w:r>
    </w:p>
    <w:p w14:paraId="3881DEB2">
      <w:pPr>
        <w:pStyle w:val="115"/>
        <w:ind w:firstLine="480"/>
        <w:rPr>
          <w:rFonts w:hint="eastAsia" w:eastAsia="宋体" w:cs="宋体"/>
        </w:rPr>
      </w:pPr>
      <w:r>
        <w:rPr>
          <w:rFonts w:hint="eastAsia" w:eastAsia="宋体" w:cs="宋体"/>
        </w:rPr>
        <w:t>4.3.2.2 投标人递送投标文件后，无正当理由放弃投标的；</w:t>
      </w:r>
    </w:p>
    <w:p w14:paraId="65051C2F">
      <w:pPr>
        <w:pStyle w:val="115"/>
        <w:ind w:firstLine="480"/>
        <w:rPr>
          <w:rFonts w:hint="eastAsia" w:eastAsia="宋体" w:cs="宋体"/>
        </w:rPr>
      </w:pPr>
      <w:r>
        <w:rPr>
          <w:rFonts w:hint="eastAsia" w:eastAsia="宋体" w:cs="宋体"/>
        </w:rPr>
        <w:t>4.3.2.3若为视频开标，招标过程中澄清函等资料原件未按要求提交的；</w:t>
      </w:r>
    </w:p>
    <w:p w14:paraId="51FDBE40">
      <w:pPr>
        <w:pStyle w:val="115"/>
        <w:ind w:firstLine="480"/>
        <w:rPr>
          <w:rFonts w:hint="eastAsia" w:eastAsia="宋体" w:cs="宋体"/>
        </w:rPr>
      </w:pPr>
      <w:r>
        <w:rPr>
          <w:rFonts w:hint="eastAsia" w:eastAsia="宋体" w:cs="宋体"/>
        </w:rPr>
        <w:t>4.3.2.4自中标通知书发出之日起30日内，中标人无正当理由不签订合同的；</w:t>
      </w:r>
    </w:p>
    <w:p w14:paraId="3D478AEC">
      <w:pPr>
        <w:pStyle w:val="115"/>
        <w:ind w:firstLine="480"/>
        <w:rPr>
          <w:rFonts w:hint="eastAsia" w:eastAsia="宋体" w:cs="宋体"/>
        </w:rPr>
      </w:pPr>
      <w:r>
        <w:rPr>
          <w:rFonts w:hint="eastAsia" w:eastAsia="宋体" w:cs="宋体"/>
        </w:rPr>
        <w:t>4.3.2.5投标人在投标过程中被查实有串标、围标、陪标等违规违纪行为的；</w:t>
      </w:r>
    </w:p>
    <w:p w14:paraId="54890BCC">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4.3.2.6投标人有违约违规行为或被投诉、举报的，在调查处理期间，保证金暂不退还，待调查处理结束后按有关规定处理。</w:t>
      </w:r>
    </w:p>
    <w:p w14:paraId="0A1A9E1B">
      <w:pPr>
        <w:pStyle w:val="115"/>
        <w:ind w:firstLine="480"/>
        <w:rPr>
          <w:rFonts w:hint="eastAsia" w:eastAsia="宋体" w:cs="宋体"/>
        </w:rPr>
      </w:pPr>
      <w:r>
        <w:rPr>
          <w:rFonts w:hint="eastAsia" w:eastAsia="宋体" w:cs="宋体"/>
        </w:rPr>
        <w:t>4.4投标报名截止时间</w:t>
      </w:r>
    </w:p>
    <w:p w14:paraId="3D27BA9E">
      <w:pPr>
        <w:pStyle w:val="115"/>
        <w:ind w:firstLine="480"/>
        <w:rPr>
          <w:rFonts w:hint="eastAsia" w:eastAsia="宋体" w:cs="宋体"/>
        </w:rPr>
      </w:pPr>
      <w:r>
        <w:rPr>
          <w:rFonts w:hint="eastAsia" w:eastAsia="宋体" w:cs="宋体"/>
        </w:rPr>
        <w:t>报名方式：</w:t>
      </w:r>
      <w:r>
        <w:rPr>
          <w:rFonts w:hint="eastAsia" w:eastAsia="宋体" w:cs="宋体"/>
          <w:highlight w:val="yellow"/>
        </w:rPr>
        <w:t>见《投标须知前附表》2.3。</w:t>
      </w:r>
    </w:p>
    <w:p w14:paraId="64D91D77">
      <w:pPr>
        <w:pStyle w:val="115"/>
        <w:ind w:firstLine="480"/>
        <w:rPr>
          <w:rFonts w:hint="eastAsia" w:eastAsia="宋体" w:cs="宋体"/>
        </w:rPr>
      </w:pPr>
      <w:r>
        <w:rPr>
          <w:rFonts w:hint="eastAsia" w:eastAsia="宋体" w:cs="宋体"/>
        </w:rPr>
        <w:t>报名提交资料：均为盖章电子扫描版，用“公司名称+文件名称”命名。</w:t>
      </w:r>
    </w:p>
    <w:p w14:paraId="7527E27F">
      <w:pPr>
        <w:numPr>
          <w:ilvl w:val="0"/>
          <w:numId w:val="8"/>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413C3C07">
      <w:pPr>
        <w:numPr>
          <w:ilvl w:val="0"/>
          <w:numId w:val="8"/>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397E4C69">
      <w:pPr>
        <w:numPr>
          <w:ilvl w:val="0"/>
          <w:numId w:val="8"/>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14:paraId="4F9EC35A">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5.开标时间</w:t>
      </w:r>
    </w:p>
    <w:p w14:paraId="116FAA39">
      <w:pPr>
        <w:keepNext/>
        <w:keepLine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见《投标须知前附表》5.1，若有变动另行通知。</w:t>
      </w:r>
    </w:p>
    <w:p w14:paraId="4A6F33D2">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6.开标方式</w:t>
      </w:r>
    </w:p>
    <w:p w14:paraId="15DEAC5E">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p>
    <w:p w14:paraId="13B7B311">
      <w:pPr>
        <w:spacing w:line="360" w:lineRule="auto"/>
        <w:jc w:val="left"/>
        <w:outlineLvl w:val="1"/>
        <w:rPr>
          <w:rFonts w:hint="eastAsia" w:ascii="宋体" w:hAnsi="宋体" w:eastAsia="宋体" w:cs="宋体"/>
          <w:b/>
          <w:sz w:val="24"/>
          <w:szCs w:val="24"/>
        </w:rPr>
      </w:pPr>
      <w:bookmarkStart w:id="6" w:name="_Toc33265653"/>
      <w:bookmarkStart w:id="7" w:name="_Toc33266950"/>
      <w:bookmarkStart w:id="8" w:name="_Toc33285487"/>
      <w:bookmarkStart w:id="9" w:name="_Toc33266914"/>
      <w:bookmarkStart w:id="10" w:name="_Toc33267001"/>
      <w:bookmarkStart w:id="11" w:name="_Toc33265752"/>
      <w:bookmarkStart w:id="12" w:name="_Toc33266627"/>
      <w:r>
        <w:rPr>
          <w:rFonts w:hint="eastAsia" w:ascii="宋体" w:hAnsi="宋体" w:eastAsia="宋体" w:cs="宋体"/>
          <w:b/>
          <w:sz w:val="24"/>
          <w:szCs w:val="24"/>
        </w:rPr>
        <w:t>六、评价原则</w:t>
      </w:r>
      <w:bookmarkEnd w:id="6"/>
      <w:bookmarkEnd w:id="7"/>
      <w:bookmarkEnd w:id="8"/>
      <w:bookmarkEnd w:id="9"/>
      <w:bookmarkEnd w:id="10"/>
      <w:bookmarkEnd w:id="11"/>
      <w:bookmarkEnd w:id="12"/>
      <w:bookmarkStart w:id="13" w:name="_Toc395116633"/>
    </w:p>
    <w:bookmarkEnd w:id="13"/>
    <w:p w14:paraId="2E1D4DCE">
      <w:p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1.评标（综合评分法）</w:t>
      </w:r>
    </w:p>
    <w:p w14:paraId="7C88A3D5">
      <w:pPr>
        <w:pStyle w:val="162"/>
        <w:numPr>
          <w:ilvl w:val="0"/>
          <w:numId w:val="0"/>
        </w:numPr>
        <w:ind w:firstLine="420"/>
        <w:rPr>
          <w:rFonts w:hint="eastAsia" w:ascii="宋体" w:hAnsi="宋体" w:eastAsia="宋体" w:cs="宋体"/>
          <w:b w:val="0"/>
          <w:bCs w:val="0"/>
          <w:color w:val="000000"/>
          <w:sz w:val="24"/>
          <w:szCs w:val="24"/>
        </w:rPr>
      </w:pPr>
      <w:bookmarkStart w:id="14" w:name="_Toc33265753"/>
      <w:bookmarkStart w:id="15" w:name="_Toc33267002"/>
      <w:bookmarkStart w:id="16" w:name="_Toc33285489"/>
      <w:bookmarkStart w:id="17" w:name="_Toc33266951"/>
      <w:bookmarkStart w:id="18" w:name="_Toc395116634"/>
      <w:bookmarkStart w:id="19" w:name="_Toc33266628"/>
      <w:bookmarkStart w:id="20" w:name="_Toc33266915"/>
      <w:bookmarkStart w:id="21" w:name="_Toc33265654"/>
      <w:r>
        <w:rPr>
          <w:rFonts w:hint="eastAsia" w:ascii="宋体" w:hAnsi="宋体" w:eastAsia="宋体" w:cs="宋体"/>
          <w:b w:val="0"/>
          <w:bCs w:val="0"/>
          <w:color w:val="000000"/>
          <w:sz w:val="24"/>
          <w:szCs w:val="24"/>
        </w:rPr>
        <w:t>本次招标采用综合评分法评标，即在最大限度地满足招标文件实质性要求的前提下，按照评分标准中规定的评分因素和评分细则进行综合评价、评分。</w:t>
      </w:r>
    </w:p>
    <w:p w14:paraId="3195FCC5">
      <w:pPr>
        <w:pStyle w:val="162"/>
        <w:numPr>
          <w:ilvl w:val="0"/>
          <w:numId w:val="0"/>
        </w:numPr>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rPr>
        <w:t>评标委员会各成员独立对每一份有效投标文件进行评价并对除报价以外的评分项目进行评分，报价得分由工作人员通过计算得出。</w:t>
      </w:r>
    </w:p>
    <w:p w14:paraId="2A5CF063">
      <w:pPr>
        <w:pStyle w:val="162"/>
        <w:numPr>
          <w:ilvl w:val="0"/>
          <w:numId w:val="0"/>
        </w:numPr>
      </w:pPr>
      <w:r>
        <w:rPr>
          <w:rFonts w:hint="eastAsia" w:ascii="宋体" w:hAnsi="宋体" w:eastAsia="宋体" w:cs="宋体"/>
          <w:b w:val="0"/>
          <w:bCs w:val="0"/>
          <w:color w:val="000000"/>
          <w:sz w:val="24"/>
          <w:szCs w:val="24"/>
        </w:rPr>
        <w:t>投标人得分＝∑评委评价得分/评委人数＋商务标得分</w:t>
      </w:r>
    </w:p>
    <w:bookmarkEnd w:id="14"/>
    <w:bookmarkEnd w:id="15"/>
    <w:bookmarkEnd w:id="16"/>
    <w:bookmarkEnd w:id="17"/>
    <w:bookmarkEnd w:id="18"/>
    <w:bookmarkEnd w:id="19"/>
    <w:bookmarkEnd w:id="20"/>
    <w:bookmarkEnd w:id="21"/>
    <w:p w14:paraId="1F7424A5">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14:paraId="6BE45E3D">
      <w:pPr>
        <w:numPr>
          <w:ilvl w:val="0"/>
          <w:numId w:val="9"/>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应标资格审查：在“中国重汽e采通”应标报名时，按照第一部分第四条投标文件编制资格证明文件中的1.1-1.11准备资料，上传完毕后，等待审核；</w:t>
      </w:r>
    </w:p>
    <w:p w14:paraId="07169888">
      <w:pPr>
        <w:numPr>
          <w:ilvl w:val="0"/>
          <w:numId w:val="9"/>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通过应标资格审查的单位进入投标环节，按照“SRM系统供应商用户手册”，在重汽e采通平台投递电子标书（包含资质标、技术标、商务标）；没有通过应标资质审查的单位不能进入投标环节；</w:t>
      </w:r>
    </w:p>
    <w:p w14:paraId="33AC65CE">
      <w:pPr>
        <w:numPr>
          <w:ilvl w:val="0"/>
          <w:numId w:val="9"/>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资质标评审：资质标审核通过的单位，可以进入公开唱标环节；</w:t>
      </w:r>
    </w:p>
    <w:p w14:paraId="7DDF8801">
      <w:pPr>
        <w:numPr>
          <w:ilvl w:val="0"/>
          <w:numId w:val="9"/>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公开唱标：公示资质标入围单位的开标价格及商务条款响应情况；</w:t>
      </w:r>
    </w:p>
    <w:p w14:paraId="19786DE5">
      <w:pPr>
        <w:numPr>
          <w:ilvl w:val="0"/>
          <w:numId w:val="9"/>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评分详见评分标准；</w:t>
      </w:r>
    </w:p>
    <w:p w14:paraId="2560C603">
      <w:pPr>
        <w:numPr>
          <w:ilvl w:val="0"/>
          <w:numId w:val="9"/>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商务标评审：商务条款相应确认→价格澄清→商务标评审；评审期间产生的商务价格澄清均由投标人在重汽e采通平台限时内完成提交；</w:t>
      </w:r>
    </w:p>
    <w:p w14:paraId="299D08E7">
      <w:pPr>
        <w:keepNext w:val="0"/>
        <w:keepLines w:val="0"/>
        <w:pageBreakBefore w:val="0"/>
        <w:widowControl/>
        <w:suppressLineNumbers w:val="0"/>
        <w:kinsoku/>
        <w:wordWrap/>
        <w:overflowPunct/>
        <w:topLinePunct w:val="0"/>
        <w:autoSpaceDE/>
        <w:autoSpaceDN/>
        <w:bidi w:val="0"/>
        <w:adjustRightInd/>
        <w:snapToGrid/>
        <w:spacing w:line="360" w:lineRule="auto"/>
        <w:ind w:firstLine="482" w:firstLineChars="200"/>
        <w:jc w:val="left"/>
        <w:textAlignment w:val="auto"/>
        <w:rPr>
          <w:b/>
          <w:bCs/>
        </w:rPr>
      </w:pPr>
      <w:r>
        <w:rPr>
          <w:rFonts w:ascii="宋体" w:hAnsi="宋体" w:eastAsia="宋体" w:cs="宋体"/>
          <w:b/>
          <w:bCs/>
          <w:kern w:val="0"/>
          <w:sz w:val="24"/>
          <w:szCs w:val="24"/>
          <w:lang w:val="en-US" w:eastAsia="zh-CN" w:bidi="ar"/>
        </w:rPr>
        <w:t xml:space="preserve">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 </w:t>
      </w:r>
    </w:p>
    <w:p w14:paraId="250C971B">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rPr>
          <w:rFonts w:hint="eastAsia"/>
        </w:rPr>
      </w:pPr>
      <w:r>
        <w:rPr>
          <w:rFonts w:ascii="宋体" w:hAnsi="宋体" w:eastAsia="宋体" w:cs="宋体"/>
          <w:b/>
          <w:bCs/>
          <w:kern w:val="0"/>
          <w:sz w:val="24"/>
          <w:szCs w:val="24"/>
          <w:lang w:val="en-US" w:eastAsia="zh-CN" w:bidi="ar"/>
        </w:rPr>
        <w:t>注意：每一轮在重汽e采通提供澄清报价均有时间限制，未能在规定时间内提交澄清函及报价的视为放弃本次投标。</w:t>
      </w:r>
    </w:p>
    <w:p w14:paraId="7327AD7B">
      <w:pPr>
        <w:numPr>
          <w:ilvl w:val="0"/>
          <w:numId w:val="10"/>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注意：投标人均需要自带笔记本电脑在重汽e采通进行自主投标和提交澄清函；</w:t>
      </w:r>
    </w:p>
    <w:p w14:paraId="160E890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r>
        <w:rPr>
          <w:rFonts w:hint="eastAsia" w:ascii="宋体" w:hAnsi="宋体" w:eastAsia="宋体" w:cs="宋体"/>
          <w:color w:val="000000"/>
          <w:sz w:val="24"/>
          <w:szCs w:val="24"/>
        </w:rPr>
        <w:t>。</w:t>
      </w:r>
    </w:p>
    <w:p w14:paraId="666B19FE">
      <w:pPr>
        <w:spacing w:line="360" w:lineRule="auto"/>
        <w:ind w:firstLine="482" w:firstLineChars="200"/>
        <w:outlineLvl w:val="2"/>
        <w:rPr>
          <w:rFonts w:hint="eastAsia"/>
        </w:rPr>
      </w:pPr>
      <w:r>
        <w:rPr>
          <w:rFonts w:hint="eastAsia" w:ascii="宋体" w:hAnsi="宋体" w:eastAsia="宋体" w:cs="宋体"/>
          <w:b/>
          <w:bCs/>
          <w:color w:val="000000"/>
          <w:sz w:val="24"/>
          <w:szCs w:val="24"/>
        </w:rPr>
        <w:t>2.评分标准（综合评分法）</w:t>
      </w:r>
    </w:p>
    <w:p w14:paraId="4BF8A9FB">
      <w:pPr>
        <w:keepNext/>
        <w:keepLines/>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详见附件14</w:t>
      </w:r>
    </w:p>
    <w:p w14:paraId="466DDE3D">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14:paraId="004D385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14:paraId="1776E5F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0767825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14:paraId="48DEDD67">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14:paraId="548703B3">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5.合同以双方最终签署的版本为准。</w:t>
      </w:r>
    </w:p>
    <w:p w14:paraId="06C78999">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14:paraId="0CD8033D">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A27DD38">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74CED59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36598823">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7315BFA6">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223010C7">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49312FA6">
      <w:pPr>
        <w:pStyle w:val="18"/>
        <w:spacing w:line="360" w:lineRule="auto"/>
        <w:rPr>
          <w:rFonts w:hint="eastAsia"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59B3C732">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2DEBEC2A">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4B4B7EEE">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14:paraId="49626109">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1D6156E3">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18276637">
      <w:pPr>
        <w:pStyle w:val="18"/>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（12）不同投标人的投标文件异常一致；</w:t>
      </w:r>
    </w:p>
    <w:p w14:paraId="52E57FFC">
      <w:pPr>
        <w:pStyle w:val="18"/>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（13）投标报价呈规律性差异的；</w:t>
      </w:r>
    </w:p>
    <w:p w14:paraId="7D85C32F">
      <w:pPr>
        <w:pStyle w:val="18"/>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（14）投标人报价均超过投标限价的；</w:t>
      </w:r>
    </w:p>
    <w:p w14:paraId="1D46849B">
      <w:pPr>
        <w:spacing w:line="360" w:lineRule="auto"/>
        <w:ind w:right="2" w:firstLine="480" w:firstLineChars="200"/>
        <w:rPr>
          <w:rFonts w:hint="eastAsia"/>
        </w:rPr>
      </w:pPr>
      <w:r>
        <w:rPr>
          <w:rFonts w:hint="eastAsia" w:ascii="宋体" w:hAnsi="宋体" w:eastAsia="宋体" w:cs="宋体"/>
          <w:color w:val="000000"/>
          <w:sz w:val="24"/>
          <w:szCs w:val="24"/>
        </w:rPr>
        <w:t>（15）法律、法规规定的其他情况。</w:t>
      </w:r>
    </w:p>
    <w:p w14:paraId="1F6A11E9">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18959B73">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1034C8F4">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6A1E13EB">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454B241A">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5"/>
      <w:bookmarkStart w:id="23" w:name="OLE_LINK26"/>
      <w:bookmarkStart w:id="24" w:name="OLE_LINK28"/>
      <w:bookmarkStart w:id="25" w:name="OLE_LINK29"/>
      <w:bookmarkStart w:id="26" w:name="OLE_LINK27"/>
      <w:r>
        <w:rPr>
          <w:rFonts w:hint="eastAsia" w:ascii="宋体" w:hAnsi="宋体" w:eastAsia="宋体" w:cs="宋体"/>
          <w:bCs/>
          <w:sz w:val="24"/>
          <w:szCs w:val="24"/>
        </w:rPr>
        <w:t>；</w:t>
      </w:r>
      <w:bookmarkEnd w:id="22"/>
      <w:bookmarkEnd w:id="23"/>
      <w:bookmarkEnd w:id="24"/>
      <w:bookmarkEnd w:id="25"/>
      <w:bookmarkEnd w:id="26"/>
    </w:p>
    <w:p w14:paraId="45F4CB84">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689B5836">
      <w:pPr>
        <w:pStyle w:val="18"/>
        <w:spacing w:line="360" w:lineRule="auto"/>
        <w:ind w:firstLine="480" w:firstLineChars="200"/>
        <w:rPr>
          <w:rFonts w:hint="eastAsia" w:hAnsi="宋体" w:eastAsia="宋体" w:cs="宋体"/>
          <w:bCs/>
          <w:sz w:val="24"/>
          <w:szCs w:val="24"/>
        </w:rPr>
      </w:pPr>
      <w:r>
        <w:rPr>
          <w:rFonts w:hint="eastAsia" w:hAnsi="宋体" w:eastAsia="宋体" w:cs="宋体"/>
          <w:bCs/>
          <w:sz w:val="24"/>
          <w:szCs w:val="24"/>
        </w:rPr>
        <w:t>（6）招标人认为其他应终止招标的情形。</w:t>
      </w:r>
    </w:p>
    <w:p w14:paraId="7D689D8E">
      <w:pPr>
        <w:spacing w:line="360" w:lineRule="auto"/>
        <w:ind w:right="2" w:firstLine="48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044619BC">
      <w:pPr>
        <w:pStyle w:val="2"/>
        <w:ind w:firstLine="480"/>
        <w:rPr>
          <w:rFonts w:hint="default" w:ascii="宋体" w:hAnsi="宋体" w:eastAsia="宋体" w:cs="宋体"/>
          <w:b w:val="0"/>
          <w:bCs w:val="0"/>
          <w:color w:val="000000"/>
          <w:kern w:val="2"/>
          <w:sz w:val="24"/>
          <w:szCs w:val="24"/>
          <w:highlight w:val="none"/>
          <w:lang w:val="en-US" w:eastAsia="zh-CN" w:bidi="ar-SA"/>
        </w:rPr>
      </w:pPr>
      <w:r>
        <w:rPr>
          <w:rFonts w:hint="eastAsia" w:ascii="宋体" w:hAnsi="宋体" w:eastAsia="宋体" w:cs="宋体"/>
          <w:b w:val="0"/>
          <w:bCs w:val="0"/>
          <w:color w:val="000000"/>
          <w:kern w:val="2"/>
          <w:sz w:val="24"/>
          <w:szCs w:val="24"/>
          <w:highlight w:val="none"/>
          <w:lang w:val="en-US" w:eastAsia="zh-CN" w:bidi="ar-SA"/>
        </w:rPr>
        <w:t>4.其他：</w:t>
      </w:r>
      <w:r>
        <w:rPr>
          <w:rFonts w:hint="default" w:ascii="宋体" w:hAnsi="宋体" w:eastAsia="宋体" w:cs="宋体"/>
          <w:b w:val="0"/>
          <w:bCs w:val="0"/>
          <w:color w:val="000000"/>
          <w:kern w:val="2"/>
          <w:sz w:val="24"/>
          <w:szCs w:val="24"/>
          <w:highlight w:val="none"/>
          <w:lang w:val="en-US" w:eastAsia="zh-CN" w:bidi="ar-SA"/>
        </w:rPr>
        <w:t>中标人在收到中标通知书后或合同签订后，非因招标人原因导致项目无法继续实施的，中标人应承担由此给招标人造成的一切损失（包括但不限于直接损失、间接损失</w:t>
      </w:r>
      <w:r>
        <w:rPr>
          <w:rFonts w:hint="eastAsia" w:ascii="宋体" w:hAnsi="宋体" w:cs="宋体"/>
          <w:b w:val="0"/>
          <w:bCs w:val="0"/>
          <w:color w:val="000000"/>
          <w:kern w:val="2"/>
          <w:sz w:val="24"/>
          <w:szCs w:val="24"/>
          <w:highlight w:val="none"/>
          <w:lang w:val="en-US" w:eastAsia="zh-CN" w:bidi="ar-SA"/>
        </w:rPr>
        <w:t>和</w:t>
      </w:r>
      <w:r>
        <w:rPr>
          <w:rFonts w:hint="default" w:ascii="宋体" w:hAnsi="宋体" w:eastAsia="宋体" w:cs="宋体"/>
          <w:b w:val="0"/>
          <w:bCs w:val="0"/>
          <w:color w:val="000000"/>
          <w:kern w:val="2"/>
          <w:sz w:val="24"/>
          <w:szCs w:val="24"/>
          <w:highlight w:val="none"/>
          <w:lang w:val="en-US" w:eastAsia="zh-CN" w:bidi="ar-SA"/>
        </w:rPr>
        <w:t>重新招标</w:t>
      </w:r>
      <w:r>
        <w:rPr>
          <w:rFonts w:hint="eastAsia" w:ascii="宋体" w:hAnsi="宋体" w:cs="宋体"/>
          <w:b w:val="0"/>
          <w:bCs w:val="0"/>
          <w:color w:val="000000"/>
          <w:kern w:val="2"/>
          <w:sz w:val="24"/>
          <w:szCs w:val="24"/>
          <w:highlight w:val="none"/>
          <w:lang w:val="en-US" w:eastAsia="zh-CN" w:bidi="ar-SA"/>
        </w:rPr>
        <w:t>等</w:t>
      </w:r>
      <w:r>
        <w:rPr>
          <w:rFonts w:hint="default" w:ascii="宋体" w:hAnsi="宋体" w:eastAsia="宋体" w:cs="宋体"/>
          <w:b w:val="0"/>
          <w:bCs w:val="0"/>
          <w:color w:val="000000"/>
          <w:kern w:val="2"/>
          <w:sz w:val="24"/>
          <w:szCs w:val="24"/>
          <w:highlight w:val="none"/>
          <w:lang w:val="en-US" w:eastAsia="zh-CN" w:bidi="ar-SA"/>
        </w:rPr>
        <w:t>费用），招标人有权单方解除合同，并不予退还</w:t>
      </w:r>
      <w:r>
        <w:rPr>
          <w:rFonts w:hint="eastAsia" w:ascii="宋体" w:hAnsi="宋体" w:cs="宋体"/>
          <w:b w:val="0"/>
          <w:bCs w:val="0"/>
          <w:color w:val="000000"/>
          <w:kern w:val="2"/>
          <w:sz w:val="24"/>
          <w:szCs w:val="24"/>
          <w:highlight w:val="none"/>
          <w:lang w:val="en-US" w:eastAsia="zh-CN" w:bidi="ar-SA"/>
        </w:rPr>
        <w:t>投标</w:t>
      </w:r>
      <w:r>
        <w:rPr>
          <w:rFonts w:hint="default" w:ascii="宋体" w:hAnsi="宋体" w:eastAsia="宋体" w:cs="宋体"/>
          <w:b w:val="0"/>
          <w:bCs w:val="0"/>
          <w:color w:val="000000"/>
          <w:kern w:val="2"/>
          <w:sz w:val="24"/>
          <w:szCs w:val="24"/>
          <w:highlight w:val="none"/>
          <w:lang w:val="en-US" w:eastAsia="zh-CN" w:bidi="ar-SA"/>
        </w:rPr>
        <w:t>保证金，同时保留追究中标人其他违约责任的权利。</w:t>
      </w:r>
    </w:p>
    <w:p w14:paraId="39D5E182">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归中国重汽集团济南卡车股份有限公司。</w:t>
      </w:r>
    </w:p>
    <w:p w14:paraId="723A333C">
      <w:pPr>
        <w:widowControl/>
        <w:jc w:val="left"/>
        <w:rPr>
          <w:rFonts w:ascii="Arial" w:hAnsi="Arial" w:eastAsia="宋体" w:cs="Times New Roman"/>
          <w:b/>
          <w:bCs/>
          <w:sz w:val="24"/>
          <w:szCs w:val="32"/>
        </w:rPr>
      </w:pPr>
      <w:r>
        <w:br w:type="page"/>
      </w:r>
    </w:p>
    <w:p w14:paraId="04F62770">
      <w:pPr>
        <w:pStyle w:val="18"/>
        <w:spacing w:line="360" w:lineRule="auto"/>
        <w:jc w:val="center"/>
        <w:rPr>
          <w:rFonts w:hint="eastAsia" w:hAnsi="宋体" w:eastAsia="宋体" w:cs="宋体"/>
          <w:b/>
          <w:bCs/>
          <w:kern w:val="44"/>
          <w:sz w:val="24"/>
          <w:szCs w:val="24"/>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7DED145E">
      <w:pPr>
        <w:pStyle w:val="18"/>
        <w:numPr>
          <w:ilvl w:val="255"/>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rPr>
        <w:t>第三部分 投标文件编制</w:t>
      </w:r>
      <w:bookmarkEnd w:id="27"/>
    </w:p>
    <w:p w14:paraId="3595D19E">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14:paraId="3E545D5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466ADE9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14:paraId="0EADA4E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14:paraId="6AE309AB">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14:paraId="39247D8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14:paraId="2D690D7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14:paraId="200906D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0ABBBBE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7E650817">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7AF4815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2E68E751">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14:paraId="7E47B11B">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14:paraId="47BD5FBE">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sz w:val="24"/>
          <w:szCs w:val="24"/>
        </w:rPr>
        <w:t>本项目投标文件分为</w:t>
      </w:r>
      <w:r>
        <w:rPr>
          <w:rFonts w:hint="eastAsia" w:ascii="宋体" w:hAnsi="宋体" w:eastAsia="宋体" w:cs="宋体"/>
          <w:b/>
          <w:sz w:val="24"/>
          <w:szCs w:val="24"/>
        </w:rPr>
        <w:t>纸质版</w:t>
      </w:r>
      <w:r>
        <w:rPr>
          <w:rFonts w:hint="eastAsia" w:ascii="宋体" w:hAnsi="宋体" w:eastAsia="宋体" w:cs="宋体"/>
          <w:bCs/>
          <w:sz w:val="24"/>
          <w:szCs w:val="24"/>
        </w:rPr>
        <w:t>投标文件和</w:t>
      </w:r>
      <w:r>
        <w:rPr>
          <w:rFonts w:hint="eastAsia" w:ascii="宋体" w:hAnsi="宋体" w:eastAsia="宋体" w:cs="宋体"/>
          <w:b/>
          <w:sz w:val="24"/>
          <w:szCs w:val="24"/>
        </w:rPr>
        <w:t>电子版</w:t>
      </w:r>
      <w:r>
        <w:rPr>
          <w:rFonts w:hint="eastAsia" w:ascii="宋体" w:hAnsi="宋体" w:eastAsia="宋体" w:cs="宋体"/>
          <w:bCs/>
          <w:sz w:val="24"/>
          <w:szCs w:val="24"/>
        </w:rPr>
        <w:t>投标文件，均由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w:t>
      </w:r>
      <w:r>
        <w:rPr>
          <w:rFonts w:hint="eastAsia" w:ascii="宋体" w:hAnsi="宋体" w:eastAsia="宋体" w:cs="宋体"/>
          <w:bCs/>
          <w:color w:val="000000"/>
          <w:sz w:val="24"/>
          <w:szCs w:val="24"/>
        </w:rPr>
        <w:t>个文件。</w:t>
      </w:r>
    </w:p>
    <w:p w14:paraId="333C2DA6">
      <w:pPr>
        <w:spacing w:line="360" w:lineRule="auto"/>
        <w:ind w:firstLine="482" w:firstLineChars="200"/>
        <w:rPr>
          <w:rFonts w:hint="eastAsia"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14:paraId="1D51886D">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5C0C8A75">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14:paraId="6DDE363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7374F35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1.2投标函（附件1）；</w:t>
      </w:r>
    </w:p>
    <w:p w14:paraId="7F53A8D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p>
    <w:p w14:paraId="276F4236">
      <w:pPr>
        <w:spacing w:line="360" w:lineRule="auto"/>
        <w:ind w:firstLine="480" w:firstLineChars="200"/>
        <w:rPr>
          <w:rFonts w:hint="eastAsia" w:ascii="宋体" w:hAnsi="宋体" w:eastAsia="宋体" w:cs="宋体"/>
          <w:b/>
          <w:color w:val="000000"/>
          <w:sz w:val="24"/>
          <w:szCs w:val="24"/>
          <w:highlight w:val="yellow"/>
        </w:rPr>
      </w:pPr>
      <w:r>
        <w:rPr>
          <w:rFonts w:hint="eastAsia" w:ascii="宋体" w:hAnsi="宋体" w:eastAsia="宋体" w:cs="宋体"/>
          <w:color w:val="000000"/>
          <w:sz w:val="24"/>
          <w:szCs w:val="24"/>
        </w:rPr>
        <w:t>1.4近三年经第三方机构审计的财务报表（报告页、资产负债表、损益表、现金流量表）复印件（需加盖公章），必须连续，同时填写投标人基本情况表（附件3）</w:t>
      </w:r>
      <w:r>
        <w:rPr>
          <w:rFonts w:hint="eastAsia" w:ascii="宋体" w:hAnsi="宋体" w:eastAsia="宋体" w:cs="宋体"/>
          <w:b/>
          <w:color w:val="000000"/>
          <w:sz w:val="24"/>
          <w:szCs w:val="24"/>
        </w:rPr>
        <w:t>；</w:t>
      </w:r>
    </w:p>
    <w:p w14:paraId="614DF9E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14:paraId="6A7C53F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rPr>
        <w:t>（附投标当日系统内相关截图）</w:t>
      </w:r>
    </w:p>
    <w:p w14:paraId="76C1EDC1">
      <w:pPr>
        <w:spacing w:line="360" w:lineRule="auto"/>
        <w:ind w:firstLine="480" w:firstLineChars="200"/>
        <w:rPr>
          <w:rFonts w:hint="eastAsia"/>
        </w:rPr>
      </w:pPr>
      <w:r>
        <w:rPr>
          <w:rFonts w:hint="eastAsia" w:ascii="宋体" w:hAnsi="宋体" w:eastAsia="宋体" w:cs="宋体"/>
          <w:color w:val="000000"/>
          <w:sz w:val="24"/>
          <w:szCs w:val="24"/>
        </w:rPr>
        <w:t>1.7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14:paraId="0CA38DA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1.8企业信用证明材料</w:t>
      </w:r>
      <w:r>
        <w:rPr>
          <w:rFonts w:hint="eastAsia" w:ascii="宋体" w:hAnsi="宋体" w:eastAsia="宋体" w:cs="宋体"/>
          <w:color w:val="000000"/>
          <w:sz w:val="24"/>
          <w:szCs w:val="24"/>
          <w:highlight w:val="yellow"/>
        </w:rPr>
        <w:t>（征信中心出具的信用报告）</w:t>
      </w:r>
      <w:r>
        <w:rPr>
          <w:rFonts w:hint="eastAsia" w:ascii="宋体" w:hAnsi="宋体" w:eastAsia="宋体" w:cs="宋体"/>
          <w:color w:val="000000"/>
          <w:sz w:val="24"/>
          <w:szCs w:val="24"/>
        </w:rPr>
        <w:t>；</w:t>
      </w:r>
    </w:p>
    <w:p w14:paraId="1CCB76C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1.9代理商投标要携带生产商的授权书、原厂售后服务承诺书，根据实际情况提供即可，无格式限制</w:t>
      </w:r>
      <w:r>
        <w:rPr>
          <w:rFonts w:hint="eastAsia" w:hAnsi="宋体" w:eastAsia="宋体" w:cs="宋体"/>
          <w:color w:val="000000"/>
          <w:sz w:val="24"/>
          <w:szCs w:val="24"/>
        </w:rPr>
        <w:t>（</w:t>
      </w:r>
      <w:r>
        <w:rPr>
          <w:rFonts w:hint="eastAsia" w:hAnsi="宋体" w:eastAsia="宋体" w:cs="宋体"/>
          <w:color w:val="000000"/>
          <w:sz w:val="24"/>
          <w:szCs w:val="24"/>
          <w:highlight w:val="yellow"/>
        </w:rPr>
        <w:t>包括所代理品牌针对项目的唯一授权书</w:t>
      </w:r>
      <w:r>
        <w:rPr>
          <w:rFonts w:hint="eastAsia" w:hAnsi="宋体" w:eastAsia="宋体" w:cs="宋体"/>
          <w:color w:val="000000"/>
          <w:sz w:val="24"/>
          <w:szCs w:val="24"/>
        </w:rPr>
        <w:t>）</w:t>
      </w:r>
      <w:r>
        <w:rPr>
          <w:rFonts w:hint="eastAsia" w:ascii="宋体" w:hAnsi="宋体" w:eastAsia="宋体" w:cs="宋体"/>
          <w:color w:val="000000"/>
          <w:sz w:val="24"/>
          <w:szCs w:val="24"/>
        </w:rPr>
        <w:t>；</w:t>
      </w:r>
    </w:p>
    <w:p w14:paraId="3FE5F5B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1.10企业最近半年的完税证明，并附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501FB6D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1.11保密承诺函（附件4）；</w:t>
      </w:r>
    </w:p>
    <w:p w14:paraId="4863D0E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1.12 2022年1月1日至今，企业近三年同类项目业绩证明，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687B2E6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1.13投标保证金缴纳凭证，同时</w:t>
      </w:r>
      <w:r>
        <w:rPr>
          <w:rFonts w:hint="eastAsia" w:ascii="宋体" w:hAnsi="宋体" w:eastAsia="宋体" w:cs="宋体"/>
          <w:color w:val="000000"/>
          <w:sz w:val="24"/>
          <w:szCs w:val="24"/>
          <w:highlight w:val="yellow"/>
        </w:rPr>
        <w:t>正文描述付款账号、户名、开户行名称、开户行行号、保证金金额</w:t>
      </w:r>
      <w:r>
        <w:rPr>
          <w:rFonts w:hint="eastAsia" w:ascii="宋体" w:hAnsi="宋体" w:eastAsia="宋体" w:cs="宋体"/>
          <w:color w:val="000000"/>
          <w:sz w:val="24"/>
          <w:szCs w:val="24"/>
        </w:rPr>
        <w:t>。</w:t>
      </w:r>
    </w:p>
    <w:p w14:paraId="3A226EFC">
      <w:pPr>
        <w:spacing w:line="360" w:lineRule="auto"/>
        <w:ind w:firstLine="482" w:firstLineChars="200"/>
        <w:rPr>
          <w:rFonts w:hint="eastAsia" w:ascii="宋体" w:hAnsi="宋体" w:eastAsia="宋体" w:cs="宋体"/>
          <w:b/>
          <w:bCs/>
          <w:sz w:val="24"/>
          <w:szCs w:val="24"/>
        </w:rPr>
      </w:pPr>
      <w:bookmarkStart w:id="28" w:name="_Toc212369515"/>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28"/>
    </w:p>
    <w:p w14:paraId="33E59359">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2.1技术规格偏离表（附件5-1），</w:t>
      </w:r>
      <w:r>
        <w:rPr>
          <w:rFonts w:hint="eastAsia" w:ascii="宋体" w:hAnsi="宋体" w:eastAsia="宋体" w:cs="宋体"/>
          <w:b/>
          <w:color w:val="000000"/>
          <w:sz w:val="24"/>
          <w:szCs w:val="24"/>
        </w:rPr>
        <w:t>必须先进行两列要求</w:t>
      </w:r>
      <w:r>
        <w:rPr>
          <w:rFonts w:hint="eastAsia" w:ascii="宋体" w:hAnsi="宋体" w:eastAsia="宋体" w:cs="宋体"/>
          <w:b/>
          <w:color w:val="000000"/>
          <w:sz w:val="24"/>
          <w:szCs w:val="24"/>
          <w:lang w:val="en-US" w:eastAsia="zh-CN"/>
        </w:rPr>
        <w:t>一</w:t>
      </w:r>
      <w:r>
        <w:rPr>
          <w:rFonts w:hint="eastAsia" w:ascii="宋体" w:hAnsi="宋体" w:eastAsia="宋体" w:cs="宋体"/>
          <w:b/>
          <w:color w:val="000000"/>
          <w:sz w:val="24"/>
          <w:szCs w:val="24"/>
        </w:rPr>
        <w:t>一对照，不允许直接写无偏离；</w:t>
      </w:r>
    </w:p>
    <w:p w14:paraId="3F727ED9">
      <w:pPr>
        <w:spacing w:line="360" w:lineRule="auto"/>
        <w:ind w:firstLine="480" w:firstLineChars="200"/>
        <w:rPr>
          <w:rFonts w:hint="eastAsia" w:hAnsi="宋体" w:eastAsia="宋体" w:cs="宋体"/>
          <w:b/>
          <w:color w:val="000000"/>
          <w:sz w:val="24"/>
          <w:szCs w:val="24"/>
          <w:highlight w:val="yellow"/>
        </w:rPr>
      </w:pPr>
      <w:r>
        <w:rPr>
          <w:rFonts w:hint="eastAsia" w:ascii="宋体" w:hAnsi="宋体" w:eastAsia="宋体" w:cs="宋体"/>
          <w:bCs/>
          <w:color w:val="000000"/>
          <w:sz w:val="24"/>
          <w:szCs w:val="24"/>
        </w:rPr>
        <w:t>2.2</w:t>
      </w:r>
      <w:r>
        <w:rPr>
          <w:rFonts w:hint="eastAsia" w:hAnsi="宋体" w:eastAsia="宋体" w:cs="宋体"/>
          <w:color w:val="000000"/>
          <w:sz w:val="24"/>
          <w:szCs w:val="24"/>
          <w:highlight w:val="yellow"/>
        </w:rPr>
        <w:t>设备分项配置表（附件5-2），列明项目设备分项配置规格型号、品牌等信息（要求分项明细与附表9-1完全对应），但</w:t>
      </w:r>
      <w:r>
        <w:rPr>
          <w:rFonts w:hint="eastAsia" w:ascii="宋体" w:hAnsi="宋体" w:eastAsia="宋体" w:cs="宋体"/>
          <w:b/>
          <w:color w:val="000000"/>
          <w:sz w:val="24"/>
          <w:szCs w:val="24"/>
          <w:highlight w:val="yellow"/>
        </w:rPr>
        <w:t>注意：</w:t>
      </w:r>
      <w:r>
        <w:rPr>
          <w:rFonts w:hint="eastAsia" w:hAnsi="宋体" w:eastAsia="宋体" w:cs="宋体"/>
          <w:b/>
          <w:color w:val="000000"/>
          <w:sz w:val="24"/>
          <w:szCs w:val="24"/>
          <w:highlight w:val="yellow"/>
        </w:rPr>
        <w:t>此表在技术标书中，禁止出现任何分项价格及项目总价；</w:t>
      </w:r>
    </w:p>
    <w:p w14:paraId="58513F5B">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2.3提供2022年1月1日以来同类产品的制造销售业绩（用户名单、联系方式），并附合同复印件。该同类项目业绩一览表必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1AE7974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2.4供货期及保证措施；</w:t>
      </w:r>
    </w:p>
    <w:p w14:paraId="5936D73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2.5产品的技术服务和售后服务内容及措施；</w:t>
      </w:r>
    </w:p>
    <w:p w14:paraId="691B47A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2.6交货进度及计划；</w:t>
      </w:r>
    </w:p>
    <w:p w14:paraId="5BED562A">
      <w:pPr>
        <w:spacing w:line="360" w:lineRule="auto"/>
        <w:ind w:firstLine="480" w:firstLineChars="200"/>
        <w:rPr>
          <w:rFonts w:hint="eastAsia" w:ascii="宋体" w:hAnsi="宋体" w:eastAsia="宋体" w:cs="宋体"/>
          <w:color w:val="000000"/>
          <w:sz w:val="24"/>
          <w:szCs w:val="24"/>
        </w:rPr>
      </w:pPr>
      <w:bookmarkStart w:id="29" w:name="_Toc536542319"/>
      <w:r>
        <w:rPr>
          <w:rFonts w:hint="eastAsia" w:ascii="宋体" w:hAnsi="宋体" w:eastAsia="宋体" w:cs="宋体"/>
          <w:color w:val="000000"/>
          <w:sz w:val="24"/>
          <w:szCs w:val="24"/>
        </w:rPr>
        <w:t>2.7投标产品技术支持材料</w:t>
      </w:r>
      <w:bookmarkEnd w:id="29"/>
      <w:r>
        <w:rPr>
          <w:rFonts w:hint="eastAsia" w:ascii="宋体" w:hAnsi="宋体" w:eastAsia="宋体" w:cs="宋体"/>
          <w:color w:val="000000"/>
          <w:sz w:val="24"/>
          <w:szCs w:val="24"/>
        </w:rPr>
        <w:t>；</w:t>
      </w:r>
    </w:p>
    <w:p w14:paraId="70C351A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2.8设备质量承诺函（附件7）；</w:t>
      </w:r>
    </w:p>
    <w:p w14:paraId="6A12163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2.9投标人需提交的其它资料。</w:t>
      </w:r>
    </w:p>
    <w:p w14:paraId="492A1425">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14:paraId="0A92B3E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1BC43FA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14:paraId="7347F2F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8"/>
      <w:bookmarkStart w:id="31" w:name="OLE_LINK19"/>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14:paraId="39150433">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14:paraId="16D423B9">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14:paraId="02E9190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405BCCC5">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14:paraId="04A1EDC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14:paraId="42FA7861">
      <w:pPr>
        <w:pStyle w:val="18"/>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202F771F">
      <w:pPr>
        <w:keepNext/>
        <w:keepLines/>
        <w:jc w:val="center"/>
        <w:outlineLvl w:val="0"/>
        <w:rPr>
          <w:rFonts w:ascii="Calibri" w:hAnsi="Calibri" w:eastAsia="宋体" w:cs="Times New Roman"/>
          <w:b/>
          <w:bCs/>
          <w:kern w:val="44"/>
          <w:sz w:val="36"/>
          <w:szCs w:val="44"/>
        </w:rPr>
      </w:pPr>
      <w:bookmarkStart w:id="32" w:name="_Toc11980"/>
      <w:bookmarkStart w:id="33" w:name="_Toc169605877"/>
      <w:r>
        <w:rPr>
          <w:rFonts w:hint="eastAsia" w:ascii="Calibri" w:hAnsi="Calibri" w:eastAsia="宋体" w:cs="Times New Roman"/>
          <w:b/>
          <w:bCs/>
          <w:kern w:val="44"/>
          <w:sz w:val="36"/>
          <w:szCs w:val="44"/>
        </w:rPr>
        <w:t>第四部分 技术标书</w:t>
      </w:r>
      <w:bookmarkEnd w:id="32"/>
    </w:p>
    <w:p w14:paraId="3A021384">
      <w:pPr>
        <w:pStyle w:val="18"/>
      </w:pPr>
    </w:p>
    <w:p w14:paraId="59831E8C">
      <w:pPr>
        <w:keepNext/>
        <w:keepLines/>
        <w:jc w:val="center"/>
        <w:rPr>
          <w:rFonts w:hint="eastAsia" w:ascii="Calibri" w:hAnsi="宋体" w:eastAsia="宋体" w:cs="Times New Roman"/>
          <w:b/>
          <w:bCs/>
          <w:color w:val="000000"/>
          <w:spacing w:val="-8"/>
          <w:sz w:val="48"/>
          <w:szCs w:val="44"/>
        </w:rPr>
      </w:pPr>
    </w:p>
    <w:p w14:paraId="06E5E701">
      <w:pPr>
        <w:keepNext/>
        <w:keepLines/>
        <w:jc w:val="center"/>
        <w:rPr>
          <w:rFonts w:hint="eastAsia" w:ascii="Calibri" w:hAnsi="宋体" w:eastAsia="宋体" w:cs="Times New Roman"/>
          <w:b/>
          <w:bCs/>
          <w:color w:val="000000"/>
          <w:spacing w:val="-8"/>
          <w:sz w:val="48"/>
          <w:szCs w:val="44"/>
        </w:rPr>
      </w:pPr>
    </w:p>
    <w:p w14:paraId="1372C898">
      <w:pPr>
        <w:keepNext/>
        <w:keepLines/>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中国重汽集团济南卡车制造公司</w:t>
      </w:r>
    </w:p>
    <w:p w14:paraId="72BADC75">
      <w:pPr>
        <w:jc w:val="center"/>
        <w:rPr>
          <w:rFonts w:ascii="Calibri" w:hAnsi="Calibri" w:eastAsia="宋体" w:cs="Times New Roman"/>
          <w:b/>
          <w:bCs/>
          <w:color w:val="000000"/>
          <w:sz w:val="28"/>
          <w:szCs w:val="28"/>
        </w:rPr>
      </w:pPr>
      <w:r>
        <w:rPr>
          <w:rFonts w:hint="eastAsia" w:ascii="Calibri" w:hAnsi="Calibri" w:eastAsia="宋体" w:cs="Times New Roman"/>
          <w:b/>
          <w:bCs/>
          <w:color w:val="000000"/>
          <w:sz w:val="48"/>
          <w:szCs w:val="48"/>
          <w:lang w:val="en-US" w:eastAsia="zh-CN"/>
        </w:rPr>
        <w:t>党家庄</w:t>
      </w:r>
      <w:r>
        <w:rPr>
          <w:rFonts w:hint="eastAsia" w:ascii="Calibri" w:hAnsi="Calibri" w:eastAsia="宋体" w:cs="Times New Roman"/>
          <w:b/>
          <w:bCs/>
          <w:color w:val="000000"/>
          <w:sz w:val="48"/>
          <w:szCs w:val="48"/>
        </w:rPr>
        <w:t>厂区总三车间总装北线加固改造技改项目</w:t>
      </w:r>
    </w:p>
    <w:p w14:paraId="1254488C">
      <w:pPr>
        <w:pStyle w:val="18"/>
      </w:pPr>
    </w:p>
    <w:p w14:paraId="25A7AEFF">
      <w:pPr>
        <w:pStyle w:val="18"/>
      </w:pPr>
    </w:p>
    <w:p w14:paraId="30D2D5B5">
      <w:pPr>
        <w:pStyle w:val="18"/>
      </w:pPr>
    </w:p>
    <w:p w14:paraId="00B1FB44">
      <w:pPr>
        <w:pStyle w:val="18"/>
      </w:pPr>
    </w:p>
    <w:p w14:paraId="66B3DF01">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技</w:t>
      </w:r>
    </w:p>
    <w:p w14:paraId="6147B424">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术</w:t>
      </w:r>
    </w:p>
    <w:p w14:paraId="358F608F">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14:paraId="6437EB00">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书</w:t>
      </w:r>
    </w:p>
    <w:p w14:paraId="1A926892">
      <w:pPr>
        <w:pStyle w:val="18"/>
      </w:pPr>
    </w:p>
    <w:p w14:paraId="7BDD213C">
      <w:pPr>
        <w:pStyle w:val="18"/>
        <w:rPr>
          <w:rFonts w:hint="eastAsia" w:ascii="黑体" w:hAnsi="宋体" w:eastAsia="黑体" w:cs="Times New Roman"/>
          <w:color w:val="000000"/>
          <w:sz w:val="72"/>
          <w:szCs w:val="72"/>
        </w:rPr>
      </w:pPr>
    </w:p>
    <w:p w14:paraId="2193EF7E">
      <w:pPr>
        <w:pStyle w:val="18"/>
        <w:rPr>
          <w:b/>
          <w:bCs/>
        </w:rPr>
      </w:pPr>
    </w:p>
    <w:p w14:paraId="35BD9ED2">
      <w:pPr>
        <w:pStyle w:val="18"/>
        <w:rPr>
          <w:b/>
          <w:bCs/>
        </w:rPr>
      </w:pPr>
    </w:p>
    <w:p w14:paraId="1418B6C2">
      <w:pPr>
        <w:pStyle w:val="18"/>
        <w:rPr>
          <w:b/>
          <w:bCs/>
        </w:rPr>
      </w:pPr>
    </w:p>
    <w:p w14:paraId="614DD78D">
      <w:pPr>
        <w:pStyle w:val="18"/>
        <w:rPr>
          <w:b/>
          <w:bCs/>
        </w:rPr>
      </w:pPr>
    </w:p>
    <w:p w14:paraId="208F0D1B">
      <w:pPr>
        <w:pStyle w:val="18"/>
        <w:rPr>
          <w:b/>
          <w:bCs/>
        </w:rPr>
      </w:pPr>
    </w:p>
    <w:p w14:paraId="51227B52">
      <w:pPr>
        <w:pStyle w:val="18"/>
        <w:rPr>
          <w:b/>
          <w:bCs/>
        </w:rPr>
      </w:pPr>
    </w:p>
    <w:p w14:paraId="38ABAA6D">
      <w:pPr>
        <w:pStyle w:val="18"/>
        <w:rPr>
          <w:b/>
          <w:bCs/>
        </w:rPr>
      </w:pPr>
    </w:p>
    <w:p w14:paraId="1F83C065">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人：中国重汽集团济南卡车股份有限公司</w:t>
      </w:r>
    </w:p>
    <w:p w14:paraId="54D73BF3">
      <w:pPr>
        <w:jc w:val="center"/>
        <w:rPr>
          <w:rFonts w:ascii="Calibri" w:hAnsi="Calibri" w:eastAsia="宋体" w:cs="Times New Roman"/>
          <w:b/>
          <w:bCs/>
          <w:kern w:val="44"/>
          <w:sz w:val="36"/>
          <w:szCs w:val="44"/>
        </w:rPr>
      </w:pPr>
      <w:r>
        <w:rPr>
          <w:rFonts w:hint="eastAsia" w:ascii="Calibri" w:hAnsi="Calibri" w:eastAsia="宋体" w:cs="Times New Roman"/>
          <w:color w:val="000000"/>
          <w:sz w:val="28"/>
          <w:szCs w:val="28"/>
        </w:rPr>
        <w:t xml:space="preserve">2026年 </w:t>
      </w:r>
      <w:r>
        <w:rPr>
          <w:rFonts w:hint="eastAsia" w:ascii="Calibri" w:hAnsi="Calibri" w:eastAsia="宋体" w:cs="Times New Roman"/>
          <w:color w:val="000000"/>
          <w:sz w:val="28"/>
          <w:szCs w:val="28"/>
          <w:lang w:val="en-US" w:eastAsia="zh-CN"/>
        </w:rPr>
        <w:t>7</w:t>
      </w:r>
      <w:r>
        <w:rPr>
          <w:rFonts w:hint="eastAsia" w:ascii="Calibri" w:hAnsi="Calibri" w:eastAsia="宋体" w:cs="Times New Roman"/>
          <w:color w:val="000000"/>
          <w:sz w:val="28"/>
          <w:szCs w:val="28"/>
        </w:rPr>
        <w:t>月</w:t>
      </w:r>
    </w:p>
    <w:p w14:paraId="1C75DFE2">
      <w:pPr>
        <w:pStyle w:val="18"/>
        <w:rPr>
          <w:rFonts w:hint="eastAsia" w:ascii="华文仿宋" w:hAnsi="华文仿宋" w:eastAsia="华文仿宋"/>
          <w:b/>
          <w:bCs/>
          <w:sz w:val="32"/>
          <w:szCs w:val="28"/>
        </w:rPr>
      </w:pPr>
    </w:p>
    <w:p w14:paraId="695ABF91">
      <w:pPr>
        <w:spacing w:line="360" w:lineRule="auto"/>
        <w:rPr>
          <w:rFonts w:hint="eastAsia" w:ascii="宋体" w:hAnsi="宋体" w:eastAsia="宋体"/>
          <w:b/>
          <w:sz w:val="36"/>
          <w:szCs w:val="36"/>
        </w:rPr>
        <w:sectPr>
          <w:headerReference r:id="rId9" w:type="default"/>
          <w:footerReference r:id="rId10" w:type="default"/>
          <w:pgSz w:w="11907" w:h="16840"/>
          <w:pgMar w:top="1304" w:right="1418" w:bottom="1304" w:left="1418" w:header="724" w:footer="851" w:gutter="0"/>
          <w:pgNumType w:start="1"/>
          <w:cols w:space="720" w:num="1"/>
          <w:docGrid w:linePitch="290" w:charSpace="-3931"/>
        </w:sectPr>
      </w:pPr>
    </w:p>
    <w:p w14:paraId="4BD9576E">
      <w:pPr>
        <w:keepNext/>
        <w:keepLines/>
        <w:spacing w:before="120" w:after="120" w:line="480" w:lineRule="exact"/>
        <w:jc w:val="center"/>
        <w:outlineLvl w:val="1"/>
        <w:rPr>
          <w:rFonts w:hint="eastAsia" w:ascii="宋体" w:hAnsi="宋体" w:eastAsia="宋体"/>
          <w:b/>
          <w:bCs/>
          <w:kern w:val="44"/>
          <w:sz w:val="28"/>
          <w:szCs w:val="28"/>
        </w:rPr>
      </w:pPr>
      <w:r>
        <w:rPr>
          <w:rFonts w:hint="eastAsia" w:ascii="宋体" w:hAnsi="宋体" w:eastAsia="宋体"/>
          <w:b/>
          <w:bCs/>
          <w:kern w:val="44"/>
          <w:sz w:val="28"/>
          <w:szCs w:val="28"/>
        </w:rPr>
        <w:t>第一章采购货物概况</w:t>
      </w:r>
    </w:p>
    <w:p w14:paraId="4A23D4D5">
      <w:pPr>
        <w:keepNext/>
        <w:keepLines/>
        <w:spacing w:before="120" w:after="120" w:line="480" w:lineRule="exact"/>
        <w:jc w:val="center"/>
        <w:outlineLvl w:val="2"/>
        <w:rPr>
          <w:rFonts w:hint="eastAsia" w:ascii="宋体" w:hAnsi="宋体" w:eastAsia="宋体"/>
          <w:b/>
          <w:bCs/>
          <w:sz w:val="24"/>
          <w:szCs w:val="24"/>
        </w:rPr>
      </w:pPr>
      <w:bookmarkStart w:id="34" w:name="_Toc169605878"/>
      <w:r>
        <w:rPr>
          <w:rFonts w:hint="eastAsia" w:ascii="宋体" w:hAnsi="宋体" w:eastAsia="宋体"/>
          <w:b/>
          <w:bCs/>
          <w:sz w:val="24"/>
          <w:szCs w:val="24"/>
        </w:rPr>
        <w:t>第一节使用环境</w:t>
      </w:r>
      <w:bookmarkEnd w:id="34"/>
    </w:p>
    <w:p w14:paraId="7037D01A">
      <w:pPr>
        <w:spacing w:line="360" w:lineRule="auto"/>
        <w:rPr>
          <w:rFonts w:hint="eastAsia" w:ascii="宋体" w:hAnsi="宋体" w:eastAsia="宋体"/>
          <w:sz w:val="24"/>
          <w:szCs w:val="24"/>
          <w:u w:val="single"/>
        </w:rPr>
      </w:pPr>
      <w:r>
        <w:rPr>
          <w:rFonts w:hint="eastAsia" w:ascii="宋体" w:hAnsi="宋体" w:eastAsia="宋体"/>
          <w:sz w:val="24"/>
          <w:szCs w:val="24"/>
        </w:rPr>
        <w:t>一、项目名称：</w:t>
      </w:r>
      <w:r>
        <w:rPr>
          <w:rFonts w:hint="eastAsia" w:ascii="宋体" w:hAnsi="宋体" w:eastAsia="宋体" w:cs="宋体"/>
          <w:sz w:val="24"/>
          <w:szCs w:val="24"/>
          <w:u w:val="single"/>
        </w:rPr>
        <w:t>济南卡车制造公司党家庄厂区总三车间总装北线加固改造技改项目</w:t>
      </w:r>
    </w:p>
    <w:p w14:paraId="66A45786">
      <w:pPr>
        <w:spacing w:line="360" w:lineRule="auto"/>
        <w:outlineLvl w:val="3"/>
        <w:rPr>
          <w:rFonts w:hint="eastAsia" w:ascii="宋体" w:hAnsi="宋体" w:eastAsia="宋体" w:cs="宋体"/>
          <w:color w:val="000000"/>
          <w:sz w:val="24"/>
          <w:szCs w:val="24"/>
          <w:u w:val="single"/>
        </w:rPr>
      </w:pPr>
      <w:r>
        <w:rPr>
          <w:rFonts w:hint="eastAsia" w:ascii="宋体" w:hAnsi="宋体" w:eastAsia="宋体"/>
          <w:sz w:val="24"/>
          <w:szCs w:val="24"/>
        </w:rPr>
        <w:t>二、建设地点：</w:t>
      </w:r>
      <w:r>
        <w:rPr>
          <w:rFonts w:hint="eastAsia" w:ascii="宋体" w:hAnsi="宋体" w:eastAsia="宋体" w:cs="宋体"/>
          <w:color w:val="000000"/>
          <w:sz w:val="24"/>
          <w:szCs w:val="24"/>
          <w:u w:val="single"/>
        </w:rPr>
        <w:t>山东省济南市市中区党家庄镇南首中国重汽集团济南卡车股份有限公司党家庄工厂</w:t>
      </w:r>
    </w:p>
    <w:p w14:paraId="2D6C0BA7">
      <w:pPr>
        <w:spacing w:line="360" w:lineRule="auto"/>
        <w:outlineLvl w:val="3"/>
        <w:rPr>
          <w:rFonts w:hint="eastAsia" w:ascii="宋体" w:hAnsi="宋体" w:eastAsia="宋体"/>
          <w:sz w:val="24"/>
          <w:szCs w:val="24"/>
        </w:rPr>
      </w:pPr>
      <w:r>
        <w:rPr>
          <w:rFonts w:hint="eastAsia" w:ascii="宋体" w:hAnsi="宋体" w:eastAsia="宋体"/>
          <w:sz w:val="24"/>
          <w:szCs w:val="24"/>
        </w:rPr>
        <w:t>三、使用地点：</w:t>
      </w:r>
      <w:r>
        <w:rPr>
          <w:rFonts w:hint="eastAsia" w:ascii="宋体" w:hAnsi="宋体" w:eastAsia="宋体" w:cs="宋体"/>
          <w:color w:val="000000"/>
          <w:sz w:val="24"/>
          <w:szCs w:val="24"/>
          <w:u w:val="single"/>
        </w:rPr>
        <w:t>山东省济南市市中区党家庄镇南首中国重汽集团济南卡车股份有限公司党家庄工厂</w:t>
      </w:r>
    </w:p>
    <w:p w14:paraId="4AD5BBFB">
      <w:pPr>
        <w:pStyle w:val="129"/>
        <w:spacing w:line="360" w:lineRule="auto"/>
        <w:ind w:left="480" w:hanging="480" w:firstLineChars="0"/>
        <w:outlineLvl w:val="3"/>
        <w:rPr>
          <w:rFonts w:hint="eastAsia" w:ascii="宋体" w:hAnsi="宋体" w:eastAsia="宋体"/>
          <w:sz w:val="24"/>
          <w:szCs w:val="24"/>
        </w:rPr>
      </w:pPr>
      <w:r>
        <w:rPr>
          <w:rFonts w:ascii="宋体" w:hAnsi="宋体" w:eastAsia="宋体"/>
          <w:sz w:val="24"/>
          <w:szCs w:val="24"/>
        </w:rPr>
        <w:t>四、</w:t>
      </w:r>
      <w:r>
        <w:rPr>
          <w:rFonts w:hint="eastAsia" w:ascii="宋体" w:hAnsi="宋体" w:eastAsia="宋体"/>
          <w:sz w:val="24"/>
          <w:szCs w:val="24"/>
        </w:rPr>
        <w:t>使用环境及能源供给：</w:t>
      </w:r>
    </w:p>
    <w:p w14:paraId="0C54F964">
      <w:pPr>
        <w:pStyle w:val="8"/>
        <w:tabs>
          <w:tab w:val="left" w:pos="1134"/>
        </w:tabs>
        <w:spacing w:line="360" w:lineRule="auto"/>
        <w:rPr>
          <w:rFonts w:hint="eastAsia" w:ascii="宋体" w:hAnsi="宋体" w:eastAsia="宋体"/>
          <w:sz w:val="24"/>
          <w:szCs w:val="24"/>
        </w:rPr>
      </w:pPr>
      <w:r>
        <w:rPr>
          <w:rFonts w:hint="eastAsia" w:ascii="宋体" w:hAnsi="宋体" w:eastAsia="宋体"/>
          <w:bCs/>
          <w:sz w:val="24"/>
          <w:szCs w:val="24"/>
        </w:rPr>
        <w:t>1.海拔高度：</w:t>
      </w:r>
      <w:r>
        <w:rPr>
          <w:rFonts w:ascii="宋体" w:hAnsi="宋体" w:eastAsia="宋体"/>
          <w:sz w:val="24"/>
          <w:szCs w:val="24"/>
        </w:rPr>
        <w:t>≤</w:t>
      </w:r>
      <w:r>
        <w:rPr>
          <w:rFonts w:hint="eastAsia" w:ascii="宋体" w:hAnsi="宋体" w:eastAsia="宋体"/>
          <w:sz w:val="24"/>
          <w:szCs w:val="24"/>
        </w:rPr>
        <w:t>4000m；</w:t>
      </w:r>
    </w:p>
    <w:p w14:paraId="746D9409">
      <w:pPr>
        <w:pStyle w:val="8"/>
        <w:tabs>
          <w:tab w:val="left" w:pos="1134"/>
        </w:tabs>
        <w:spacing w:line="360" w:lineRule="auto"/>
        <w:rPr>
          <w:rFonts w:hint="eastAsia" w:ascii="宋体" w:hAnsi="宋体" w:eastAsia="宋体"/>
          <w:sz w:val="24"/>
          <w:szCs w:val="24"/>
        </w:rPr>
      </w:pPr>
      <w:r>
        <w:rPr>
          <w:rFonts w:hint="eastAsia" w:ascii="宋体" w:hAnsi="宋体" w:eastAsia="宋体"/>
          <w:bCs/>
          <w:sz w:val="24"/>
          <w:szCs w:val="24"/>
        </w:rPr>
        <w:t>2.环境温度：</w:t>
      </w:r>
      <w:r>
        <w:rPr>
          <w:rFonts w:ascii="宋体" w:hAnsi="宋体" w:eastAsia="宋体"/>
          <w:sz w:val="24"/>
          <w:szCs w:val="24"/>
        </w:rPr>
        <w:t>-25</w:t>
      </w:r>
      <w:r>
        <w:rPr>
          <w:rFonts w:hint="eastAsia" w:ascii="宋体" w:hAnsi="宋体" w:eastAsia="宋体"/>
          <w:sz w:val="24"/>
          <w:szCs w:val="24"/>
        </w:rPr>
        <w:t>℃</w:t>
      </w:r>
      <w:r>
        <w:rPr>
          <w:rFonts w:ascii="宋体" w:hAnsi="宋体" w:eastAsia="宋体"/>
          <w:sz w:val="24"/>
          <w:szCs w:val="24"/>
        </w:rPr>
        <w:t>～45</w:t>
      </w:r>
      <w:r>
        <w:rPr>
          <w:rFonts w:hint="eastAsia" w:ascii="宋体" w:hAnsi="宋体" w:eastAsia="宋体"/>
          <w:sz w:val="24"/>
          <w:szCs w:val="24"/>
        </w:rPr>
        <w:t>℃</w:t>
      </w:r>
      <w:r>
        <w:rPr>
          <w:rFonts w:ascii="宋体" w:hAnsi="宋体" w:eastAsia="宋体"/>
          <w:sz w:val="24"/>
          <w:szCs w:val="24"/>
        </w:rPr>
        <w:t>；</w:t>
      </w:r>
    </w:p>
    <w:p w14:paraId="3D2646C5">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3.相对湿度：年平均59%，最大95%、最小15%</w:t>
      </w:r>
      <w:r>
        <w:rPr>
          <w:rFonts w:ascii="宋体" w:hAnsi="宋体" w:eastAsia="宋体"/>
          <w:bCs/>
          <w:sz w:val="24"/>
          <w:szCs w:val="24"/>
        </w:rPr>
        <w:t>；</w:t>
      </w:r>
    </w:p>
    <w:p w14:paraId="2380E2AD">
      <w:pPr>
        <w:spacing w:line="360" w:lineRule="auto"/>
        <w:ind w:firstLine="480" w:firstLineChars="200"/>
        <w:outlineLvl w:val="3"/>
        <w:rPr>
          <w:rFonts w:hint="eastAsia" w:ascii="宋体" w:hAnsi="宋体" w:eastAsia="宋体" w:cs="宋体"/>
          <w:sz w:val="24"/>
          <w:szCs w:val="24"/>
        </w:rPr>
      </w:pPr>
      <w:r>
        <w:rPr>
          <w:rFonts w:ascii="宋体" w:hAnsi="宋体" w:eastAsia="宋体"/>
          <w:bCs/>
          <w:sz w:val="24"/>
          <w:szCs w:val="24"/>
        </w:rPr>
        <w:t>4</w:t>
      </w:r>
      <w:r>
        <w:rPr>
          <w:rFonts w:hint="eastAsia" w:ascii="宋体" w:hAnsi="宋体" w:eastAsia="宋体"/>
          <w:bCs/>
          <w:sz w:val="24"/>
          <w:szCs w:val="24"/>
        </w:rPr>
        <w:t>.</w:t>
      </w:r>
      <w:r>
        <w:rPr>
          <w:rFonts w:hint="eastAsia" w:ascii="宋体" w:hAnsi="宋体" w:eastAsia="宋体" w:cs="宋体"/>
          <w:sz w:val="24"/>
          <w:szCs w:val="24"/>
        </w:rPr>
        <w:t>大气压强：80kPa～110kPa；</w:t>
      </w:r>
    </w:p>
    <w:p w14:paraId="49760F2B">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5.电力</w:t>
      </w:r>
      <w:r>
        <w:rPr>
          <w:rFonts w:ascii="宋体" w:hAnsi="宋体" w:eastAsia="宋体" w:cs="宋体"/>
          <w:sz w:val="24"/>
          <w:szCs w:val="24"/>
        </w:rPr>
        <w:t>:中国制式，三相五线制供电，供电电压 380V士10%/220V士10%，供电频率50Hz士0.5Hz</w:t>
      </w:r>
      <w:r>
        <w:rPr>
          <w:rFonts w:hint="eastAsia" w:ascii="宋体" w:hAnsi="宋体" w:eastAsia="宋体" w:cs="宋体"/>
          <w:sz w:val="24"/>
          <w:szCs w:val="24"/>
        </w:rPr>
        <w:t>；</w:t>
      </w:r>
    </w:p>
    <w:p w14:paraId="0E8F68BA">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 xml:space="preserve">6.水：市政自来水0.25MPa(0.15-0.35MPa); </w:t>
      </w:r>
    </w:p>
    <w:p w14:paraId="0BFE298F">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 xml:space="preserve">7.非采暖季：动力站房供高温热水，供回水温度80℃/60℃; </w:t>
      </w:r>
    </w:p>
    <w:p w14:paraId="19BC1D48">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8.压缩空气：厂区空压机自产压缩空气，0.55～0.7 Mpa。</w:t>
      </w:r>
    </w:p>
    <w:p w14:paraId="73049C49">
      <w:pPr>
        <w:spacing w:line="360" w:lineRule="auto"/>
        <w:rPr>
          <w:rFonts w:hint="eastAsia" w:ascii="宋体" w:hAnsi="宋体" w:eastAsia="宋体"/>
          <w:bCs/>
          <w:sz w:val="24"/>
          <w:szCs w:val="24"/>
        </w:rPr>
      </w:pPr>
      <w:r>
        <w:rPr>
          <w:rFonts w:hint="eastAsia" w:ascii="宋体" w:hAnsi="宋体" w:eastAsia="宋体"/>
          <w:bCs/>
          <w:sz w:val="24"/>
          <w:szCs w:val="24"/>
        </w:rPr>
        <w:t>五、工作制度：全年工作300天、双班制、设备年时基数5000小时以上。</w:t>
      </w:r>
    </w:p>
    <w:p w14:paraId="462600E8">
      <w:pPr>
        <w:keepNext/>
        <w:keepLines/>
        <w:spacing w:before="120" w:after="120" w:line="480" w:lineRule="exact"/>
        <w:jc w:val="center"/>
        <w:outlineLvl w:val="2"/>
        <w:rPr>
          <w:rFonts w:hint="eastAsia" w:ascii="宋体" w:hAnsi="宋体" w:eastAsia="宋体"/>
          <w:b/>
          <w:bCs/>
          <w:sz w:val="24"/>
          <w:szCs w:val="24"/>
        </w:rPr>
      </w:pPr>
      <w:r>
        <w:rPr>
          <w:rFonts w:hint="eastAsia" w:ascii="宋体" w:hAnsi="宋体" w:eastAsia="宋体"/>
          <w:b/>
          <w:bCs/>
          <w:sz w:val="24"/>
          <w:szCs w:val="24"/>
        </w:rPr>
        <w:t>第二节采购货物概况</w:t>
      </w:r>
    </w:p>
    <w:p w14:paraId="0CC4CDA7">
      <w:pPr>
        <w:pStyle w:val="129"/>
        <w:numPr>
          <w:ilvl w:val="0"/>
          <w:numId w:val="11"/>
        </w:numPr>
        <w:spacing w:line="420" w:lineRule="exact"/>
        <w:ind w:firstLineChars="0"/>
        <w:outlineLvl w:val="3"/>
        <w:rPr>
          <w:rFonts w:hint="eastAsia" w:ascii="宋体" w:hAnsi="宋体" w:eastAsia="宋体"/>
          <w:bCs/>
          <w:sz w:val="24"/>
          <w:szCs w:val="24"/>
        </w:rPr>
      </w:pPr>
      <w:r>
        <w:rPr>
          <w:rFonts w:hint="eastAsia" w:ascii="宋体" w:hAnsi="宋体" w:eastAsia="宋体"/>
          <w:b/>
          <w:sz w:val="24"/>
          <w:szCs w:val="24"/>
        </w:rPr>
        <w:t>货物名称：总三车间总装北线加固改造设备设施</w:t>
      </w:r>
    </w:p>
    <w:p w14:paraId="2D4C708A">
      <w:pPr>
        <w:spacing w:line="420" w:lineRule="exact"/>
        <w:outlineLvl w:val="3"/>
        <w:rPr>
          <w:rFonts w:hint="eastAsia" w:ascii="宋体" w:hAnsi="宋体" w:eastAsia="宋体"/>
          <w:sz w:val="24"/>
          <w:szCs w:val="24"/>
        </w:rPr>
      </w:pPr>
      <w:r>
        <w:rPr>
          <w:rFonts w:hint="eastAsia" w:ascii="宋体" w:hAnsi="宋体" w:eastAsia="宋体"/>
          <w:b/>
          <w:sz w:val="24"/>
          <w:szCs w:val="24"/>
        </w:rPr>
        <w:t>二、货物数量：</w:t>
      </w:r>
      <w:r>
        <w:rPr>
          <w:rFonts w:hint="eastAsia" w:ascii="宋体" w:hAnsi="宋体" w:eastAsia="宋体"/>
          <w:sz w:val="24"/>
          <w:szCs w:val="24"/>
        </w:rPr>
        <w:t>（详见</w:t>
      </w:r>
      <w:r>
        <w:rPr>
          <w:rFonts w:hint="eastAsia" w:ascii="宋体" w:hAnsi="宋体" w:eastAsia="宋体" w:cs="宋体"/>
          <w:color w:val="000000"/>
          <w:sz w:val="24"/>
          <w:szCs w:val="24"/>
        </w:rPr>
        <w:t>采购货物主要构成一览表</w:t>
      </w:r>
      <w:r>
        <w:rPr>
          <w:rFonts w:hint="eastAsia" w:ascii="宋体" w:hAnsi="宋体" w:eastAsia="宋体"/>
          <w:sz w:val="24"/>
          <w:szCs w:val="24"/>
        </w:rPr>
        <w:t>）</w:t>
      </w:r>
    </w:p>
    <w:p w14:paraId="569B8FA4">
      <w:pPr>
        <w:spacing w:line="420" w:lineRule="exact"/>
        <w:outlineLvl w:val="3"/>
        <w:rPr>
          <w:rFonts w:hint="eastAsia" w:ascii="宋体" w:hAnsi="宋体" w:eastAsia="宋体"/>
          <w:b/>
          <w:sz w:val="24"/>
          <w:szCs w:val="24"/>
        </w:rPr>
      </w:pPr>
      <w:r>
        <w:rPr>
          <w:rFonts w:hint="eastAsia" w:ascii="宋体" w:hAnsi="宋体" w:eastAsia="宋体"/>
          <w:b/>
          <w:sz w:val="24"/>
          <w:szCs w:val="24"/>
        </w:rPr>
        <w:t>三、分投分中：</w:t>
      </w:r>
      <w:r>
        <w:rPr>
          <w:rFonts w:hint="eastAsia" w:ascii="宋体" w:hAnsi="宋体" w:eastAsia="宋体"/>
          <w:b/>
          <w:color w:val="000000"/>
          <w:sz w:val="24"/>
          <w:szCs w:val="24"/>
        </w:rPr>
        <w:t>不允许</w:t>
      </w:r>
    </w:p>
    <w:p w14:paraId="59A0EDA9">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采购货物主要构成一览表</w:t>
      </w:r>
    </w:p>
    <w:tbl>
      <w:tblPr>
        <w:tblStyle w:val="39"/>
        <w:tblW w:w="512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7"/>
        <w:gridCol w:w="5250"/>
        <w:gridCol w:w="3023"/>
        <w:gridCol w:w="1185"/>
        <w:gridCol w:w="1168"/>
        <w:gridCol w:w="1682"/>
        <w:gridCol w:w="1491"/>
      </w:tblGrid>
      <w:tr w14:paraId="4967B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305" w:type="pct"/>
            <w:vAlign w:val="center"/>
          </w:tcPr>
          <w:p w14:paraId="100D5DB6">
            <w:pPr>
              <w:spacing w:line="360" w:lineRule="exact"/>
              <w:jc w:val="center"/>
              <w:rPr>
                <w:rFonts w:hint="eastAsia" w:ascii="宋体" w:hAnsi="宋体" w:eastAsia="宋体"/>
                <w:b/>
                <w:sz w:val="24"/>
                <w:szCs w:val="28"/>
              </w:rPr>
            </w:pPr>
            <w:r>
              <w:rPr>
                <w:rFonts w:hint="eastAsia" w:ascii="宋体" w:hAnsi="宋体" w:eastAsia="宋体"/>
                <w:b/>
                <w:sz w:val="24"/>
                <w:szCs w:val="28"/>
              </w:rPr>
              <w:t>序号</w:t>
            </w:r>
          </w:p>
        </w:tc>
        <w:tc>
          <w:tcPr>
            <w:tcW w:w="1785" w:type="pct"/>
            <w:vAlign w:val="center"/>
          </w:tcPr>
          <w:p w14:paraId="1557B251">
            <w:pPr>
              <w:spacing w:line="360" w:lineRule="exact"/>
              <w:jc w:val="center"/>
              <w:rPr>
                <w:rFonts w:hint="eastAsia" w:ascii="宋体" w:hAnsi="宋体" w:eastAsia="宋体"/>
                <w:b/>
                <w:sz w:val="24"/>
                <w:szCs w:val="28"/>
              </w:rPr>
            </w:pPr>
            <w:r>
              <w:rPr>
                <w:rFonts w:hint="eastAsia" w:ascii="宋体" w:hAnsi="宋体" w:eastAsia="宋体"/>
                <w:b/>
                <w:sz w:val="24"/>
                <w:szCs w:val="28"/>
              </w:rPr>
              <w:t>名称</w:t>
            </w:r>
          </w:p>
        </w:tc>
        <w:tc>
          <w:tcPr>
            <w:tcW w:w="1028" w:type="pct"/>
            <w:vAlign w:val="center"/>
          </w:tcPr>
          <w:p w14:paraId="58EFDA5B">
            <w:pPr>
              <w:spacing w:line="360" w:lineRule="exact"/>
              <w:jc w:val="center"/>
              <w:rPr>
                <w:rFonts w:hint="eastAsia" w:ascii="宋体" w:hAnsi="宋体" w:eastAsia="宋体"/>
                <w:b/>
                <w:sz w:val="24"/>
                <w:szCs w:val="28"/>
              </w:rPr>
            </w:pPr>
            <w:r>
              <w:rPr>
                <w:rFonts w:hint="eastAsia" w:ascii="宋体" w:hAnsi="宋体" w:eastAsia="宋体"/>
                <w:b/>
                <w:sz w:val="24"/>
                <w:szCs w:val="28"/>
              </w:rPr>
              <w:t>规格</w:t>
            </w:r>
          </w:p>
        </w:tc>
        <w:tc>
          <w:tcPr>
            <w:tcW w:w="403" w:type="pct"/>
            <w:vAlign w:val="center"/>
          </w:tcPr>
          <w:p w14:paraId="1EA5E25A">
            <w:pPr>
              <w:spacing w:line="360" w:lineRule="exact"/>
              <w:jc w:val="center"/>
              <w:rPr>
                <w:rFonts w:hint="eastAsia" w:ascii="宋体" w:hAnsi="宋体" w:eastAsia="宋体"/>
                <w:b/>
                <w:sz w:val="24"/>
                <w:szCs w:val="28"/>
              </w:rPr>
            </w:pPr>
            <w:r>
              <w:rPr>
                <w:rFonts w:hint="eastAsia" w:ascii="宋体" w:hAnsi="宋体" w:eastAsia="宋体"/>
                <w:b/>
                <w:sz w:val="24"/>
                <w:szCs w:val="28"/>
              </w:rPr>
              <w:t>单位</w:t>
            </w:r>
          </w:p>
        </w:tc>
        <w:tc>
          <w:tcPr>
            <w:tcW w:w="397" w:type="pct"/>
            <w:vAlign w:val="center"/>
          </w:tcPr>
          <w:p w14:paraId="46C0A760">
            <w:pPr>
              <w:spacing w:line="360" w:lineRule="exact"/>
              <w:jc w:val="center"/>
              <w:rPr>
                <w:rFonts w:hint="eastAsia" w:ascii="宋体" w:hAnsi="宋体" w:eastAsia="宋体"/>
                <w:b/>
                <w:sz w:val="24"/>
                <w:szCs w:val="28"/>
              </w:rPr>
            </w:pPr>
            <w:r>
              <w:rPr>
                <w:rFonts w:hint="eastAsia" w:ascii="宋体" w:hAnsi="宋体" w:eastAsia="宋体"/>
                <w:b/>
                <w:sz w:val="24"/>
                <w:szCs w:val="28"/>
              </w:rPr>
              <w:t>数量</w:t>
            </w:r>
          </w:p>
        </w:tc>
        <w:tc>
          <w:tcPr>
            <w:tcW w:w="572" w:type="pct"/>
            <w:vAlign w:val="center"/>
          </w:tcPr>
          <w:p w14:paraId="170244D2">
            <w:pPr>
              <w:spacing w:line="360" w:lineRule="exact"/>
              <w:jc w:val="center"/>
              <w:rPr>
                <w:rFonts w:ascii="宋体" w:hAnsi="宋体" w:eastAsia="宋体"/>
                <w:b/>
                <w:sz w:val="24"/>
                <w:szCs w:val="28"/>
              </w:rPr>
            </w:pPr>
            <w:r>
              <w:rPr>
                <w:rFonts w:hint="eastAsia" w:ascii="宋体" w:hAnsi="宋体" w:eastAsia="宋体"/>
                <w:b/>
                <w:sz w:val="24"/>
                <w:szCs w:val="28"/>
              </w:rPr>
              <w:t>交货方式</w:t>
            </w:r>
          </w:p>
        </w:tc>
        <w:tc>
          <w:tcPr>
            <w:tcW w:w="507" w:type="pct"/>
            <w:vAlign w:val="center"/>
          </w:tcPr>
          <w:p w14:paraId="34858F8F">
            <w:pPr>
              <w:spacing w:line="360" w:lineRule="exact"/>
              <w:jc w:val="center"/>
              <w:rPr>
                <w:rFonts w:ascii="宋体" w:hAnsi="宋体" w:eastAsia="宋体"/>
                <w:b/>
                <w:sz w:val="24"/>
                <w:szCs w:val="28"/>
              </w:rPr>
            </w:pPr>
            <w:r>
              <w:rPr>
                <w:rFonts w:hint="eastAsia" w:ascii="宋体" w:hAnsi="宋体" w:eastAsia="宋体"/>
                <w:b/>
                <w:sz w:val="24"/>
                <w:szCs w:val="28"/>
              </w:rPr>
              <w:t>备注</w:t>
            </w:r>
          </w:p>
        </w:tc>
      </w:tr>
      <w:tr w14:paraId="3EA78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305" w:type="pct"/>
            <w:vAlign w:val="center"/>
          </w:tcPr>
          <w:p w14:paraId="256E1143">
            <w:pPr>
              <w:spacing w:line="360" w:lineRule="auto"/>
              <w:jc w:val="center"/>
              <w:rPr>
                <w:rFonts w:hint="eastAsia" w:ascii="宋体" w:hAnsi="宋体" w:eastAsia="宋体"/>
                <w:bCs/>
                <w:sz w:val="24"/>
                <w:szCs w:val="24"/>
              </w:rPr>
            </w:pPr>
            <w:r>
              <w:rPr>
                <w:rFonts w:hint="eastAsia" w:ascii="宋体" w:hAnsi="宋体" w:eastAsia="宋体"/>
                <w:bCs/>
                <w:sz w:val="24"/>
                <w:szCs w:val="24"/>
              </w:rPr>
              <w:t>1</w:t>
            </w:r>
          </w:p>
        </w:tc>
        <w:tc>
          <w:tcPr>
            <w:tcW w:w="1785" w:type="pct"/>
            <w:vAlign w:val="center"/>
          </w:tcPr>
          <w:p w14:paraId="71BE7DEE">
            <w:pPr>
              <w:spacing w:line="360" w:lineRule="auto"/>
              <w:jc w:val="center"/>
              <w:rPr>
                <w:rFonts w:hint="default" w:ascii="宋体" w:hAnsi="宋体" w:eastAsia="宋体"/>
                <w:bCs/>
                <w:sz w:val="24"/>
                <w:szCs w:val="24"/>
                <w:lang w:val="en-US" w:eastAsia="zh-CN"/>
              </w:rPr>
            </w:pPr>
            <w:r>
              <w:rPr>
                <w:rFonts w:hint="eastAsia" w:ascii="宋体" w:hAnsi="宋体" w:eastAsia="宋体"/>
                <w:bCs/>
                <w:sz w:val="24"/>
                <w:szCs w:val="24"/>
                <w:lang w:val="en-US" w:eastAsia="zh-CN"/>
              </w:rPr>
              <w:t>更换15kW电机减速机</w:t>
            </w:r>
          </w:p>
        </w:tc>
        <w:tc>
          <w:tcPr>
            <w:tcW w:w="1028" w:type="pct"/>
            <w:vAlign w:val="center"/>
          </w:tcPr>
          <w:p w14:paraId="03D5B12C">
            <w:pPr>
              <w:spacing w:line="360" w:lineRule="auto"/>
              <w:jc w:val="center"/>
              <w:rPr>
                <w:rFonts w:hint="default" w:ascii="宋体" w:hAnsi="宋体" w:eastAsia="宋体"/>
                <w:bCs/>
                <w:sz w:val="24"/>
                <w:szCs w:val="24"/>
                <w:highlight w:val="none"/>
                <w:lang w:val="en-US" w:eastAsia="zh-CN"/>
              </w:rPr>
            </w:pPr>
            <w:r>
              <w:rPr>
                <w:rFonts w:hint="eastAsia" w:ascii="宋体" w:hAnsi="宋体" w:eastAsia="宋体"/>
                <w:bCs/>
                <w:sz w:val="24"/>
                <w:szCs w:val="24"/>
                <w:highlight w:val="none"/>
                <w:lang w:val="en-US" w:eastAsia="zh-CN"/>
              </w:rPr>
              <w:t>SEW一级能效</w:t>
            </w:r>
          </w:p>
        </w:tc>
        <w:tc>
          <w:tcPr>
            <w:tcW w:w="403" w:type="pct"/>
            <w:vAlign w:val="center"/>
          </w:tcPr>
          <w:p w14:paraId="42390389">
            <w:pPr>
              <w:spacing w:line="360" w:lineRule="auto"/>
              <w:jc w:val="center"/>
              <w:rPr>
                <w:rFonts w:hint="eastAsia" w:ascii="宋体" w:hAnsi="宋体" w:eastAsia="宋体"/>
                <w:bCs/>
                <w:sz w:val="24"/>
                <w:szCs w:val="24"/>
                <w:lang w:eastAsia="zh-CN"/>
              </w:rPr>
            </w:pPr>
            <w:r>
              <w:rPr>
                <w:rFonts w:hint="eastAsia" w:ascii="宋体" w:hAnsi="宋体" w:eastAsia="宋体"/>
                <w:bCs/>
                <w:sz w:val="24"/>
                <w:szCs w:val="24"/>
              </w:rPr>
              <w:t>套</w:t>
            </w:r>
          </w:p>
        </w:tc>
        <w:tc>
          <w:tcPr>
            <w:tcW w:w="397" w:type="pct"/>
            <w:vAlign w:val="center"/>
          </w:tcPr>
          <w:p w14:paraId="5CE0B45F">
            <w:pPr>
              <w:spacing w:line="360" w:lineRule="auto"/>
              <w:jc w:val="center"/>
              <w:rPr>
                <w:rFonts w:hint="eastAsia" w:ascii="宋体" w:hAnsi="宋体" w:eastAsia="宋体"/>
                <w:bCs/>
                <w:sz w:val="24"/>
                <w:szCs w:val="24"/>
                <w:lang w:eastAsia="zh-CN"/>
              </w:rPr>
            </w:pPr>
            <w:r>
              <w:rPr>
                <w:rFonts w:hint="eastAsia" w:ascii="宋体" w:hAnsi="宋体" w:eastAsia="宋体"/>
                <w:bCs/>
                <w:sz w:val="24"/>
                <w:szCs w:val="24"/>
              </w:rPr>
              <w:t>1</w:t>
            </w:r>
          </w:p>
        </w:tc>
        <w:tc>
          <w:tcPr>
            <w:tcW w:w="572" w:type="pct"/>
            <w:vAlign w:val="center"/>
          </w:tcPr>
          <w:p w14:paraId="00966283">
            <w:pPr>
              <w:spacing w:line="360" w:lineRule="auto"/>
              <w:jc w:val="center"/>
              <w:rPr>
                <w:rFonts w:ascii="宋体" w:hAnsi="宋体" w:eastAsia="宋体"/>
                <w:bCs/>
                <w:sz w:val="24"/>
                <w:szCs w:val="24"/>
              </w:rPr>
            </w:pPr>
            <w:r>
              <w:rPr>
                <w:rFonts w:hint="eastAsia" w:ascii="宋体" w:hAnsi="宋体" w:eastAsia="宋体"/>
                <w:bCs/>
                <w:sz w:val="24"/>
                <w:szCs w:val="24"/>
              </w:rPr>
              <w:t>交钥匙方式</w:t>
            </w:r>
          </w:p>
        </w:tc>
        <w:tc>
          <w:tcPr>
            <w:tcW w:w="507" w:type="pct"/>
            <w:vAlign w:val="center"/>
          </w:tcPr>
          <w:p w14:paraId="4F45C1B0">
            <w:pPr>
              <w:spacing w:line="360" w:lineRule="auto"/>
              <w:jc w:val="center"/>
              <w:rPr>
                <w:rFonts w:ascii="宋体" w:hAnsi="宋体" w:eastAsia="宋体"/>
                <w:bCs/>
                <w:sz w:val="24"/>
                <w:szCs w:val="24"/>
              </w:rPr>
            </w:pPr>
          </w:p>
        </w:tc>
      </w:tr>
      <w:tr w14:paraId="1214B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305" w:type="pct"/>
            <w:vAlign w:val="center"/>
          </w:tcPr>
          <w:p w14:paraId="28444607">
            <w:pPr>
              <w:spacing w:line="360" w:lineRule="auto"/>
              <w:jc w:val="center"/>
              <w:rPr>
                <w:rFonts w:hint="eastAsia" w:ascii="宋体" w:hAnsi="宋体" w:eastAsia="宋体"/>
                <w:bCs/>
                <w:sz w:val="24"/>
                <w:szCs w:val="24"/>
              </w:rPr>
            </w:pPr>
            <w:r>
              <w:rPr>
                <w:rFonts w:hint="eastAsia" w:ascii="宋体" w:hAnsi="宋体" w:eastAsia="宋体"/>
                <w:bCs/>
                <w:sz w:val="24"/>
                <w:szCs w:val="24"/>
              </w:rPr>
              <w:t>2</w:t>
            </w:r>
          </w:p>
        </w:tc>
        <w:tc>
          <w:tcPr>
            <w:tcW w:w="1785" w:type="pct"/>
            <w:vAlign w:val="center"/>
          </w:tcPr>
          <w:p w14:paraId="56C4760C">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更换5.5kW电机减速机</w:t>
            </w:r>
          </w:p>
        </w:tc>
        <w:tc>
          <w:tcPr>
            <w:tcW w:w="3023" w:type="dxa"/>
            <w:vAlign w:val="center"/>
          </w:tcPr>
          <w:p w14:paraId="382E798C">
            <w:pPr>
              <w:spacing w:line="360" w:lineRule="auto"/>
              <w:jc w:val="center"/>
              <w:rPr>
                <w:rFonts w:hint="eastAsia" w:ascii="宋体" w:hAnsi="宋体" w:eastAsia="宋体"/>
                <w:bCs/>
                <w:sz w:val="24"/>
                <w:szCs w:val="24"/>
                <w:highlight w:val="none"/>
                <w:lang w:val="en-US" w:eastAsia="zh-CN"/>
              </w:rPr>
            </w:pPr>
            <w:r>
              <w:rPr>
                <w:rFonts w:hint="eastAsia" w:ascii="宋体" w:hAnsi="宋体" w:eastAsia="宋体"/>
                <w:bCs/>
                <w:sz w:val="24"/>
                <w:szCs w:val="24"/>
                <w:highlight w:val="none"/>
                <w:lang w:val="en-US" w:eastAsia="zh-CN"/>
              </w:rPr>
              <w:t>SEW一级能效</w:t>
            </w:r>
          </w:p>
        </w:tc>
        <w:tc>
          <w:tcPr>
            <w:tcW w:w="403" w:type="pct"/>
            <w:vAlign w:val="center"/>
          </w:tcPr>
          <w:p w14:paraId="58795F7B">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rPr>
              <w:t>套</w:t>
            </w:r>
          </w:p>
        </w:tc>
        <w:tc>
          <w:tcPr>
            <w:tcW w:w="397" w:type="pct"/>
            <w:vAlign w:val="center"/>
          </w:tcPr>
          <w:p w14:paraId="269AAE05">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rPr>
              <w:t>1</w:t>
            </w:r>
          </w:p>
        </w:tc>
        <w:tc>
          <w:tcPr>
            <w:tcW w:w="572" w:type="pct"/>
            <w:vAlign w:val="center"/>
          </w:tcPr>
          <w:p w14:paraId="42D408EC">
            <w:pPr>
              <w:spacing w:line="360" w:lineRule="auto"/>
              <w:jc w:val="center"/>
              <w:rPr>
                <w:rFonts w:hint="eastAsia" w:ascii="宋体" w:hAnsi="宋体" w:eastAsia="宋体"/>
                <w:bCs/>
                <w:sz w:val="24"/>
                <w:szCs w:val="24"/>
              </w:rPr>
            </w:pPr>
            <w:r>
              <w:rPr>
                <w:rFonts w:hint="eastAsia" w:ascii="宋体" w:hAnsi="宋体" w:eastAsia="宋体"/>
                <w:bCs/>
                <w:sz w:val="24"/>
                <w:szCs w:val="24"/>
              </w:rPr>
              <w:t>交钥匙方式</w:t>
            </w:r>
          </w:p>
        </w:tc>
        <w:tc>
          <w:tcPr>
            <w:tcW w:w="507" w:type="pct"/>
            <w:vAlign w:val="center"/>
          </w:tcPr>
          <w:p w14:paraId="506E95B7">
            <w:pPr>
              <w:spacing w:line="360" w:lineRule="auto"/>
              <w:jc w:val="center"/>
              <w:rPr>
                <w:rFonts w:ascii="宋体" w:hAnsi="宋体" w:eastAsia="宋体"/>
                <w:bCs/>
                <w:sz w:val="24"/>
                <w:szCs w:val="24"/>
              </w:rPr>
            </w:pPr>
          </w:p>
        </w:tc>
      </w:tr>
      <w:tr w14:paraId="48822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305" w:type="pct"/>
            <w:vAlign w:val="center"/>
          </w:tcPr>
          <w:p w14:paraId="02DD4151">
            <w:pPr>
              <w:spacing w:line="360" w:lineRule="auto"/>
              <w:jc w:val="center"/>
              <w:rPr>
                <w:rFonts w:hint="eastAsia" w:ascii="宋体" w:hAnsi="宋体" w:eastAsia="宋体"/>
                <w:bCs/>
                <w:sz w:val="24"/>
                <w:szCs w:val="24"/>
              </w:rPr>
            </w:pPr>
            <w:r>
              <w:rPr>
                <w:rFonts w:hint="eastAsia" w:ascii="宋体" w:hAnsi="宋体" w:eastAsia="宋体"/>
                <w:bCs/>
                <w:sz w:val="24"/>
                <w:szCs w:val="24"/>
              </w:rPr>
              <w:t>3</w:t>
            </w:r>
          </w:p>
        </w:tc>
        <w:tc>
          <w:tcPr>
            <w:tcW w:w="1785" w:type="pct"/>
            <w:vAlign w:val="center"/>
          </w:tcPr>
          <w:p w14:paraId="66614CDC">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电气系统配套更换</w:t>
            </w:r>
          </w:p>
        </w:tc>
        <w:tc>
          <w:tcPr>
            <w:tcW w:w="1028" w:type="pct"/>
            <w:vAlign w:val="center"/>
          </w:tcPr>
          <w:p w14:paraId="66840D5F">
            <w:pPr>
              <w:spacing w:line="360" w:lineRule="auto"/>
              <w:jc w:val="center"/>
              <w:rPr>
                <w:rFonts w:hint="default" w:ascii="宋体" w:hAnsi="宋体" w:eastAsia="宋体"/>
                <w:bCs/>
                <w:sz w:val="24"/>
                <w:szCs w:val="24"/>
                <w:highlight w:val="none"/>
                <w:lang w:val="en-US" w:eastAsia="zh-CN"/>
              </w:rPr>
            </w:pPr>
            <w:r>
              <w:rPr>
                <w:rFonts w:hint="eastAsia" w:ascii="宋体" w:hAnsi="宋体" w:eastAsia="宋体"/>
                <w:bCs/>
                <w:sz w:val="24"/>
                <w:szCs w:val="24"/>
                <w:highlight w:val="none"/>
                <w:lang w:val="en-US" w:eastAsia="zh-CN"/>
              </w:rPr>
              <w:t>详见技术标书</w:t>
            </w:r>
          </w:p>
        </w:tc>
        <w:tc>
          <w:tcPr>
            <w:tcW w:w="403" w:type="pct"/>
            <w:vAlign w:val="center"/>
          </w:tcPr>
          <w:p w14:paraId="0D9A6F5A">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rPr>
              <w:t>套</w:t>
            </w:r>
          </w:p>
        </w:tc>
        <w:tc>
          <w:tcPr>
            <w:tcW w:w="397" w:type="pct"/>
            <w:vAlign w:val="center"/>
          </w:tcPr>
          <w:p w14:paraId="2C09FE27">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rPr>
              <w:t>1</w:t>
            </w:r>
          </w:p>
        </w:tc>
        <w:tc>
          <w:tcPr>
            <w:tcW w:w="572" w:type="pct"/>
            <w:vAlign w:val="center"/>
          </w:tcPr>
          <w:p w14:paraId="3D3ADB75">
            <w:pPr>
              <w:spacing w:line="360" w:lineRule="auto"/>
              <w:jc w:val="center"/>
              <w:rPr>
                <w:rFonts w:hint="eastAsia" w:ascii="宋体" w:hAnsi="宋体" w:eastAsia="宋体"/>
                <w:bCs/>
                <w:sz w:val="24"/>
                <w:szCs w:val="24"/>
              </w:rPr>
            </w:pPr>
            <w:r>
              <w:rPr>
                <w:rFonts w:hint="eastAsia" w:ascii="宋体" w:hAnsi="宋体" w:eastAsia="宋体"/>
                <w:bCs/>
                <w:sz w:val="24"/>
                <w:szCs w:val="24"/>
              </w:rPr>
              <w:t>交钥匙方式</w:t>
            </w:r>
          </w:p>
        </w:tc>
        <w:tc>
          <w:tcPr>
            <w:tcW w:w="507" w:type="pct"/>
            <w:vAlign w:val="center"/>
          </w:tcPr>
          <w:p w14:paraId="1B3235A6">
            <w:pPr>
              <w:spacing w:line="360" w:lineRule="auto"/>
              <w:jc w:val="center"/>
              <w:rPr>
                <w:rFonts w:ascii="宋体" w:hAnsi="宋体" w:eastAsia="宋体"/>
                <w:bCs/>
                <w:sz w:val="24"/>
                <w:szCs w:val="24"/>
              </w:rPr>
            </w:pPr>
          </w:p>
        </w:tc>
      </w:tr>
      <w:tr w14:paraId="02014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305" w:type="pct"/>
            <w:vAlign w:val="center"/>
          </w:tcPr>
          <w:p w14:paraId="7F2B62AC">
            <w:pPr>
              <w:spacing w:line="360" w:lineRule="auto"/>
              <w:jc w:val="center"/>
              <w:rPr>
                <w:rFonts w:hint="eastAsia" w:ascii="宋体" w:hAnsi="宋体" w:eastAsia="宋体"/>
                <w:bCs/>
                <w:sz w:val="24"/>
                <w:szCs w:val="24"/>
              </w:rPr>
            </w:pPr>
            <w:r>
              <w:rPr>
                <w:rFonts w:hint="eastAsia" w:ascii="宋体" w:hAnsi="宋体" w:eastAsia="宋体"/>
                <w:bCs/>
                <w:sz w:val="24"/>
                <w:szCs w:val="24"/>
              </w:rPr>
              <w:t>4</w:t>
            </w:r>
          </w:p>
        </w:tc>
        <w:tc>
          <w:tcPr>
            <w:tcW w:w="1785" w:type="pct"/>
            <w:vAlign w:val="center"/>
          </w:tcPr>
          <w:p w14:paraId="246FB337">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加固地拖链、双板链线体中间骨架</w:t>
            </w:r>
          </w:p>
        </w:tc>
        <w:tc>
          <w:tcPr>
            <w:tcW w:w="3023" w:type="dxa"/>
            <w:vAlign w:val="center"/>
          </w:tcPr>
          <w:p w14:paraId="148C5610">
            <w:pPr>
              <w:spacing w:line="360" w:lineRule="auto"/>
              <w:jc w:val="center"/>
              <w:rPr>
                <w:rFonts w:hint="eastAsia" w:ascii="宋体" w:hAnsi="宋体" w:eastAsia="宋体"/>
                <w:bCs/>
                <w:sz w:val="24"/>
                <w:szCs w:val="24"/>
                <w:highlight w:val="none"/>
                <w:lang w:val="en-US" w:eastAsia="zh-CN"/>
              </w:rPr>
            </w:pPr>
            <w:r>
              <w:rPr>
                <w:rFonts w:hint="eastAsia" w:ascii="宋体" w:hAnsi="宋体" w:eastAsia="宋体"/>
                <w:bCs/>
                <w:sz w:val="24"/>
                <w:szCs w:val="24"/>
                <w:highlight w:val="none"/>
                <w:lang w:val="en-US" w:eastAsia="zh-CN"/>
              </w:rPr>
              <w:t>详见技术标书</w:t>
            </w:r>
          </w:p>
        </w:tc>
        <w:tc>
          <w:tcPr>
            <w:tcW w:w="403" w:type="pct"/>
            <w:vAlign w:val="center"/>
          </w:tcPr>
          <w:p w14:paraId="57041EFB">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rPr>
              <w:t>套</w:t>
            </w:r>
          </w:p>
        </w:tc>
        <w:tc>
          <w:tcPr>
            <w:tcW w:w="397" w:type="pct"/>
            <w:vAlign w:val="center"/>
          </w:tcPr>
          <w:p w14:paraId="5A5F3B9D">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rPr>
              <w:t>1</w:t>
            </w:r>
          </w:p>
        </w:tc>
        <w:tc>
          <w:tcPr>
            <w:tcW w:w="572" w:type="pct"/>
            <w:vAlign w:val="center"/>
          </w:tcPr>
          <w:p w14:paraId="6E028A34">
            <w:pPr>
              <w:spacing w:line="360" w:lineRule="auto"/>
              <w:jc w:val="center"/>
              <w:rPr>
                <w:rFonts w:hint="eastAsia" w:ascii="宋体" w:hAnsi="宋体" w:eastAsia="宋体"/>
                <w:bCs/>
                <w:sz w:val="24"/>
                <w:szCs w:val="24"/>
              </w:rPr>
            </w:pPr>
            <w:r>
              <w:rPr>
                <w:rFonts w:hint="eastAsia" w:ascii="宋体" w:hAnsi="宋体" w:eastAsia="宋体"/>
                <w:bCs/>
                <w:sz w:val="24"/>
                <w:szCs w:val="24"/>
              </w:rPr>
              <w:t>交钥匙方式</w:t>
            </w:r>
          </w:p>
        </w:tc>
        <w:tc>
          <w:tcPr>
            <w:tcW w:w="507" w:type="pct"/>
            <w:vAlign w:val="center"/>
          </w:tcPr>
          <w:p w14:paraId="06712C40">
            <w:pPr>
              <w:spacing w:line="360" w:lineRule="auto"/>
              <w:jc w:val="center"/>
              <w:rPr>
                <w:rFonts w:ascii="宋体" w:hAnsi="宋体" w:eastAsia="宋体"/>
                <w:bCs/>
                <w:sz w:val="24"/>
                <w:szCs w:val="24"/>
              </w:rPr>
            </w:pPr>
          </w:p>
        </w:tc>
      </w:tr>
      <w:tr w14:paraId="44CD0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305" w:type="pct"/>
            <w:vAlign w:val="center"/>
          </w:tcPr>
          <w:p w14:paraId="46091DCC">
            <w:pPr>
              <w:spacing w:line="360" w:lineRule="auto"/>
              <w:jc w:val="center"/>
              <w:rPr>
                <w:rFonts w:hint="eastAsia" w:ascii="宋体" w:hAnsi="宋体" w:eastAsia="宋体"/>
                <w:bCs/>
                <w:sz w:val="24"/>
                <w:szCs w:val="24"/>
              </w:rPr>
            </w:pPr>
            <w:r>
              <w:rPr>
                <w:rFonts w:hint="eastAsia" w:ascii="宋体" w:hAnsi="宋体" w:eastAsia="宋体"/>
                <w:bCs/>
                <w:sz w:val="24"/>
                <w:szCs w:val="24"/>
                <w:lang w:val="en-US" w:eastAsia="zh-CN"/>
              </w:rPr>
              <w:t>5</w:t>
            </w:r>
          </w:p>
        </w:tc>
        <w:tc>
          <w:tcPr>
            <w:tcW w:w="1785" w:type="pct"/>
            <w:vAlign w:val="center"/>
          </w:tcPr>
          <w:p w14:paraId="78E04EC9">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地拖链增加承载横梁</w:t>
            </w:r>
          </w:p>
        </w:tc>
        <w:tc>
          <w:tcPr>
            <w:tcW w:w="3023" w:type="dxa"/>
            <w:vAlign w:val="center"/>
          </w:tcPr>
          <w:p w14:paraId="35C7AA5E">
            <w:pPr>
              <w:spacing w:line="360" w:lineRule="auto"/>
              <w:jc w:val="center"/>
              <w:rPr>
                <w:rFonts w:hint="eastAsia" w:ascii="宋体" w:hAnsi="宋体" w:eastAsia="宋体"/>
                <w:bCs/>
                <w:sz w:val="24"/>
                <w:szCs w:val="24"/>
                <w:highlight w:val="none"/>
                <w:lang w:val="en-US" w:eastAsia="zh-CN"/>
              </w:rPr>
            </w:pPr>
            <w:r>
              <w:rPr>
                <w:rFonts w:hint="eastAsia" w:ascii="宋体" w:hAnsi="宋体" w:eastAsia="宋体"/>
                <w:bCs/>
                <w:sz w:val="24"/>
                <w:szCs w:val="24"/>
                <w:highlight w:val="none"/>
                <w:lang w:val="en-US" w:eastAsia="zh-CN"/>
              </w:rPr>
              <w:t>详见技术标书</w:t>
            </w:r>
          </w:p>
        </w:tc>
        <w:tc>
          <w:tcPr>
            <w:tcW w:w="403" w:type="pct"/>
            <w:vAlign w:val="center"/>
          </w:tcPr>
          <w:p w14:paraId="63337467">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rPr>
              <w:t>套</w:t>
            </w:r>
          </w:p>
        </w:tc>
        <w:tc>
          <w:tcPr>
            <w:tcW w:w="397" w:type="pct"/>
            <w:vAlign w:val="center"/>
          </w:tcPr>
          <w:p w14:paraId="5B134473">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rPr>
              <w:t>1</w:t>
            </w:r>
          </w:p>
        </w:tc>
        <w:tc>
          <w:tcPr>
            <w:tcW w:w="572" w:type="pct"/>
            <w:vAlign w:val="center"/>
          </w:tcPr>
          <w:p w14:paraId="77F65F7C">
            <w:pPr>
              <w:spacing w:line="360" w:lineRule="auto"/>
              <w:jc w:val="center"/>
              <w:rPr>
                <w:rFonts w:hint="eastAsia" w:ascii="宋体" w:hAnsi="宋体" w:eastAsia="宋体"/>
                <w:bCs/>
                <w:sz w:val="24"/>
                <w:szCs w:val="24"/>
              </w:rPr>
            </w:pPr>
            <w:r>
              <w:rPr>
                <w:rFonts w:hint="eastAsia" w:ascii="宋体" w:hAnsi="宋体" w:eastAsia="宋体"/>
                <w:bCs/>
                <w:sz w:val="24"/>
                <w:szCs w:val="24"/>
              </w:rPr>
              <w:t>交钥匙方式</w:t>
            </w:r>
          </w:p>
        </w:tc>
        <w:tc>
          <w:tcPr>
            <w:tcW w:w="507" w:type="pct"/>
            <w:vAlign w:val="center"/>
          </w:tcPr>
          <w:p w14:paraId="0AAD1AF6">
            <w:pPr>
              <w:spacing w:line="360" w:lineRule="auto"/>
              <w:jc w:val="center"/>
              <w:rPr>
                <w:rFonts w:ascii="宋体" w:hAnsi="宋体" w:eastAsia="宋体"/>
                <w:bCs/>
                <w:sz w:val="24"/>
                <w:szCs w:val="24"/>
              </w:rPr>
            </w:pPr>
          </w:p>
        </w:tc>
      </w:tr>
      <w:tr w14:paraId="54225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305" w:type="pct"/>
            <w:vAlign w:val="center"/>
          </w:tcPr>
          <w:p w14:paraId="74921235">
            <w:pPr>
              <w:spacing w:line="360" w:lineRule="auto"/>
              <w:jc w:val="center"/>
              <w:rPr>
                <w:rFonts w:hint="eastAsia" w:ascii="宋体" w:hAnsi="宋体" w:eastAsia="宋体"/>
                <w:bCs/>
                <w:sz w:val="24"/>
                <w:szCs w:val="24"/>
              </w:rPr>
            </w:pPr>
            <w:r>
              <w:rPr>
                <w:rFonts w:hint="eastAsia" w:ascii="宋体" w:hAnsi="宋体" w:eastAsia="宋体"/>
                <w:bCs/>
                <w:sz w:val="24"/>
                <w:szCs w:val="24"/>
                <w:lang w:val="en-US" w:eastAsia="zh-CN"/>
              </w:rPr>
              <w:t>6</w:t>
            </w:r>
          </w:p>
        </w:tc>
        <w:tc>
          <w:tcPr>
            <w:tcW w:w="1785" w:type="pct"/>
            <w:vAlign w:val="center"/>
          </w:tcPr>
          <w:p w14:paraId="360C1F42">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检修地拖链链条行走轨道、链条返回轨道</w:t>
            </w:r>
          </w:p>
        </w:tc>
        <w:tc>
          <w:tcPr>
            <w:tcW w:w="3023" w:type="dxa"/>
            <w:vAlign w:val="center"/>
          </w:tcPr>
          <w:p w14:paraId="16CA6246">
            <w:pPr>
              <w:spacing w:line="360" w:lineRule="auto"/>
              <w:jc w:val="center"/>
              <w:rPr>
                <w:rFonts w:hint="eastAsia" w:ascii="宋体" w:hAnsi="宋体" w:eastAsia="宋体"/>
                <w:bCs/>
                <w:sz w:val="24"/>
                <w:szCs w:val="24"/>
                <w:highlight w:val="none"/>
                <w:lang w:val="en-US" w:eastAsia="zh-CN"/>
              </w:rPr>
            </w:pPr>
            <w:r>
              <w:rPr>
                <w:rFonts w:hint="eastAsia" w:ascii="宋体" w:hAnsi="宋体" w:eastAsia="宋体"/>
                <w:bCs/>
                <w:sz w:val="24"/>
                <w:szCs w:val="24"/>
                <w:highlight w:val="none"/>
                <w:lang w:val="en-US" w:eastAsia="zh-CN"/>
              </w:rPr>
              <w:t>详见技术标书</w:t>
            </w:r>
          </w:p>
        </w:tc>
        <w:tc>
          <w:tcPr>
            <w:tcW w:w="403" w:type="pct"/>
            <w:vAlign w:val="center"/>
          </w:tcPr>
          <w:p w14:paraId="59B92A97">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套</w:t>
            </w:r>
          </w:p>
        </w:tc>
        <w:tc>
          <w:tcPr>
            <w:tcW w:w="397" w:type="pct"/>
            <w:vAlign w:val="center"/>
          </w:tcPr>
          <w:p w14:paraId="281E0BD4">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1</w:t>
            </w:r>
          </w:p>
        </w:tc>
        <w:tc>
          <w:tcPr>
            <w:tcW w:w="572" w:type="pct"/>
            <w:vAlign w:val="center"/>
          </w:tcPr>
          <w:p w14:paraId="78146D3A">
            <w:pPr>
              <w:spacing w:line="360" w:lineRule="auto"/>
              <w:jc w:val="center"/>
              <w:rPr>
                <w:rFonts w:hint="eastAsia" w:ascii="宋体" w:hAnsi="宋体" w:eastAsia="宋体"/>
                <w:bCs/>
                <w:sz w:val="24"/>
                <w:szCs w:val="24"/>
              </w:rPr>
            </w:pPr>
            <w:r>
              <w:rPr>
                <w:rFonts w:hint="eastAsia" w:ascii="宋体" w:hAnsi="宋体" w:eastAsia="宋体"/>
                <w:bCs/>
                <w:sz w:val="24"/>
                <w:szCs w:val="24"/>
              </w:rPr>
              <w:t>交钥匙方式</w:t>
            </w:r>
          </w:p>
        </w:tc>
        <w:tc>
          <w:tcPr>
            <w:tcW w:w="507" w:type="pct"/>
            <w:vAlign w:val="center"/>
          </w:tcPr>
          <w:p w14:paraId="3E952C39">
            <w:pPr>
              <w:spacing w:line="360" w:lineRule="auto"/>
              <w:jc w:val="center"/>
              <w:rPr>
                <w:rFonts w:ascii="宋体" w:hAnsi="宋体" w:eastAsia="宋体"/>
                <w:bCs/>
                <w:sz w:val="24"/>
                <w:szCs w:val="24"/>
              </w:rPr>
            </w:pPr>
          </w:p>
        </w:tc>
      </w:tr>
      <w:tr w14:paraId="1E3BD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305" w:type="pct"/>
            <w:vAlign w:val="center"/>
          </w:tcPr>
          <w:p w14:paraId="202DB9E2">
            <w:pPr>
              <w:spacing w:line="360" w:lineRule="auto"/>
              <w:jc w:val="center"/>
              <w:rPr>
                <w:rFonts w:hint="eastAsia" w:ascii="宋体" w:hAnsi="宋体" w:eastAsia="宋体"/>
                <w:bCs/>
                <w:sz w:val="24"/>
                <w:szCs w:val="24"/>
              </w:rPr>
            </w:pPr>
            <w:r>
              <w:rPr>
                <w:rFonts w:hint="eastAsia" w:ascii="宋体" w:hAnsi="宋体" w:eastAsia="宋体"/>
                <w:bCs/>
                <w:sz w:val="24"/>
                <w:szCs w:val="24"/>
                <w:lang w:val="en-US" w:eastAsia="zh-CN"/>
              </w:rPr>
              <w:t>7</w:t>
            </w:r>
          </w:p>
        </w:tc>
        <w:tc>
          <w:tcPr>
            <w:tcW w:w="1785" w:type="pct"/>
            <w:vAlign w:val="center"/>
          </w:tcPr>
          <w:p w14:paraId="232C68AB">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加固地拖链、双板链两侧地坑盖板及支架支撑</w:t>
            </w:r>
          </w:p>
        </w:tc>
        <w:tc>
          <w:tcPr>
            <w:tcW w:w="3023" w:type="dxa"/>
            <w:vAlign w:val="center"/>
          </w:tcPr>
          <w:p w14:paraId="4E370F6B">
            <w:pPr>
              <w:spacing w:line="360" w:lineRule="auto"/>
              <w:jc w:val="center"/>
              <w:rPr>
                <w:rFonts w:hint="eastAsia" w:ascii="宋体" w:hAnsi="宋体" w:eastAsia="宋体" w:cstheme="minorBidi"/>
                <w:bCs/>
                <w:kern w:val="2"/>
                <w:sz w:val="24"/>
                <w:szCs w:val="24"/>
                <w:highlight w:val="none"/>
                <w:lang w:val="en-US" w:eastAsia="zh-CN" w:bidi="ar-SA"/>
              </w:rPr>
            </w:pPr>
            <w:r>
              <w:rPr>
                <w:rFonts w:hint="eastAsia" w:ascii="宋体" w:hAnsi="宋体" w:eastAsia="宋体"/>
                <w:bCs/>
                <w:sz w:val="24"/>
                <w:szCs w:val="24"/>
                <w:highlight w:val="none"/>
                <w:lang w:val="en-US" w:eastAsia="zh-CN"/>
              </w:rPr>
              <w:t>详见技术标书</w:t>
            </w:r>
          </w:p>
        </w:tc>
        <w:tc>
          <w:tcPr>
            <w:tcW w:w="403" w:type="pct"/>
            <w:vAlign w:val="center"/>
          </w:tcPr>
          <w:p w14:paraId="36C22947">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lang w:val="en-US" w:eastAsia="zh-CN"/>
              </w:rPr>
              <w:t>套</w:t>
            </w:r>
          </w:p>
        </w:tc>
        <w:tc>
          <w:tcPr>
            <w:tcW w:w="397" w:type="pct"/>
            <w:vAlign w:val="center"/>
          </w:tcPr>
          <w:p w14:paraId="02BE45C5">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lang w:val="en-US" w:eastAsia="zh-CN"/>
              </w:rPr>
              <w:t>1</w:t>
            </w:r>
          </w:p>
        </w:tc>
        <w:tc>
          <w:tcPr>
            <w:tcW w:w="572" w:type="pct"/>
            <w:vAlign w:val="center"/>
          </w:tcPr>
          <w:p w14:paraId="69A04ECB">
            <w:pPr>
              <w:spacing w:line="360" w:lineRule="auto"/>
              <w:jc w:val="center"/>
              <w:rPr>
                <w:rFonts w:hint="eastAsia" w:ascii="宋体" w:hAnsi="宋体" w:eastAsia="宋体"/>
                <w:bCs/>
                <w:sz w:val="24"/>
                <w:szCs w:val="24"/>
              </w:rPr>
            </w:pPr>
            <w:r>
              <w:rPr>
                <w:rFonts w:hint="eastAsia" w:ascii="宋体" w:hAnsi="宋体" w:eastAsia="宋体"/>
                <w:bCs/>
                <w:sz w:val="24"/>
                <w:szCs w:val="24"/>
              </w:rPr>
              <w:t>交钥匙方式</w:t>
            </w:r>
          </w:p>
        </w:tc>
        <w:tc>
          <w:tcPr>
            <w:tcW w:w="507" w:type="pct"/>
            <w:vAlign w:val="center"/>
          </w:tcPr>
          <w:p w14:paraId="77333DAD">
            <w:pPr>
              <w:spacing w:line="360" w:lineRule="auto"/>
              <w:jc w:val="center"/>
              <w:rPr>
                <w:rFonts w:ascii="宋体" w:hAnsi="宋体" w:eastAsia="宋体"/>
                <w:bCs/>
                <w:sz w:val="24"/>
                <w:szCs w:val="24"/>
              </w:rPr>
            </w:pPr>
          </w:p>
        </w:tc>
      </w:tr>
      <w:tr w14:paraId="34D9A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305" w:type="pct"/>
            <w:vAlign w:val="center"/>
          </w:tcPr>
          <w:p w14:paraId="6F9F1AA8">
            <w:pPr>
              <w:spacing w:line="360" w:lineRule="auto"/>
              <w:jc w:val="center"/>
              <w:rPr>
                <w:rFonts w:hint="eastAsia" w:ascii="宋体" w:hAnsi="宋体" w:eastAsia="宋体"/>
                <w:bCs/>
                <w:sz w:val="24"/>
                <w:szCs w:val="24"/>
              </w:rPr>
            </w:pPr>
            <w:r>
              <w:rPr>
                <w:rFonts w:hint="eastAsia" w:ascii="宋体" w:hAnsi="宋体" w:eastAsia="宋体"/>
                <w:bCs/>
                <w:sz w:val="24"/>
                <w:szCs w:val="24"/>
                <w:lang w:val="en-US" w:eastAsia="zh-CN"/>
              </w:rPr>
              <w:t>8</w:t>
            </w:r>
          </w:p>
        </w:tc>
        <w:tc>
          <w:tcPr>
            <w:tcW w:w="1785" w:type="pct"/>
            <w:vAlign w:val="center"/>
          </w:tcPr>
          <w:p w14:paraId="46E0E48F">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加固地拖链和双板链驱动部分、涨紧部分</w:t>
            </w:r>
          </w:p>
        </w:tc>
        <w:tc>
          <w:tcPr>
            <w:tcW w:w="3023" w:type="dxa"/>
            <w:vAlign w:val="center"/>
          </w:tcPr>
          <w:p w14:paraId="4E8E4E24">
            <w:pPr>
              <w:spacing w:line="360" w:lineRule="auto"/>
              <w:jc w:val="center"/>
              <w:rPr>
                <w:rFonts w:hint="eastAsia" w:ascii="宋体" w:hAnsi="宋体" w:eastAsia="宋体" w:cstheme="minorBidi"/>
                <w:bCs/>
                <w:kern w:val="2"/>
                <w:sz w:val="24"/>
                <w:szCs w:val="24"/>
                <w:highlight w:val="none"/>
                <w:lang w:val="en-US" w:eastAsia="zh-CN" w:bidi="ar-SA"/>
              </w:rPr>
            </w:pPr>
            <w:r>
              <w:rPr>
                <w:rFonts w:hint="eastAsia" w:ascii="宋体" w:hAnsi="宋体" w:eastAsia="宋体"/>
                <w:bCs/>
                <w:sz w:val="24"/>
                <w:szCs w:val="24"/>
                <w:highlight w:val="none"/>
                <w:lang w:val="en-US" w:eastAsia="zh-CN"/>
              </w:rPr>
              <w:t>详见技术标书</w:t>
            </w:r>
          </w:p>
        </w:tc>
        <w:tc>
          <w:tcPr>
            <w:tcW w:w="403" w:type="pct"/>
            <w:vAlign w:val="center"/>
          </w:tcPr>
          <w:p w14:paraId="098FA486">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lang w:val="en-US" w:eastAsia="zh-CN"/>
              </w:rPr>
              <w:t>套</w:t>
            </w:r>
          </w:p>
        </w:tc>
        <w:tc>
          <w:tcPr>
            <w:tcW w:w="397" w:type="pct"/>
            <w:vAlign w:val="center"/>
          </w:tcPr>
          <w:p w14:paraId="5BFFF4CB">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lang w:val="en-US" w:eastAsia="zh-CN"/>
              </w:rPr>
              <w:t>1</w:t>
            </w:r>
          </w:p>
        </w:tc>
        <w:tc>
          <w:tcPr>
            <w:tcW w:w="572" w:type="pct"/>
            <w:vAlign w:val="center"/>
          </w:tcPr>
          <w:p w14:paraId="7D2832E1">
            <w:pPr>
              <w:spacing w:line="360" w:lineRule="auto"/>
              <w:jc w:val="center"/>
              <w:rPr>
                <w:rFonts w:hint="eastAsia" w:ascii="宋体" w:hAnsi="宋体" w:eastAsia="宋体"/>
                <w:bCs/>
                <w:sz w:val="24"/>
                <w:szCs w:val="24"/>
              </w:rPr>
            </w:pPr>
            <w:r>
              <w:rPr>
                <w:rFonts w:hint="eastAsia" w:ascii="宋体" w:hAnsi="宋体" w:eastAsia="宋体"/>
                <w:bCs/>
                <w:sz w:val="24"/>
                <w:szCs w:val="24"/>
              </w:rPr>
              <w:t>交钥匙方式</w:t>
            </w:r>
          </w:p>
        </w:tc>
        <w:tc>
          <w:tcPr>
            <w:tcW w:w="507" w:type="pct"/>
            <w:vAlign w:val="center"/>
          </w:tcPr>
          <w:p w14:paraId="6FE2FC46">
            <w:pPr>
              <w:spacing w:line="360" w:lineRule="auto"/>
              <w:jc w:val="center"/>
              <w:rPr>
                <w:rFonts w:ascii="宋体" w:hAnsi="宋体" w:eastAsia="宋体"/>
                <w:bCs/>
                <w:sz w:val="24"/>
                <w:szCs w:val="24"/>
              </w:rPr>
            </w:pPr>
          </w:p>
        </w:tc>
      </w:tr>
      <w:tr w14:paraId="73202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305" w:type="pct"/>
            <w:vAlign w:val="center"/>
          </w:tcPr>
          <w:p w14:paraId="1B9B3D77">
            <w:pPr>
              <w:spacing w:line="360" w:lineRule="auto"/>
              <w:jc w:val="center"/>
              <w:rPr>
                <w:rFonts w:hint="eastAsia" w:ascii="宋体" w:hAnsi="宋体" w:eastAsia="宋体"/>
                <w:bCs/>
                <w:sz w:val="24"/>
                <w:szCs w:val="24"/>
              </w:rPr>
            </w:pPr>
            <w:r>
              <w:rPr>
                <w:rFonts w:hint="eastAsia" w:ascii="宋体" w:hAnsi="宋体" w:eastAsia="宋体"/>
                <w:bCs/>
                <w:sz w:val="24"/>
                <w:szCs w:val="24"/>
                <w:lang w:val="en-US" w:eastAsia="zh-CN"/>
              </w:rPr>
              <w:t>9</w:t>
            </w:r>
          </w:p>
        </w:tc>
        <w:tc>
          <w:tcPr>
            <w:tcW w:w="1785" w:type="pct"/>
            <w:vAlign w:val="center"/>
          </w:tcPr>
          <w:p w14:paraId="78D9A387">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更换双板链链板</w:t>
            </w:r>
          </w:p>
        </w:tc>
        <w:tc>
          <w:tcPr>
            <w:tcW w:w="3023" w:type="dxa"/>
            <w:vAlign w:val="center"/>
          </w:tcPr>
          <w:p w14:paraId="73AFE255">
            <w:pPr>
              <w:spacing w:line="360" w:lineRule="auto"/>
              <w:jc w:val="center"/>
              <w:rPr>
                <w:rFonts w:hint="eastAsia" w:ascii="宋体" w:hAnsi="宋体" w:eastAsia="宋体" w:cstheme="minorBidi"/>
                <w:bCs/>
                <w:kern w:val="2"/>
                <w:sz w:val="24"/>
                <w:szCs w:val="24"/>
                <w:highlight w:val="none"/>
                <w:lang w:val="en-US" w:eastAsia="zh-CN" w:bidi="ar-SA"/>
              </w:rPr>
            </w:pPr>
            <w:r>
              <w:rPr>
                <w:rFonts w:hint="eastAsia" w:ascii="宋体" w:hAnsi="宋体" w:eastAsia="宋体"/>
                <w:bCs/>
                <w:sz w:val="24"/>
                <w:szCs w:val="24"/>
                <w:highlight w:val="none"/>
                <w:lang w:val="en-US" w:eastAsia="zh-CN"/>
              </w:rPr>
              <w:t>详见技术标书</w:t>
            </w:r>
          </w:p>
        </w:tc>
        <w:tc>
          <w:tcPr>
            <w:tcW w:w="403" w:type="pct"/>
            <w:vAlign w:val="center"/>
          </w:tcPr>
          <w:p w14:paraId="0AE74AB4">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lang w:val="en-US" w:eastAsia="zh-CN"/>
              </w:rPr>
              <w:t>套</w:t>
            </w:r>
          </w:p>
        </w:tc>
        <w:tc>
          <w:tcPr>
            <w:tcW w:w="397" w:type="pct"/>
            <w:vAlign w:val="center"/>
          </w:tcPr>
          <w:p w14:paraId="6DAD8C3E">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lang w:val="en-US" w:eastAsia="zh-CN"/>
              </w:rPr>
              <w:t>1</w:t>
            </w:r>
          </w:p>
        </w:tc>
        <w:tc>
          <w:tcPr>
            <w:tcW w:w="572" w:type="pct"/>
            <w:vAlign w:val="center"/>
          </w:tcPr>
          <w:p w14:paraId="0E03F384">
            <w:pPr>
              <w:spacing w:line="360" w:lineRule="auto"/>
              <w:jc w:val="center"/>
              <w:rPr>
                <w:rFonts w:hint="eastAsia" w:ascii="宋体" w:hAnsi="宋体" w:eastAsia="宋体"/>
                <w:bCs/>
                <w:sz w:val="24"/>
                <w:szCs w:val="24"/>
              </w:rPr>
            </w:pPr>
            <w:r>
              <w:rPr>
                <w:rFonts w:hint="eastAsia" w:ascii="宋体" w:hAnsi="宋体" w:eastAsia="宋体"/>
                <w:bCs/>
                <w:sz w:val="24"/>
                <w:szCs w:val="24"/>
              </w:rPr>
              <w:t>交钥匙方式</w:t>
            </w:r>
          </w:p>
        </w:tc>
        <w:tc>
          <w:tcPr>
            <w:tcW w:w="507" w:type="pct"/>
            <w:vAlign w:val="center"/>
          </w:tcPr>
          <w:p w14:paraId="6E22EFBC">
            <w:pPr>
              <w:spacing w:line="360" w:lineRule="auto"/>
              <w:jc w:val="center"/>
              <w:rPr>
                <w:rFonts w:ascii="宋体" w:hAnsi="宋体" w:eastAsia="宋体"/>
                <w:bCs/>
                <w:sz w:val="24"/>
                <w:szCs w:val="24"/>
              </w:rPr>
            </w:pPr>
          </w:p>
        </w:tc>
      </w:tr>
      <w:tr w14:paraId="2188A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305" w:type="pct"/>
            <w:vAlign w:val="center"/>
          </w:tcPr>
          <w:p w14:paraId="08F3A5EB">
            <w:pPr>
              <w:spacing w:line="360" w:lineRule="auto"/>
              <w:jc w:val="center"/>
              <w:rPr>
                <w:rFonts w:hint="eastAsia" w:ascii="宋体" w:hAnsi="宋体" w:eastAsia="宋体"/>
                <w:bCs/>
                <w:sz w:val="24"/>
                <w:szCs w:val="24"/>
              </w:rPr>
            </w:pPr>
            <w:r>
              <w:rPr>
                <w:rFonts w:hint="eastAsia" w:ascii="宋体" w:hAnsi="宋体" w:eastAsia="宋体"/>
                <w:bCs/>
                <w:sz w:val="24"/>
                <w:szCs w:val="24"/>
                <w:lang w:val="en-US" w:eastAsia="zh-CN"/>
              </w:rPr>
              <w:t>10</w:t>
            </w:r>
          </w:p>
        </w:tc>
        <w:tc>
          <w:tcPr>
            <w:tcW w:w="1785" w:type="pct"/>
            <w:vAlign w:val="center"/>
          </w:tcPr>
          <w:p w14:paraId="43B0D70B">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检修双板链承重轨道、返回轨道</w:t>
            </w:r>
          </w:p>
        </w:tc>
        <w:tc>
          <w:tcPr>
            <w:tcW w:w="3023" w:type="dxa"/>
            <w:vAlign w:val="center"/>
          </w:tcPr>
          <w:p w14:paraId="7ECC0418">
            <w:pPr>
              <w:spacing w:line="360" w:lineRule="auto"/>
              <w:jc w:val="center"/>
              <w:rPr>
                <w:rFonts w:hint="eastAsia" w:ascii="宋体" w:hAnsi="宋体" w:eastAsia="宋体" w:cstheme="minorBidi"/>
                <w:bCs/>
                <w:kern w:val="2"/>
                <w:sz w:val="24"/>
                <w:szCs w:val="24"/>
                <w:highlight w:val="none"/>
                <w:lang w:val="en-US" w:eastAsia="zh-CN" w:bidi="ar-SA"/>
              </w:rPr>
            </w:pPr>
            <w:r>
              <w:rPr>
                <w:rFonts w:hint="eastAsia" w:ascii="宋体" w:hAnsi="宋体" w:eastAsia="宋体"/>
                <w:bCs/>
                <w:sz w:val="24"/>
                <w:szCs w:val="24"/>
                <w:highlight w:val="none"/>
                <w:lang w:val="en-US" w:eastAsia="zh-CN"/>
              </w:rPr>
              <w:t>详见技术标书</w:t>
            </w:r>
          </w:p>
        </w:tc>
        <w:tc>
          <w:tcPr>
            <w:tcW w:w="403" w:type="pct"/>
            <w:vAlign w:val="center"/>
          </w:tcPr>
          <w:p w14:paraId="4FCD7E0D">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lang w:val="en-US" w:eastAsia="zh-CN"/>
              </w:rPr>
              <w:t>套</w:t>
            </w:r>
          </w:p>
        </w:tc>
        <w:tc>
          <w:tcPr>
            <w:tcW w:w="397" w:type="pct"/>
            <w:vAlign w:val="center"/>
          </w:tcPr>
          <w:p w14:paraId="2D72AB1B">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lang w:val="en-US" w:eastAsia="zh-CN"/>
              </w:rPr>
              <w:t>1</w:t>
            </w:r>
          </w:p>
        </w:tc>
        <w:tc>
          <w:tcPr>
            <w:tcW w:w="572" w:type="pct"/>
            <w:vAlign w:val="center"/>
          </w:tcPr>
          <w:p w14:paraId="18E65FB0">
            <w:pPr>
              <w:spacing w:line="360" w:lineRule="auto"/>
              <w:jc w:val="center"/>
              <w:rPr>
                <w:rFonts w:hint="eastAsia" w:ascii="宋体" w:hAnsi="宋体" w:eastAsia="宋体"/>
                <w:bCs/>
                <w:sz w:val="24"/>
                <w:szCs w:val="24"/>
              </w:rPr>
            </w:pPr>
            <w:r>
              <w:rPr>
                <w:rFonts w:hint="eastAsia" w:ascii="宋体" w:hAnsi="宋体" w:eastAsia="宋体"/>
                <w:bCs/>
                <w:sz w:val="24"/>
                <w:szCs w:val="24"/>
              </w:rPr>
              <w:t>交钥匙方式</w:t>
            </w:r>
          </w:p>
        </w:tc>
        <w:tc>
          <w:tcPr>
            <w:tcW w:w="507" w:type="pct"/>
            <w:vAlign w:val="center"/>
          </w:tcPr>
          <w:p w14:paraId="0BE42B39">
            <w:pPr>
              <w:spacing w:line="360" w:lineRule="auto"/>
              <w:jc w:val="center"/>
              <w:rPr>
                <w:rFonts w:ascii="宋体" w:hAnsi="宋体" w:eastAsia="宋体"/>
                <w:bCs/>
                <w:sz w:val="24"/>
                <w:szCs w:val="24"/>
              </w:rPr>
            </w:pPr>
          </w:p>
        </w:tc>
      </w:tr>
      <w:tr w14:paraId="177EC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305" w:type="pct"/>
            <w:vAlign w:val="center"/>
          </w:tcPr>
          <w:p w14:paraId="3BDBCD4E">
            <w:pPr>
              <w:spacing w:line="360" w:lineRule="auto"/>
              <w:jc w:val="center"/>
              <w:rPr>
                <w:rFonts w:hint="eastAsia" w:ascii="宋体" w:hAnsi="宋体" w:eastAsia="宋体"/>
                <w:bCs/>
                <w:sz w:val="24"/>
                <w:szCs w:val="24"/>
              </w:rPr>
            </w:pPr>
            <w:r>
              <w:rPr>
                <w:rFonts w:hint="eastAsia" w:ascii="宋体" w:hAnsi="宋体" w:eastAsia="宋体"/>
                <w:bCs/>
                <w:sz w:val="24"/>
                <w:szCs w:val="24"/>
                <w:lang w:val="en-US" w:eastAsia="zh-CN"/>
              </w:rPr>
              <w:t>11</w:t>
            </w:r>
          </w:p>
        </w:tc>
        <w:tc>
          <w:tcPr>
            <w:tcW w:w="1785" w:type="pct"/>
            <w:vAlign w:val="center"/>
          </w:tcPr>
          <w:p w14:paraId="48CCCB41">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更换地拖链420米轨道</w:t>
            </w:r>
          </w:p>
        </w:tc>
        <w:tc>
          <w:tcPr>
            <w:tcW w:w="3023" w:type="dxa"/>
            <w:vAlign w:val="center"/>
          </w:tcPr>
          <w:p w14:paraId="7D6BC551">
            <w:pPr>
              <w:spacing w:line="360" w:lineRule="auto"/>
              <w:jc w:val="center"/>
              <w:rPr>
                <w:rFonts w:hint="eastAsia" w:ascii="宋体" w:hAnsi="宋体" w:eastAsia="宋体" w:cstheme="minorBidi"/>
                <w:bCs/>
                <w:kern w:val="2"/>
                <w:sz w:val="24"/>
                <w:szCs w:val="24"/>
                <w:highlight w:val="none"/>
                <w:lang w:val="en-US" w:eastAsia="zh-CN" w:bidi="ar-SA"/>
              </w:rPr>
            </w:pPr>
            <w:r>
              <w:rPr>
                <w:rFonts w:hint="eastAsia" w:ascii="宋体" w:hAnsi="宋体" w:eastAsia="宋体"/>
                <w:bCs/>
                <w:sz w:val="24"/>
                <w:szCs w:val="24"/>
                <w:highlight w:val="none"/>
                <w:lang w:val="en-US" w:eastAsia="zh-CN"/>
              </w:rPr>
              <w:t>详见技术标书</w:t>
            </w:r>
          </w:p>
        </w:tc>
        <w:tc>
          <w:tcPr>
            <w:tcW w:w="403" w:type="pct"/>
            <w:vAlign w:val="center"/>
          </w:tcPr>
          <w:p w14:paraId="0736EAF0">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lang w:val="en-US" w:eastAsia="zh-CN"/>
              </w:rPr>
              <w:t>套</w:t>
            </w:r>
          </w:p>
        </w:tc>
        <w:tc>
          <w:tcPr>
            <w:tcW w:w="397" w:type="pct"/>
            <w:vAlign w:val="center"/>
          </w:tcPr>
          <w:p w14:paraId="203F19D2">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lang w:val="en-US" w:eastAsia="zh-CN"/>
              </w:rPr>
              <w:t>1</w:t>
            </w:r>
          </w:p>
        </w:tc>
        <w:tc>
          <w:tcPr>
            <w:tcW w:w="572" w:type="pct"/>
            <w:vAlign w:val="center"/>
          </w:tcPr>
          <w:p w14:paraId="7DAC7373">
            <w:pPr>
              <w:spacing w:line="360" w:lineRule="auto"/>
              <w:jc w:val="center"/>
              <w:rPr>
                <w:rFonts w:hint="eastAsia" w:ascii="宋体" w:hAnsi="宋体" w:eastAsia="宋体"/>
                <w:bCs/>
                <w:sz w:val="24"/>
                <w:szCs w:val="24"/>
              </w:rPr>
            </w:pPr>
            <w:r>
              <w:rPr>
                <w:rFonts w:hint="eastAsia" w:ascii="宋体" w:hAnsi="宋体" w:eastAsia="宋体"/>
                <w:bCs/>
                <w:sz w:val="24"/>
                <w:szCs w:val="24"/>
              </w:rPr>
              <w:t>交钥匙方式</w:t>
            </w:r>
          </w:p>
        </w:tc>
        <w:tc>
          <w:tcPr>
            <w:tcW w:w="507" w:type="pct"/>
            <w:vAlign w:val="center"/>
          </w:tcPr>
          <w:p w14:paraId="42C50A2A">
            <w:pPr>
              <w:spacing w:line="360" w:lineRule="auto"/>
              <w:jc w:val="center"/>
              <w:rPr>
                <w:rFonts w:ascii="宋体" w:hAnsi="宋体" w:eastAsia="宋体"/>
                <w:bCs/>
                <w:sz w:val="24"/>
                <w:szCs w:val="24"/>
              </w:rPr>
            </w:pPr>
          </w:p>
        </w:tc>
      </w:tr>
      <w:tr w14:paraId="37160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305" w:type="pct"/>
            <w:vAlign w:val="center"/>
          </w:tcPr>
          <w:p w14:paraId="0577D17D">
            <w:pPr>
              <w:spacing w:line="360" w:lineRule="auto"/>
              <w:jc w:val="center"/>
              <w:rPr>
                <w:rFonts w:hint="eastAsia" w:ascii="宋体" w:hAnsi="宋体" w:eastAsia="宋体"/>
                <w:bCs/>
                <w:sz w:val="24"/>
                <w:szCs w:val="24"/>
              </w:rPr>
            </w:pPr>
            <w:r>
              <w:rPr>
                <w:rFonts w:hint="eastAsia" w:ascii="宋体" w:hAnsi="宋体" w:eastAsia="宋体"/>
                <w:bCs/>
                <w:sz w:val="24"/>
                <w:szCs w:val="24"/>
                <w:lang w:val="en-US" w:eastAsia="zh-CN"/>
              </w:rPr>
              <w:t>12</w:t>
            </w:r>
          </w:p>
        </w:tc>
        <w:tc>
          <w:tcPr>
            <w:tcW w:w="1785" w:type="pct"/>
            <w:vAlign w:val="center"/>
          </w:tcPr>
          <w:p w14:paraId="75F34C08">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更换地拖链防护胶皮</w:t>
            </w:r>
          </w:p>
        </w:tc>
        <w:tc>
          <w:tcPr>
            <w:tcW w:w="3023" w:type="dxa"/>
            <w:vAlign w:val="center"/>
          </w:tcPr>
          <w:p w14:paraId="2D0949B6">
            <w:pPr>
              <w:spacing w:line="360" w:lineRule="auto"/>
              <w:jc w:val="center"/>
              <w:rPr>
                <w:rFonts w:hint="eastAsia" w:ascii="宋体" w:hAnsi="宋体" w:eastAsia="宋体" w:cstheme="minorBidi"/>
                <w:bCs/>
                <w:kern w:val="2"/>
                <w:sz w:val="24"/>
                <w:szCs w:val="24"/>
                <w:highlight w:val="none"/>
                <w:lang w:val="en-US" w:eastAsia="zh-CN" w:bidi="ar-SA"/>
              </w:rPr>
            </w:pPr>
            <w:r>
              <w:rPr>
                <w:rFonts w:hint="eastAsia" w:ascii="宋体" w:hAnsi="宋体" w:eastAsia="宋体"/>
                <w:bCs/>
                <w:sz w:val="24"/>
                <w:szCs w:val="24"/>
                <w:highlight w:val="none"/>
                <w:lang w:val="en-US" w:eastAsia="zh-CN"/>
              </w:rPr>
              <w:t>详见技术标书</w:t>
            </w:r>
          </w:p>
        </w:tc>
        <w:tc>
          <w:tcPr>
            <w:tcW w:w="403" w:type="pct"/>
            <w:vAlign w:val="center"/>
          </w:tcPr>
          <w:p w14:paraId="37E6F0C8">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lang w:val="en-US" w:eastAsia="zh-CN"/>
              </w:rPr>
              <w:t>套</w:t>
            </w:r>
          </w:p>
        </w:tc>
        <w:tc>
          <w:tcPr>
            <w:tcW w:w="397" w:type="pct"/>
            <w:vAlign w:val="center"/>
          </w:tcPr>
          <w:p w14:paraId="6E6CA005">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lang w:val="en-US" w:eastAsia="zh-CN"/>
              </w:rPr>
              <w:t>1</w:t>
            </w:r>
          </w:p>
        </w:tc>
        <w:tc>
          <w:tcPr>
            <w:tcW w:w="572" w:type="pct"/>
            <w:vAlign w:val="center"/>
          </w:tcPr>
          <w:p w14:paraId="608E0D98">
            <w:pPr>
              <w:spacing w:line="360" w:lineRule="auto"/>
              <w:jc w:val="center"/>
              <w:rPr>
                <w:rFonts w:hint="eastAsia" w:ascii="宋体" w:hAnsi="宋体" w:eastAsia="宋体"/>
                <w:bCs/>
                <w:sz w:val="24"/>
                <w:szCs w:val="24"/>
              </w:rPr>
            </w:pPr>
            <w:r>
              <w:rPr>
                <w:rFonts w:hint="eastAsia" w:ascii="宋体" w:hAnsi="宋体" w:eastAsia="宋体"/>
                <w:bCs/>
                <w:sz w:val="24"/>
                <w:szCs w:val="24"/>
              </w:rPr>
              <w:t>交钥匙方式</w:t>
            </w:r>
          </w:p>
        </w:tc>
        <w:tc>
          <w:tcPr>
            <w:tcW w:w="507" w:type="pct"/>
            <w:vAlign w:val="center"/>
          </w:tcPr>
          <w:p w14:paraId="1700563F">
            <w:pPr>
              <w:spacing w:line="360" w:lineRule="auto"/>
              <w:jc w:val="center"/>
              <w:rPr>
                <w:rFonts w:ascii="宋体" w:hAnsi="宋体" w:eastAsia="宋体"/>
                <w:bCs/>
                <w:sz w:val="24"/>
                <w:szCs w:val="24"/>
              </w:rPr>
            </w:pPr>
          </w:p>
        </w:tc>
      </w:tr>
      <w:tr w14:paraId="27344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trPr>
        <w:tc>
          <w:tcPr>
            <w:tcW w:w="305" w:type="pct"/>
            <w:vAlign w:val="center"/>
          </w:tcPr>
          <w:p w14:paraId="6427D3F5">
            <w:pPr>
              <w:spacing w:line="360" w:lineRule="auto"/>
              <w:jc w:val="center"/>
              <w:rPr>
                <w:rFonts w:hint="eastAsia" w:ascii="宋体" w:hAnsi="宋体" w:eastAsia="宋体"/>
                <w:bCs/>
                <w:sz w:val="24"/>
                <w:szCs w:val="24"/>
              </w:rPr>
            </w:pPr>
            <w:r>
              <w:rPr>
                <w:rFonts w:hint="eastAsia" w:ascii="宋体" w:hAnsi="宋体" w:eastAsia="宋体"/>
                <w:bCs/>
                <w:sz w:val="24"/>
                <w:szCs w:val="24"/>
                <w:lang w:val="en-US" w:eastAsia="zh-CN"/>
              </w:rPr>
              <w:t>13</w:t>
            </w:r>
          </w:p>
        </w:tc>
        <w:tc>
          <w:tcPr>
            <w:tcW w:w="1785" w:type="pct"/>
            <w:vAlign w:val="center"/>
          </w:tcPr>
          <w:p w14:paraId="31CBE5AA">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更换地拖链、双板链滚轮轴承</w:t>
            </w:r>
          </w:p>
        </w:tc>
        <w:tc>
          <w:tcPr>
            <w:tcW w:w="3023" w:type="dxa"/>
            <w:vAlign w:val="center"/>
          </w:tcPr>
          <w:p w14:paraId="329DB58A">
            <w:pPr>
              <w:spacing w:line="360" w:lineRule="auto"/>
              <w:jc w:val="center"/>
              <w:rPr>
                <w:rFonts w:hint="eastAsia" w:ascii="宋体" w:hAnsi="宋体" w:eastAsia="宋体" w:cstheme="minorBidi"/>
                <w:bCs/>
                <w:kern w:val="2"/>
                <w:sz w:val="24"/>
                <w:szCs w:val="24"/>
                <w:highlight w:val="none"/>
                <w:lang w:val="en-US" w:eastAsia="zh-CN" w:bidi="ar-SA"/>
              </w:rPr>
            </w:pPr>
            <w:r>
              <w:rPr>
                <w:rFonts w:hint="eastAsia" w:ascii="宋体" w:hAnsi="宋体" w:eastAsia="宋体"/>
                <w:bCs/>
                <w:sz w:val="24"/>
                <w:szCs w:val="24"/>
                <w:highlight w:val="none"/>
                <w:lang w:val="en-US" w:eastAsia="zh-CN"/>
              </w:rPr>
              <w:t>详见技术标书</w:t>
            </w:r>
          </w:p>
        </w:tc>
        <w:tc>
          <w:tcPr>
            <w:tcW w:w="403" w:type="pct"/>
            <w:vAlign w:val="center"/>
          </w:tcPr>
          <w:p w14:paraId="6E019CD7">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lang w:val="en-US" w:eastAsia="zh-CN"/>
              </w:rPr>
              <w:t>套</w:t>
            </w:r>
          </w:p>
        </w:tc>
        <w:tc>
          <w:tcPr>
            <w:tcW w:w="397" w:type="pct"/>
            <w:vAlign w:val="center"/>
          </w:tcPr>
          <w:p w14:paraId="384FAD6F">
            <w:pPr>
              <w:spacing w:line="360" w:lineRule="auto"/>
              <w:jc w:val="center"/>
              <w:rPr>
                <w:rFonts w:hint="eastAsia" w:ascii="宋体" w:hAnsi="宋体" w:eastAsia="宋体" w:cstheme="minorBidi"/>
                <w:bCs/>
                <w:kern w:val="2"/>
                <w:sz w:val="24"/>
                <w:szCs w:val="24"/>
                <w:lang w:val="en-US" w:eastAsia="zh-CN" w:bidi="ar-SA"/>
              </w:rPr>
            </w:pPr>
            <w:r>
              <w:rPr>
                <w:rFonts w:hint="eastAsia" w:ascii="宋体" w:hAnsi="宋体" w:eastAsia="宋体"/>
                <w:bCs/>
                <w:sz w:val="24"/>
                <w:szCs w:val="24"/>
                <w:lang w:val="en-US" w:eastAsia="zh-CN"/>
              </w:rPr>
              <w:t>1</w:t>
            </w:r>
          </w:p>
        </w:tc>
        <w:tc>
          <w:tcPr>
            <w:tcW w:w="572" w:type="pct"/>
            <w:vAlign w:val="center"/>
          </w:tcPr>
          <w:p w14:paraId="6198E24E">
            <w:pPr>
              <w:spacing w:line="360" w:lineRule="auto"/>
              <w:jc w:val="center"/>
              <w:rPr>
                <w:rFonts w:hint="eastAsia" w:ascii="宋体" w:hAnsi="宋体" w:eastAsia="宋体"/>
                <w:bCs/>
                <w:sz w:val="24"/>
                <w:szCs w:val="24"/>
              </w:rPr>
            </w:pPr>
            <w:r>
              <w:rPr>
                <w:rFonts w:hint="eastAsia" w:ascii="宋体" w:hAnsi="宋体" w:eastAsia="宋体"/>
                <w:bCs/>
                <w:sz w:val="24"/>
                <w:szCs w:val="24"/>
              </w:rPr>
              <w:t>交钥匙方式</w:t>
            </w:r>
          </w:p>
        </w:tc>
        <w:tc>
          <w:tcPr>
            <w:tcW w:w="507" w:type="pct"/>
            <w:vAlign w:val="center"/>
          </w:tcPr>
          <w:p w14:paraId="45879C9E">
            <w:pPr>
              <w:spacing w:line="360" w:lineRule="auto"/>
              <w:jc w:val="center"/>
              <w:rPr>
                <w:rFonts w:ascii="宋体" w:hAnsi="宋体" w:eastAsia="宋体"/>
                <w:bCs/>
                <w:sz w:val="24"/>
                <w:szCs w:val="24"/>
              </w:rPr>
            </w:pPr>
          </w:p>
        </w:tc>
      </w:tr>
    </w:tbl>
    <w:p w14:paraId="5DC91A8D">
      <w:pPr>
        <w:spacing w:line="360" w:lineRule="auto"/>
        <w:ind w:firstLine="482" w:firstLineChars="200"/>
        <w:rPr>
          <w:rFonts w:hint="eastAsia" w:ascii="宋体" w:hAnsi="宋体" w:eastAsia="宋体" w:cs="宋体"/>
          <w:b/>
          <w:bCs w:val="0"/>
          <w:sz w:val="24"/>
          <w:szCs w:val="24"/>
        </w:rPr>
      </w:pPr>
      <w:r>
        <w:rPr>
          <w:rFonts w:hint="eastAsia" w:ascii="宋体" w:hAnsi="宋体" w:eastAsia="宋体" w:cs="宋体"/>
          <w:b/>
          <w:bCs w:val="0"/>
          <w:sz w:val="24"/>
          <w:szCs w:val="24"/>
        </w:rPr>
        <w:t>备注：</w:t>
      </w:r>
    </w:p>
    <w:p w14:paraId="1F2356F5">
      <w:pPr>
        <w:numPr>
          <w:ilvl w:val="0"/>
          <w:numId w:val="12"/>
        </w:numPr>
        <w:spacing w:line="360" w:lineRule="auto"/>
        <w:ind w:left="0" w:leftChars="0" w:firstLine="482" w:firstLineChars="200"/>
        <w:rPr>
          <w:rFonts w:hint="eastAsia" w:ascii="宋体" w:hAnsi="宋体" w:eastAsia="宋体" w:cs="宋体"/>
          <w:bCs/>
          <w:sz w:val="24"/>
          <w:szCs w:val="24"/>
          <w:highlight w:val="yellow"/>
        </w:rPr>
      </w:pPr>
      <w:r>
        <w:rPr>
          <w:rFonts w:hint="eastAsia" w:ascii="宋体" w:hAnsi="宋体" w:eastAsia="宋体" w:cs="宋体"/>
          <w:b/>
          <w:bCs w:val="0"/>
          <w:sz w:val="24"/>
          <w:szCs w:val="24"/>
          <w:highlight w:val="yellow"/>
          <w:lang w:val="en-US" w:eastAsia="zh-CN"/>
        </w:rPr>
        <w:t>投标文件中须包含三维设计图及计算校核书等核算依据，并注明所选用物料的规格、型号及材质等关键技术参数；该项目所用加固件的尺寸、选型及材质等，需根据核算依据确定，最终以现场实际情况和会签图纸为准。</w:t>
      </w:r>
    </w:p>
    <w:p w14:paraId="0682F103">
      <w:pPr>
        <w:numPr>
          <w:ilvl w:val="0"/>
          <w:numId w:val="12"/>
        </w:numPr>
        <w:spacing w:line="360" w:lineRule="auto"/>
        <w:ind w:left="0" w:leftChars="0" w:firstLine="480" w:firstLineChars="200"/>
        <w:rPr>
          <w:rFonts w:hint="eastAsia" w:ascii="宋体" w:hAnsi="宋体" w:eastAsia="宋体" w:cs="宋体"/>
          <w:bCs/>
          <w:sz w:val="24"/>
          <w:szCs w:val="24"/>
        </w:rPr>
      </w:pPr>
      <w:r>
        <w:rPr>
          <w:rFonts w:hint="eastAsia" w:ascii="宋体" w:hAnsi="宋体" w:eastAsia="宋体" w:cs="宋体"/>
          <w:bCs/>
          <w:sz w:val="24"/>
          <w:szCs w:val="24"/>
        </w:rPr>
        <w:t>本表所列采购设备仅为主要设备明细，应配套供货以及招标人所列其它货物（或设备）和服务，请投标人认真阅读“供货范围”。若有异议，不管是多么微小，都应在投标文件“商务偏离”章节中予以详细说明。</w:t>
      </w:r>
    </w:p>
    <w:p w14:paraId="204127B4">
      <w:pPr>
        <w:numPr>
          <w:ilvl w:val="0"/>
          <w:numId w:val="12"/>
        </w:numPr>
        <w:spacing w:line="360" w:lineRule="auto"/>
        <w:ind w:left="0" w:leftChars="0" w:firstLine="480" w:firstLineChars="200"/>
        <w:rPr>
          <w:rFonts w:hint="eastAsia" w:eastAsia="宋体"/>
          <w:b/>
          <w:bCs w:val="0"/>
          <w:highlight w:val="none"/>
          <w:lang w:val="en-US" w:eastAsia="zh-CN"/>
        </w:rPr>
      </w:pPr>
      <w:r>
        <w:rPr>
          <w:rFonts w:hint="eastAsia" w:ascii="宋体" w:hAnsi="宋体" w:eastAsia="宋体" w:cs="宋体"/>
          <w:bCs/>
          <w:sz w:val="24"/>
          <w:szCs w:val="24"/>
          <w:highlight w:val="none"/>
        </w:rPr>
        <w:t>本表“供货方式”指：交钥匙方式——包括制造、运输、定点卸货、安装、调试和协助验收以及培训等。</w:t>
      </w:r>
    </w:p>
    <w:p w14:paraId="44389BFE">
      <w:pPr>
        <w:pStyle w:val="13"/>
        <w:rPr>
          <w:rFonts w:hint="eastAsia"/>
        </w:rPr>
      </w:pPr>
    </w:p>
    <w:p w14:paraId="0D986438">
      <w:pPr>
        <w:spacing w:line="360" w:lineRule="auto"/>
        <w:outlineLvl w:val="3"/>
        <w:rPr>
          <w:rFonts w:hint="eastAsia" w:ascii="宋体" w:hAnsi="宋体" w:eastAsia="宋体"/>
          <w:b/>
          <w:sz w:val="24"/>
          <w:szCs w:val="24"/>
        </w:rPr>
      </w:pPr>
      <w:r>
        <w:rPr>
          <w:rFonts w:hint="eastAsia" w:ascii="宋体" w:hAnsi="宋体" w:eastAsia="宋体"/>
          <w:b/>
          <w:sz w:val="24"/>
          <w:szCs w:val="24"/>
        </w:rPr>
        <w:t>四</w:t>
      </w:r>
      <w:r>
        <w:rPr>
          <w:rFonts w:hint="eastAsia" w:ascii="宋体" w:hAnsi="宋体" w:eastAsia="宋体"/>
          <w:b/>
          <w:color w:val="000000"/>
          <w:sz w:val="24"/>
          <w:szCs w:val="24"/>
        </w:rPr>
        <w:t>、采购货物特别说明</w:t>
      </w:r>
    </w:p>
    <w:p w14:paraId="75385C5B">
      <w:pPr>
        <w:spacing w:line="360" w:lineRule="auto"/>
        <w:ind w:firstLine="480" w:firstLineChars="200"/>
        <w:rPr>
          <w:rFonts w:hint="default" w:ascii="宋体" w:hAnsi="宋体" w:eastAsia="宋体" w:cs="宋体"/>
          <w:bCs/>
          <w:sz w:val="24"/>
          <w:szCs w:val="24"/>
          <w:lang w:val="en-US" w:eastAsia="zh-CN"/>
        </w:rPr>
      </w:pPr>
      <w:r>
        <w:rPr>
          <w:rFonts w:hint="eastAsia" w:ascii="宋体" w:hAnsi="宋体" w:eastAsia="宋体" w:cs="宋体"/>
          <w:bCs/>
          <w:sz w:val="24"/>
          <w:szCs w:val="24"/>
        </w:rPr>
        <w:t>主要器件品牌表：</w:t>
      </w:r>
      <w:r>
        <w:rPr>
          <w:rFonts w:hint="eastAsia" w:ascii="宋体" w:hAnsi="宋体" w:eastAsia="宋体" w:cs="宋体"/>
          <w:bCs/>
          <w:sz w:val="24"/>
          <w:szCs w:val="24"/>
          <w:lang w:val="en-US" w:eastAsia="zh-CN"/>
        </w:rPr>
        <w:t>(仅供参考)</w:t>
      </w:r>
    </w:p>
    <w:p w14:paraId="6071342B">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元器件建议按照下表清单中的标准选用，投标方投标时提供选用规格清单,最终规格待图纸会签时确定，</w:t>
      </w:r>
      <w:r>
        <w:rPr>
          <w:rFonts w:hint="eastAsia" w:ascii="宋体" w:hAnsi="宋体" w:eastAsia="宋体" w:cs="宋体"/>
          <w:bCs/>
          <w:sz w:val="24"/>
          <w:szCs w:val="24"/>
          <w:highlight w:val="yellow"/>
        </w:rPr>
        <w:t>可选同等或国内一流品牌。</w:t>
      </w:r>
    </w:p>
    <w:tbl>
      <w:tblPr>
        <w:tblStyle w:val="39"/>
        <w:tblW w:w="94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70" w:type="dxa"/>
          <w:left w:w="108" w:type="dxa"/>
          <w:bottom w:w="170" w:type="dxa"/>
          <w:right w:w="108" w:type="dxa"/>
        </w:tblCellMar>
      </w:tblPr>
      <w:tblGrid>
        <w:gridCol w:w="1031"/>
        <w:gridCol w:w="3039"/>
        <w:gridCol w:w="5370"/>
      </w:tblGrid>
      <w:tr w14:paraId="17845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vAlign w:val="center"/>
          </w:tcPr>
          <w:p w14:paraId="34EB3202">
            <w:pPr>
              <w:widowControl/>
              <w:spacing w:line="320" w:lineRule="exact"/>
              <w:jc w:val="center"/>
              <w:rPr>
                <w:rFonts w:hint="eastAsia" w:ascii="宋体" w:hAnsi="宋体" w:eastAsia="宋体" w:cs="宋体"/>
                <w:b/>
                <w:bCs/>
                <w:kern w:val="0"/>
                <w:szCs w:val="21"/>
              </w:rPr>
            </w:pPr>
            <w:r>
              <w:rPr>
                <w:rFonts w:hint="eastAsia" w:ascii="宋体" w:hAnsi="宋体" w:eastAsia="宋体" w:cs="宋体"/>
                <w:b/>
                <w:bCs/>
                <w:kern w:val="0"/>
                <w:szCs w:val="21"/>
              </w:rPr>
              <w:t>序号</w:t>
            </w:r>
          </w:p>
        </w:tc>
        <w:tc>
          <w:tcPr>
            <w:tcW w:w="3039" w:type="dxa"/>
            <w:vAlign w:val="center"/>
          </w:tcPr>
          <w:p w14:paraId="31AE8BAA">
            <w:pPr>
              <w:widowControl/>
              <w:spacing w:line="320" w:lineRule="exact"/>
              <w:jc w:val="center"/>
              <w:rPr>
                <w:rFonts w:hint="eastAsia" w:ascii="宋体" w:hAnsi="宋体" w:eastAsia="宋体" w:cs="宋体"/>
                <w:b/>
                <w:bCs/>
                <w:kern w:val="0"/>
                <w:szCs w:val="21"/>
              </w:rPr>
            </w:pPr>
            <w:r>
              <w:rPr>
                <w:rFonts w:hint="eastAsia" w:ascii="宋体" w:hAnsi="宋体" w:eastAsia="宋体" w:cs="宋体"/>
                <w:b/>
                <w:bCs/>
                <w:kern w:val="0"/>
                <w:szCs w:val="21"/>
              </w:rPr>
              <w:t>名     称</w:t>
            </w:r>
          </w:p>
        </w:tc>
        <w:tc>
          <w:tcPr>
            <w:tcW w:w="5370" w:type="dxa"/>
            <w:vAlign w:val="center"/>
          </w:tcPr>
          <w:p w14:paraId="17BAD636">
            <w:pPr>
              <w:widowControl/>
              <w:spacing w:line="320" w:lineRule="exact"/>
              <w:jc w:val="center"/>
              <w:rPr>
                <w:rFonts w:hint="eastAsia" w:ascii="宋体" w:hAnsi="宋体" w:eastAsia="宋体" w:cs="宋体"/>
                <w:b/>
                <w:bCs/>
                <w:kern w:val="0"/>
                <w:szCs w:val="21"/>
              </w:rPr>
            </w:pPr>
            <w:r>
              <w:rPr>
                <w:rFonts w:hint="eastAsia" w:ascii="宋体" w:hAnsi="宋体" w:eastAsia="宋体" w:cs="宋体"/>
                <w:b/>
                <w:bCs/>
                <w:kern w:val="0"/>
                <w:szCs w:val="21"/>
              </w:rPr>
              <w:t>品牌</w:t>
            </w:r>
          </w:p>
        </w:tc>
      </w:tr>
      <w:tr w14:paraId="5DECD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vAlign w:val="center"/>
          </w:tcPr>
          <w:p w14:paraId="0EFD095C">
            <w:pPr>
              <w:widowControl/>
              <w:spacing w:line="320" w:lineRule="exact"/>
              <w:jc w:val="center"/>
              <w:rPr>
                <w:rFonts w:hint="eastAsia" w:ascii="宋体" w:hAnsi="宋体" w:eastAsia="宋体" w:cs="宋体"/>
                <w:kern w:val="0"/>
                <w:szCs w:val="21"/>
              </w:rPr>
            </w:pPr>
            <w:r>
              <w:rPr>
                <w:rFonts w:hint="eastAsia" w:ascii="宋体" w:hAnsi="宋体" w:eastAsia="宋体" w:cs="宋体"/>
                <w:kern w:val="0"/>
                <w:szCs w:val="21"/>
              </w:rPr>
              <w:t>1</w:t>
            </w:r>
          </w:p>
        </w:tc>
        <w:tc>
          <w:tcPr>
            <w:tcW w:w="3039" w:type="dxa"/>
            <w:vAlign w:val="center"/>
          </w:tcPr>
          <w:p w14:paraId="5260D310">
            <w:pPr>
              <w:jc w:val="center"/>
              <w:rPr>
                <w:rFonts w:hint="eastAsia" w:ascii="宋体" w:hAnsi="宋体" w:eastAsia="宋体" w:cs="宋体"/>
                <w:color w:val="000000"/>
                <w:szCs w:val="21"/>
              </w:rPr>
            </w:pPr>
            <w:r>
              <w:rPr>
                <w:rFonts w:hint="eastAsia" w:ascii="宋体" w:hAnsi="宋体" w:eastAsia="宋体" w:cs="宋体"/>
                <w:b/>
                <w:bCs/>
                <w:color w:val="000000"/>
                <w:szCs w:val="21"/>
              </w:rPr>
              <w:t>变频器</w:t>
            </w:r>
          </w:p>
        </w:tc>
        <w:tc>
          <w:tcPr>
            <w:tcW w:w="5370" w:type="dxa"/>
            <w:vAlign w:val="center"/>
          </w:tcPr>
          <w:p w14:paraId="6CD248E8">
            <w:pPr>
              <w:widowControl/>
              <w:spacing w:line="320" w:lineRule="exact"/>
              <w:jc w:val="center"/>
              <w:rPr>
                <w:rFonts w:hint="eastAsia" w:ascii="宋体" w:hAnsi="宋体" w:eastAsia="宋体" w:cs="宋体"/>
                <w:kern w:val="0"/>
                <w:szCs w:val="21"/>
              </w:rPr>
            </w:pPr>
            <w:r>
              <w:rPr>
                <w:rFonts w:hint="eastAsia" w:ascii="宋体" w:hAnsi="宋体" w:eastAsia="宋体" w:cs="宋体"/>
                <w:kern w:val="0"/>
                <w:szCs w:val="21"/>
              </w:rPr>
              <w:t>西门子</w:t>
            </w:r>
          </w:p>
        </w:tc>
      </w:tr>
      <w:tr w14:paraId="243D5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vAlign w:val="center"/>
          </w:tcPr>
          <w:p w14:paraId="20EBE2A9">
            <w:pPr>
              <w:widowControl/>
              <w:spacing w:line="320" w:lineRule="exact"/>
              <w:jc w:val="center"/>
              <w:rPr>
                <w:rFonts w:hint="eastAsia" w:ascii="宋体" w:hAnsi="宋体" w:eastAsia="宋体" w:cs="宋体"/>
                <w:kern w:val="0"/>
                <w:szCs w:val="21"/>
                <w:lang w:eastAsia="zh-CN"/>
              </w:rPr>
            </w:pPr>
            <w:r>
              <w:rPr>
                <w:rFonts w:hint="eastAsia" w:ascii="宋体" w:hAnsi="宋体" w:eastAsia="宋体" w:cs="宋体"/>
                <w:kern w:val="0"/>
                <w:szCs w:val="21"/>
                <w:lang w:val="en-US" w:eastAsia="zh-CN"/>
              </w:rPr>
              <w:t>2</w:t>
            </w:r>
          </w:p>
        </w:tc>
        <w:tc>
          <w:tcPr>
            <w:tcW w:w="3039" w:type="dxa"/>
            <w:vAlign w:val="center"/>
          </w:tcPr>
          <w:p w14:paraId="02ADA430">
            <w:pPr>
              <w:jc w:val="center"/>
              <w:rPr>
                <w:rFonts w:hint="eastAsia" w:ascii="宋体" w:hAnsi="宋体" w:eastAsia="宋体" w:cs="宋体"/>
                <w:b/>
                <w:bCs/>
                <w:color w:val="000000"/>
                <w:szCs w:val="21"/>
              </w:rPr>
            </w:pPr>
            <w:r>
              <w:rPr>
                <w:rFonts w:hint="eastAsia" w:ascii="宋体" w:hAnsi="宋体" w:eastAsia="宋体" w:cs="宋体"/>
                <w:b/>
                <w:bCs/>
                <w:color w:val="000000"/>
                <w:szCs w:val="21"/>
              </w:rPr>
              <w:t>电机</w:t>
            </w:r>
          </w:p>
        </w:tc>
        <w:tc>
          <w:tcPr>
            <w:tcW w:w="5370" w:type="dxa"/>
            <w:vAlign w:val="center"/>
          </w:tcPr>
          <w:p w14:paraId="7227C3E1">
            <w:pPr>
              <w:widowControl/>
              <w:spacing w:line="320" w:lineRule="exact"/>
              <w:jc w:val="center"/>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SEW</w:t>
            </w:r>
            <w:r>
              <w:rPr>
                <w:rFonts w:hint="eastAsia" w:ascii="宋体" w:hAnsi="宋体" w:eastAsia="宋体" w:cs="宋体"/>
                <w:kern w:val="0"/>
                <w:szCs w:val="21"/>
              </w:rPr>
              <w:t>一级</w:t>
            </w:r>
            <w:r>
              <w:rPr>
                <w:rFonts w:hint="eastAsia" w:ascii="宋体" w:hAnsi="宋体" w:eastAsia="宋体" w:cs="宋体"/>
                <w:kern w:val="0"/>
                <w:szCs w:val="21"/>
                <w:lang w:val="en-US" w:eastAsia="zh-CN"/>
              </w:rPr>
              <w:t>能效</w:t>
            </w:r>
          </w:p>
        </w:tc>
      </w:tr>
      <w:tr w14:paraId="49902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170" w:type="dxa"/>
            <w:right w:w="108" w:type="dxa"/>
          </w:tblCellMar>
        </w:tblPrEx>
        <w:trPr>
          <w:trHeight w:val="23" w:hRule="atLeast"/>
          <w:jc w:val="center"/>
        </w:trPr>
        <w:tc>
          <w:tcPr>
            <w:tcW w:w="1031" w:type="dxa"/>
            <w:vAlign w:val="center"/>
          </w:tcPr>
          <w:p w14:paraId="61826F09">
            <w:pPr>
              <w:widowControl/>
              <w:spacing w:line="320" w:lineRule="exact"/>
              <w:jc w:val="center"/>
              <w:rPr>
                <w:rFonts w:hint="eastAsia" w:ascii="宋体" w:hAnsi="宋体" w:eastAsia="宋体" w:cs="宋体"/>
                <w:kern w:val="0"/>
                <w:szCs w:val="21"/>
                <w:lang w:eastAsia="zh-CN"/>
              </w:rPr>
            </w:pPr>
            <w:r>
              <w:rPr>
                <w:rFonts w:hint="eastAsia" w:ascii="宋体" w:hAnsi="宋体" w:eastAsia="宋体" w:cs="宋体"/>
                <w:kern w:val="0"/>
                <w:szCs w:val="21"/>
                <w:lang w:val="en-US" w:eastAsia="zh-CN"/>
              </w:rPr>
              <w:t>3</w:t>
            </w:r>
          </w:p>
        </w:tc>
        <w:tc>
          <w:tcPr>
            <w:tcW w:w="3039" w:type="dxa"/>
            <w:vAlign w:val="center"/>
          </w:tcPr>
          <w:p w14:paraId="524E63A9">
            <w:pPr>
              <w:jc w:val="center"/>
              <w:rPr>
                <w:rFonts w:hint="eastAsia" w:ascii="宋体" w:hAnsi="宋体" w:eastAsia="宋体" w:cs="宋体"/>
                <w:b/>
                <w:bCs/>
                <w:color w:val="000000"/>
                <w:szCs w:val="21"/>
              </w:rPr>
            </w:pPr>
            <w:r>
              <w:rPr>
                <w:rFonts w:hint="eastAsia" w:ascii="宋体" w:hAnsi="宋体" w:eastAsia="宋体" w:cs="宋体"/>
                <w:b/>
                <w:bCs/>
                <w:color w:val="000000"/>
                <w:szCs w:val="21"/>
              </w:rPr>
              <w:t>数字量输入模块</w:t>
            </w:r>
          </w:p>
        </w:tc>
        <w:tc>
          <w:tcPr>
            <w:tcW w:w="5370" w:type="dxa"/>
            <w:vAlign w:val="center"/>
          </w:tcPr>
          <w:p w14:paraId="4832F8B7">
            <w:pPr>
              <w:widowControl/>
              <w:spacing w:line="320" w:lineRule="exact"/>
              <w:jc w:val="center"/>
              <w:rPr>
                <w:rFonts w:hint="eastAsia" w:ascii="宋体" w:hAnsi="宋体" w:eastAsia="宋体" w:cs="宋体"/>
                <w:kern w:val="0"/>
                <w:szCs w:val="21"/>
              </w:rPr>
            </w:pPr>
            <w:r>
              <w:rPr>
                <w:rFonts w:hint="eastAsia" w:ascii="宋体" w:hAnsi="宋体" w:eastAsia="宋体" w:cs="宋体"/>
                <w:kern w:val="0"/>
                <w:szCs w:val="21"/>
              </w:rPr>
              <w:t>西门子</w:t>
            </w:r>
          </w:p>
        </w:tc>
      </w:tr>
    </w:tbl>
    <w:p w14:paraId="47EE2204">
      <w:pPr>
        <w:pStyle w:val="13"/>
        <w:rPr>
          <w:rFonts w:hint="eastAsia"/>
        </w:rPr>
      </w:pPr>
    </w:p>
    <w:p w14:paraId="5C2D7174">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招标方所列货物的名称和规格型号，如为某一供应商所特有，则该名称和规格型号可作参考；但要求投标方所提供的货物必须满足本技术标书实质性要求。</w:t>
      </w:r>
    </w:p>
    <w:p w14:paraId="50681806">
      <w:pPr>
        <w:spacing w:line="360" w:lineRule="auto"/>
        <w:rPr>
          <w:rFonts w:hint="eastAsia" w:ascii="宋体" w:hAnsi="宋体" w:eastAsia="宋体"/>
          <w:sz w:val="24"/>
          <w:szCs w:val="24"/>
        </w:rPr>
      </w:pPr>
      <w:r>
        <w:rPr>
          <w:rFonts w:hint="eastAsia" w:ascii="宋体" w:hAnsi="宋体" w:eastAsia="宋体"/>
          <w:b/>
          <w:sz w:val="24"/>
          <w:szCs w:val="24"/>
        </w:rPr>
        <w:t>五、投标要求</w:t>
      </w:r>
    </w:p>
    <w:p w14:paraId="14682DF5">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1、投标方须对济南卡车制造公司党家庄厂区总三车间总装北线加固改造技改项目施工详细内容充分分析，根据需求并提供详细的工艺方案，同时以此为报价基础。</w:t>
      </w:r>
    </w:p>
    <w:p w14:paraId="0FB5F6B1">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2、中标人对设备质量和可靠性负责。</w:t>
      </w:r>
    </w:p>
    <w:p w14:paraId="2333D06F">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3、中标人应审查施工图纸，在工艺流程、布置及油壶口位置不变的情况下，如发现问题，可对加注形式、设备结构、用电量等工艺参数提出修改意见和改进措施。对设备的运转质量负最终责任。对设计修改部分提供完整技术资料。</w:t>
      </w:r>
    </w:p>
    <w:p w14:paraId="3082EE33">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4、中标人对中标设备的制造、安装、调试提供系列服务，具体如下：</w:t>
      </w:r>
    </w:p>
    <w:p w14:paraId="306CAC46">
      <w:pPr>
        <w:spacing w:line="360" w:lineRule="auto"/>
        <w:ind w:firstLine="480" w:firstLineChars="200"/>
        <w:rPr>
          <w:rFonts w:hint="eastAsia" w:ascii="宋体" w:hAnsi="宋体" w:eastAsia="宋体"/>
          <w:bCs/>
          <w:sz w:val="24"/>
          <w:szCs w:val="24"/>
          <w:highlight w:val="cyan"/>
        </w:rPr>
      </w:pPr>
      <w:r>
        <w:rPr>
          <w:rFonts w:hint="eastAsia" w:ascii="宋体" w:hAnsi="宋体" w:eastAsia="宋体"/>
          <w:bCs/>
          <w:sz w:val="24"/>
          <w:szCs w:val="24"/>
          <w:highlight w:val="yellow"/>
        </w:rPr>
        <w:t>原则上，本项目中电机功率＞7.5kW,必须选用一级能效。电机功率&lt;7.5kW，优先选用一级能效；其中对于能源供应类设备及年运行时间≥2000h工艺设备的电机必须选用一级能效。杜绝选用三级及以下能效。</w:t>
      </w:r>
    </w:p>
    <w:p w14:paraId="2705D2BB">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设备颜色符合《Q-ZZ30070设备设施颜色标识》规定，外观无明显缺陷，重新焊接完成后，对焊接位置进行重新刷漆。</w:t>
      </w:r>
    </w:p>
    <w:p w14:paraId="338FC8CD">
      <w:pPr>
        <w:numPr>
          <w:ilvl w:val="0"/>
          <w:numId w:val="13"/>
        </w:numPr>
        <w:spacing w:line="360" w:lineRule="auto"/>
        <w:rPr>
          <w:rFonts w:hint="eastAsia" w:ascii="宋体" w:hAnsi="宋体" w:eastAsia="宋体"/>
          <w:bCs/>
          <w:sz w:val="24"/>
          <w:szCs w:val="24"/>
        </w:rPr>
      </w:pPr>
      <w:r>
        <w:rPr>
          <w:rFonts w:hint="eastAsia" w:ascii="宋体" w:hAnsi="宋体" w:eastAsia="宋体"/>
          <w:bCs/>
          <w:sz w:val="24"/>
          <w:szCs w:val="24"/>
        </w:rPr>
        <w:t>主、辅材的采购、供应；</w:t>
      </w:r>
    </w:p>
    <w:p w14:paraId="3968526C">
      <w:pPr>
        <w:numPr>
          <w:ilvl w:val="0"/>
          <w:numId w:val="13"/>
        </w:numPr>
        <w:spacing w:line="360" w:lineRule="auto"/>
        <w:rPr>
          <w:rFonts w:hint="eastAsia" w:ascii="宋体" w:hAnsi="宋体" w:eastAsia="宋体"/>
          <w:bCs/>
          <w:sz w:val="24"/>
          <w:szCs w:val="24"/>
        </w:rPr>
      </w:pPr>
      <w:r>
        <w:rPr>
          <w:rFonts w:hint="eastAsia" w:ascii="宋体" w:hAnsi="宋体" w:eastAsia="宋体"/>
          <w:bCs/>
          <w:sz w:val="24"/>
          <w:szCs w:val="24"/>
        </w:rPr>
        <w:t>非标设备的加工、制作、安装；</w:t>
      </w:r>
    </w:p>
    <w:p w14:paraId="22B3D2C6">
      <w:pPr>
        <w:numPr>
          <w:ilvl w:val="0"/>
          <w:numId w:val="13"/>
        </w:numPr>
        <w:spacing w:line="360" w:lineRule="auto"/>
        <w:rPr>
          <w:rFonts w:hint="eastAsia" w:ascii="宋体" w:hAnsi="宋体" w:eastAsia="宋体"/>
          <w:bCs/>
          <w:sz w:val="24"/>
          <w:szCs w:val="24"/>
        </w:rPr>
      </w:pPr>
      <w:r>
        <w:rPr>
          <w:rFonts w:hint="eastAsia" w:ascii="宋体" w:hAnsi="宋体" w:eastAsia="宋体"/>
          <w:bCs/>
          <w:sz w:val="24"/>
          <w:szCs w:val="24"/>
        </w:rPr>
        <w:t>除业主方提供外的机械及电气外购件、标准件的采购、供应，根据性能价格较优的原则选定供货厂商，并对外购件的质量负责；</w:t>
      </w:r>
    </w:p>
    <w:p w14:paraId="1961CC8F">
      <w:pPr>
        <w:numPr>
          <w:ilvl w:val="0"/>
          <w:numId w:val="13"/>
        </w:numPr>
        <w:spacing w:line="360" w:lineRule="auto"/>
        <w:rPr>
          <w:rFonts w:hint="eastAsia" w:ascii="宋体" w:hAnsi="宋体" w:eastAsia="宋体"/>
          <w:bCs/>
          <w:sz w:val="24"/>
          <w:szCs w:val="24"/>
        </w:rPr>
      </w:pPr>
      <w:r>
        <w:rPr>
          <w:rFonts w:hint="eastAsia" w:ascii="宋体" w:hAnsi="宋体" w:eastAsia="宋体"/>
          <w:bCs/>
          <w:sz w:val="24"/>
          <w:szCs w:val="24"/>
        </w:rPr>
        <w:t>负责土建施工，负责检查各种预留孔洞、沟槽和预埋件的位置、尺寸；</w:t>
      </w:r>
    </w:p>
    <w:p w14:paraId="7ACA78AA">
      <w:pPr>
        <w:numPr>
          <w:ilvl w:val="0"/>
          <w:numId w:val="13"/>
        </w:numPr>
        <w:spacing w:line="360" w:lineRule="auto"/>
        <w:rPr>
          <w:rFonts w:hint="eastAsia" w:ascii="宋体" w:hAnsi="宋体" w:eastAsia="宋体"/>
          <w:bCs/>
          <w:sz w:val="24"/>
          <w:szCs w:val="24"/>
        </w:rPr>
      </w:pPr>
      <w:r>
        <w:rPr>
          <w:rFonts w:hint="eastAsia" w:ascii="宋体" w:hAnsi="宋体" w:eastAsia="宋体"/>
          <w:bCs/>
          <w:sz w:val="24"/>
          <w:szCs w:val="24"/>
        </w:rPr>
        <w:t>建立健全安全、保卫、卫生、消防制度，保证工程顺利进行；</w:t>
      </w:r>
    </w:p>
    <w:p w14:paraId="27810C54">
      <w:pPr>
        <w:numPr>
          <w:ilvl w:val="0"/>
          <w:numId w:val="13"/>
        </w:numPr>
        <w:spacing w:line="360" w:lineRule="auto"/>
        <w:rPr>
          <w:rFonts w:hint="eastAsia" w:ascii="宋体" w:hAnsi="宋体" w:eastAsia="宋体"/>
          <w:bCs/>
          <w:sz w:val="24"/>
          <w:szCs w:val="24"/>
        </w:rPr>
      </w:pPr>
      <w:r>
        <w:rPr>
          <w:rFonts w:hint="eastAsia" w:ascii="宋体" w:hAnsi="宋体" w:eastAsia="宋体"/>
          <w:bCs/>
          <w:sz w:val="24"/>
          <w:szCs w:val="24"/>
        </w:rPr>
        <w:t>施工人员的食宿及费用；</w:t>
      </w:r>
    </w:p>
    <w:p w14:paraId="446FA88B">
      <w:pPr>
        <w:numPr>
          <w:ilvl w:val="0"/>
          <w:numId w:val="13"/>
        </w:numPr>
        <w:spacing w:line="360" w:lineRule="auto"/>
        <w:rPr>
          <w:rFonts w:hint="eastAsia" w:ascii="宋体" w:hAnsi="宋体" w:eastAsia="宋体"/>
          <w:bCs/>
          <w:sz w:val="24"/>
          <w:szCs w:val="24"/>
        </w:rPr>
      </w:pPr>
      <w:r>
        <w:rPr>
          <w:rFonts w:hint="eastAsia" w:ascii="宋体" w:hAnsi="宋体" w:eastAsia="宋体"/>
          <w:bCs/>
          <w:sz w:val="24"/>
          <w:szCs w:val="24"/>
        </w:rPr>
        <w:t>安装现场制作所需的设备、工具；</w:t>
      </w:r>
    </w:p>
    <w:p w14:paraId="34324BA3">
      <w:pPr>
        <w:numPr>
          <w:ilvl w:val="0"/>
          <w:numId w:val="13"/>
        </w:numPr>
        <w:spacing w:line="360" w:lineRule="auto"/>
        <w:rPr>
          <w:rFonts w:hint="eastAsia" w:ascii="宋体" w:hAnsi="宋体" w:eastAsia="宋体"/>
          <w:bCs/>
          <w:sz w:val="24"/>
          <w:szCs w:val="24"/>
        </w:rPr>
      </w:pPr>
      <w:r>
        <w:rPr>
          <w:rFonts w:hint="eastAsia" w:ascii="宋体" w:hAnsi="宋体" w:eastAsia="宋体"/>
          <w:bCs/>
          <w:sz w:val="24"/>
          <w:szCs w:val="24"/>
        </w:rPr>
        <w:t>配合业主方进行工艺调试；</w:t>
      </w:r>
    </w:p>
    <w:p w14:paraId="2FBD9EE8">
      <w:pPr>
        <w:numPr>
          <w:ilvl w:val="0"/>
          <w:numId w:val="13"/>
        </w:numPr>
        <w:spacing w:line="360" w:lineRule="auto"/>
        <w:rPr>
          <w:rFonts w:hint="eastAsia" w:ascii="宋体" w:hAnsi="宋体" w:eastAsia="宋体"/>
          <w:bCs/>
          <w:sz w:val="24"/>
          <w:szCs w:val="24"/>
        </w:rPr>
      </w:pPr>
      <w:r>
        <w:rPr>
          <w:rFonts w:hint="eastAsia" w:ascii="宋体" w:hAnsi="宋体" w:eastAsia="宋体"/>
          <w:bCs/>
          <w:sz w:val="24"/>
          <w:szCs w:val="24"/>
        </w:rPr>
        <w:t>负责人员培训及售后服务；</w:t>
      </w:r>
    </w:p>
    <w:p w14:paraId="746F6E6A">
      <w:pPr>
        <w:numPr>
          <w:ilvl w:val="0"/>
          <w:numId w:val="13"/>
        </w:numPr>
        <w:spacing w:line="360" w:lineRule="auto"/>
        <w:rPr>
          <w:rFonts w:hint="eastAsia" w:ascii="宋体" w:hAnsi="宋体" w:eastAsia="宋体"/>
          <w:bCs/>
          <w:sz w:val="24"/>
          <w:szCs w:val="24"/>
        </w:rPr>
      </w:pPr>
      <w:r>
        <w:rPr>
          <w:rFonts w:hint="eastAsia" w:ascii="宋体" w:hAnsi="宋体" w:eastAsia="宋体"/>
          <w:bCs/>
          <w:sz w:val="24"/>
          <w:szCs w:val="24"/>
        </w:rPr>
        <w:t>从生产厂到交货地点的包装、运输；</w:t>
      </w:r>
    </w:p>
    <w:p w14:paraId="7D764512">
      <w:pPr>
        <w:numPr>
          <w:ilvl w:val="0"/>
          <w:numId w:val="13"/>
        </w:numPr>
        <w:spacing w:line="360" w:lineRule="auto"/>
        <w:rPr>
          <w:rFonts w:hint="eastAsia" w:ascii="宋体" w:hAnsi="宋体" w:eastAsia="宋体"/>
          <w:bCs/>
          <w:sz w:val="24"/>
          <w:szCs w:val="24"/>
        </w:rPr>
      </w:pPr>
      <w:r>
        <w:rPr>
          <w:rFonts w:hint="eastAsia" w:ascii="宋体" w:hAnsi="宋体" w:eastAsia="宋体"/>
          <w:bCs/>
          <w:sz w:val="24"/>
          <w:szCs w:val="24"/>
        </w:rPr>
        <w:t>参与设备验收，提供竣工图与竣工报告等技术文件，及时办理移交手续；</w:t>
      </w:r>
    </w:p>
    <w:p w14:paraId="74B5B372">
      <w:pPr>
        <w:numPr>
          <w:ilvl w:val="0"/>
          <w:numId w:val="13"/>
        </w:numPr>
        <w:spacing w:line="360" w:lineRule="auto"/>
        <w:rPr>
          <w:rFonts w:hint="eastAsia" w:ascii="宋体" w:hAnsi="宋体" w:eastAsia="宋体"/>
          <w:bCs/>
          <w:sz w:val="24"/>
          <w:szCs w:val="24"/>
        </w:rPr>
      </w:pPr>
      <w:bookmarkStart w:id="35" w:name="_Hlk206399421"/>
      <w:r>
        <w:rPr>
          <w:rFonts w:hint="eastAsia" w:ascii="宋体" w:hAnsi="宋体" w:eastAsia="宋体"/>
          <w:bCs/>
          <w:sz w:val="24"/>
          <w:szCs w:val="24"/>
        </w:rPr>
        <w:t>其他招标方的施工要求。</w:t>
      </w:r>
    </w:p>
    <w:bookmarkEnd w:id="35"/>
    <w:p w14:paraId="6FBE188E">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6、在现场制作的关键部件，必须经委托方检验合格后，方可进行涂漆、组装。合格品才能运抵施工现场。</w:t>
      </w:r>
    </w:p>
    <w:p w14:paraId="27DAF761">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7、中标方服从招标方对现场、安全的管理。</w:t>
      </w:r>
    </w:p>
    <w:p w14:paraId="0DB93E50">
      <w:pPr>
        <w:widowControl/>
        <w:spacing w:line="360" w:lineRule="auto"/>
        <w:jc w:val="left"/>
        <w:rPr>
          <w:rFonts w:hint="eastAsia" w:ascii="宋体" w:hAnsi="宋体" w:eastAsia="宋体"/>
          <w:sz w:val="24"/>
          <w:szCs w:val="24"/>
        </w:rPr>
      </w:pPr>
    </w:p>
    <w:p w14:paraId="3AD080F1">
      <w:pPr>
        <w:widowControl/>
        <w:spacing w:line="360" w:lineRule="auto"/>
        <w:jc w:val="left"/>
        <w:rPr>
          <w:rFonts w:hint="eastAsia" w:ascii="宋体" w:hAnsi="宋体" w:eastAsia="宋体"/>
          <w:sz w:val="24"/>
          <w:szCs w:val="24"/>
        </w:rPr>
      </w:pPr>
    </w:p>
    <w:p w14:paraId="50A464B0">
      <w:pPr>
        <w:keepNext/>
        <w:keepLines/>
        <w:spacing w:before="120" w:after="120" w:line="480" w:lineRule="exact"/>
        <w:jc w:val="center"/>
        <w:outlineLvl w:val="1"/>
        <w:rPr>
          <w:rFonts w:hint="eastAsia" w:ascii="宋体" w:hAnsi="宋体" w:eastAsia="宋体"/>
          <w:bCs/>
          <w:kern w:val="44"/>
          <w:sz w:val="28"/>
          <w:szCs w:val="28"/>
        </w:rPr>
      </w:pPr>
      <w:bookmarkStart w:id="36" w:name="_Toc169605880"/>
      <w:bookmarkStart w:id="37" w:name="_Toc169605881"/>
      <w:r>
        <w:rPr>
          <w:rFonts w:hint="eastAsia" w:ascii="宋体" w:hAnsi="宋体" w:eastAsia="宋体"/>
          <w:b/>
          <w:bCs/>
          <w:kern w:val="44"/>
          <w:sz w:val="28"/>
          <w:szCs w:val="28"/>
        </w:rPr>
        <w:t>第二章技术要求</w:t>
      </w:r>
      <w:bookmarkEnd w:id="36"/>
    </w:p>
    <w:p w14:paraId="5DD928EB">
      <w:pPr>
        <w:pStyle w:val="116"/>
        <w:spacing w:line="360" w:lineRule="auto"/>
        <w:ind w:firstLine="482" w:firstLineChars="200"/>
        <w:outlineLvl w:val="2"/>
        <w:rPr>
          <w:rFonts w:hint="eastAsia" w:eastAsia="宋体" w:cs="宋体"/>
          <w:b/>
          <w:bCs w:val="0"/>
          <w:sz w:val="24"/>
          <w:szCs w:val="24"/>
        </w:rPr>
      </w:pPr>
      <w:r>
        <w:rPr>
          <w:rFonts w:hint="eastAsia" w:eastAsia="宋体" w:cs="宋体"/>
          <w:b/>
          <w:bCs w:val="0"/>
          <w:sz w:val="24"/>
          <w:szCs w:val="24"/>
        </w:rPr>
        <w:t>一、特别提示</w:t>
      </w:r>
    </w:p>
    <w:p w14:paraId="192E7B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sz w:val="24"/>
          <w:szCs w:val="24"/>
        </w:rPr>
      </w:pPr>
      <w:r>
        <w:rPr>
          <w:rFonts w:hint="eastAsia" w:ascii="宋体" w:hAnsi="宋体" w:eastAsia="宋体"/>
          <w:sz w:val="24"/>
          <w:szCs w:val="24"/>
        </w:rPr>
        <w:t>1.本章技术要求，仅对功能、设计、结构、性能、安装和试验检验等方面，提出了最低和一般性的技术要求，并未对一切技术细节作出规定</w:t>
      </w:r>
      <w:r>
        <w:rPr>
          <w:rFonts w:hint="eastAsia" w:ascii="宋体" w:hAnsi="宋体" w:eastAsia="宋体"/>
          <w:sz w:val="24"/>
          <w:szCs w:val="24"/>
          <w:lang w:eastAsia="zh-CN"/>
        </w:rPr>
        <w:t>，也未充分引述有关标准、规程和规范的条文，投标方保证提供符合本招标技术条件和有关中国国家现行最新标准(GB系列)和有关行业最新标准要求的优质设计及设备；同时满足中国国家有关安全、环保等强制性法规、标准的要求。投标方须详细列出包括设计、制造、检验、供货、验收等所采用的标准、规程和规范名称供招标方审查确认。但不能免除投标方在保证单个设备材料的质量、性能符合本技术条件要求方面应承担的责任</w:t>
      </w:r>
      <w:r>
        <w:rPr>
          <w:rFonts w:hint="eastAsia" w:ascii="宋体" w:hAnsi="宋体" w:eastAsia="宋体"/>
          <w:sz w:val="24"/>
          <w:szCs w:val="24"/>
        </w:rPr>
        <w:t>。</w:t>
      </w:r>
    </w:p>
    <w:p w14:paraId="23955FD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sz w:val="24"/>
          <w:szCs w:val="24"/>
        </w:rPr>
      </w:pPr>
      <w:r>
        <w:rPr>
          <w:rFonts w:hint="eastAsia" w:ascii="宋体" w:hAnsi="宋体" w:eastAsia="宋体"/>
          <w:sz w:val="24"/>
          <w:szCs w:val="24"/>
        </w:rPr>
        <w:t xml:space="preserve"> *1.2 投标方积极协助和提供招标方和招标方所委托的工程设计单位有关人员所需要的、和设备（或材料）有关的工程设计资料、技术咨询等。</w:t>
      </w:r>
    </w:p>
    <w:p w14:paraId="3987C62E">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*1.3 本招标技术条件所使用的标准如与投标方所执行的标准水平不一致时，按较高标准执行。如果本招标技术条件与现行使用的有关国家标准以及有关行业最新标准有明显抵触的条文，投标方应及时书面通知招标方进行解决。</w:t>
      </w:r>
    </w:p>
    <w:p w14:paraId="7B40DCB9">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1.4 投标方所供的设备，必须符合中国最新版的法律、法规和相关标准、规范的要求。</w:t>
      </w:r>
    </w:p>
    <w:p w14:paraId="6FD4D29A">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1.5 投标方所供设备涉及的专利权技术以及知识产权保护其它技术等，应保证招标方不因此受到第三方侵权指控以及实际损失。</w:t>
      </w:r>
    </w:p>
    <w:p w14:paraId="22C04FD3">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1.6 投标方应满足招标方提出的各项技术要求，应保证所供货物的先进性、可靠性、经济性和实用性，并为全新设备，投标人应保证所供货物的完整性和成套性，能保证货物的正常运行、使用。</w:t>
      </w:r>
    </w:p>
    <w:p w14:paraId="12B13822">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1.7 投标方应对招标方采购的设备所涉及的技术、产能等信息负有保密义务。</w:t>
      </w:r>
    </w:p>
    <w:p w14:paraId="27AEF285">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1.8 本技术要求，仅对功能、设计、结构、性能、安装和试验等方面，提出了最低和一般性的技术要求；并未对一切技术细节做出规定，未充分引述有关标准和规范的条文。投标方应保证提供的货物是符合本技术标书和国家最新的有关标准、规范的优质产品。若有异议，不管是多么微小，都应在投标文件“技术偏离”中予以详细说明。</w:t>
      </w:r>
    </w:p>
    <w:p w14:paraId="44429215">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1.9 本技术要求所使用的标准、规范等，如与投标方所执行的标准、规范不一致时，应按高于本技术要求所列的标准、规范执行，并在投标文件“技术偏离”中予以说明。</w:t>
      </w:r>
    </w:p>
    <w:p w14:paraId="458F87B4">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1.10 投标方认为所供货物必需由招标方配备、解决或提供的其它要求，投标人应满足招标人提出的各项技术要求，必要时应当免费提供技术承诺或担保。</w:t>
      </w:r>
    </w:p>
    <w:p w14:paraId="437DBF5A">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1.11 投标方应根据招投标货物具体要求，提出对厂房、设备基础（或安装平台）、公用设施、消防、环保等超出招标文件、投标文件、答疑文件、技术交流文件、技术协议书和合同等规定的、有特殊需要的解释、说明和要求</w:t>
      </w:r>
    </w:p>
    <w:p w14:paraId="0BBD766B">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1.12 投标方可以根据自身经验以及对本技术规范书和招标文件的理解，写明买方招标设备应进行的优于招标文件要求的其它方案或建议意见；投标方的这些努力，买方表示感谢，并将有助于投标方优先胜出；即使有建议意见或建议方案，仍应依据招标文件要求，编写符合要求的投标文件。建议方案或建议意见，应以单独篇章或文件，予以说明。</w:t>
      </w:r>
    </w:p>
    <w:p w14:paraId="1949AE39">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*1.13 投标时提供的内容必须进行详细说明。在投标时提供设备主要部件、外购件明细表、易损件备品备件清单和相应特殊维修工具明细等，要考虑这些部件在中国使用的可行性。并提供关键部件的质保周期和响应时间清单。</w:t>
      </w:r>
    </w:p>
    <w:p w14:paraId="4DAC9616">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*1.14 在本标书中没有提及到的部分，所有供应商必须保证设备各部分功能齐全并便于使用，这部分价格应该包含在报价中，而不得另行加价。</w:t>
      </w:r>
    </w:p>
    <w:p w14:paraId="01EE8E8B">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*1.15 本项目中所有改造均不可影响卡车公司总装线及分装线正常生产。</w:t>
      </w:r>
    </w:p>
    <w:p w14:paraId="3CFA9570">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1.16 本招标文件中所有加注“*”的条款为否决项，不允许出现偏离。</w:t>
      </w:r>
    </w:p>
    <w:p w14:paraId="7F04503E">
      <w:pPr>
        <w:pStyle w:val="2"/>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1.17 环境条件</w:t>
      </w:r>
    </w:p>
    <w:p w14:paraId="003AE100">
      <w:pPr>
        <w:pStyle w:val="2"/>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a.环境温度：-25℃～55℃；</w:t>
      </w:r>
    </w:p>
    <w:p w14:paraId="187FA82F">
      <w:pPr>
        <w:pStyle w:val="2"/>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b.相对湿度：5％～95％；</w:t>
      </w:r>
    </w:p>
    <w:p w14:paraId="1B9D56DD">
      <w:pPr>
        <w:pStyle w:val="2"/>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c.海拔高度：≤2000m；</w:t>
      </w:r>
    </w:p>
    <w:p w14:paraId="1F1F97DE">
      <w:pPr>
        <w:pStyle w:val="2"/>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d.大气压强：80kPa～110kPa；</w:t>
      </w:r>
    </w:p>
    <w:p w14:paraId="49934EFB">
      <w:pPr>
        <w:pStyle w:val="2"/>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e.电力:中国制式，三相五线制供电，供电电压 380V士10%/220V士10%，供电频率50Hz士0.5Hz。</w:t>
      </w:r>
    </w:p>
    <w:p w14:paraId="005AB8C4">
      <w:pPr>
        <w:pStyle w:val="2"/>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1.18 投标方应在确保改造后的产线可以安全稳定运行，并且具备生产现有及项目内要求的新增车型的能力。</w:t>
      </w:r>
    </w:p>
    <w:p w14:paraId="2386DAA3">
      <w:pPr>
        <w:pStyle w:val="2"/>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1.19 投标方认为所供货物必需由招标方配备、解决或提供的其它要求，如设备基础隔振和减振设施、洁净气源等，均应在投标文件中予以充分说明。</w:t>
      </w:r>
    </w:p>
    <w:p w14:paraId="1CF425E7">
      <w:pPr>
        <w:pStyle w:val="116"/>
        <w:spacing w:line="360" w:lineRule="auto"/>
        <w:ind w:firstLine="482" w:firstLineChars="200"/>
        <w:outlineLvl w:val="2"/>
        <w:rPr>
          <w:rFonts w:hint="eastAsia" w:eastAsia="宋体" w:cs="宋体"/>
          <w:b/>
          <w:bCs w:val="0"/>
          <w:sz w:val="24"/>
          <w:szCs w:val="24"/>
        </w:rPr>
      </w:pPr>
      <w:r>
        <w:rPr>
          <w:rFonts w:hint="eastAsia" w:eastAsia="宋体" w:cs="宋体"/>
          <w:b/>
          <w:bCs w:val="0"/>
          <w:sz w:val="24"/>
          <w:szCs w:val="24"/>
        </w:rPr>
        <w:t>二、基本要求</w:t>
      </w:r>
    </w:p>
    <w:p w14:paraId="32B8EA02">
      <w:pPr>
        <w:spacing w:line="360" w:lineRule="auto"/>
        <w:ind w:firstLine="480" w:firstLineChars="200"/>
        <w:rPr>
          <w:rFonts w:hint="eastAsia" w:ascii="宋体" w:hAnsi="宋体" w:eastAsia="宋体"/>
          <w:sz w:val="24"/>
          <w:szCs w:val="24"/>
        </w:rPr>
      </w:pPr>
      <w:r>
        <w:rPr>
          <w:rFonts w:ascii="宋体" w:hAnsi="宋体" w:eastAsia="宋体"/>
          <w:sz w:val="24"/>
          <w:szCs w:val="24"/>
        </w:rPr>
        <w:t>1</w:t>
      </w:r>
      <w:r>
        <w:rPr>
          <w:rFonts w:hint="eastAsia" w:ascii="宋体" w:hAnsi="宋体" w:eastAsia="宋体"/>
          <w:sz w:val="24"/>
          <w:szCs w:val="24"/>
        </w:rPr>
        <w:t>.投标人所供的货物，必须符合中国最新版的法律、法规和相关标准、规范的要求，符合项目所在地政府有关特殊要求。</w:t>
      </w:r>
    </w:p>
    <w:p w14:paraId="05215D6B">
      <w:pPr>
        <w:spacing w:line="360" w:lineRule="auto"/>
        <w:ind w:firstLine="480" w:firstLineChars="200"/>
        <w:rPr>
          <w:rFonts w:hint="eastAsia" w:ascii="宋体" w:hAnsi="宋体" w:eastAsia="宋体"/>
          <w:sz w:val="24"/>
          <w:szCs w:val="24"/>
        </w:rPr>
      </w:pPr>
      <w:r>
        <w:rPr>
          <w:rFonts w:ascii="宋体" w:hAnsi="宋体" w:eastAsia="宋体"/>
          <w:sz w:val="24"/>
          <w:szCs w:val="24"/>
        </w:rPr>
        <w:t>2</w:t>
      </w:r>
      <w:r>
        <w:rPr>
          <w:rFonts w:hint="eastAsia" w:ascii="宋体" w:hAnsi="宋体" w:eastAsia="宋体"/>
          <w:sz w:val="24"/>
          <w:szCs w:val="24"/>
        </w:rPr>
        <w:t>.投标人所供货物涉及的专利权技术以及知识产权保护的其它技术等，应保证招标人不因此受到任何侵权指控以及实际损失。</w:t>
      </w:r>
    </w:p>
    <w:p w14:paraId="04CE6B31">
      <w:pPr>
        <w:spacing w:line="360" w:lineRule="auto"/>
        <w:ind w:firstLine="480" w:firstLineChars="200"/>
        <w:rPr>
          <w:rFonts w:hint="eastAsia" w:ascii="宋体" w:hAnsi="宋体" w:eastAsia="宋体"/>
          <w:sz w:val="24"/>
          <w:szCs w:val="24"/>
        </w:rPr>
      </w:pPr>
      <w:r>
        <w:rPr>
          <w:rFonts w:ascii="宋体" w:hAnsi="宋体" w:eastAsia="宋体"/>
          <w:sz w:val="24"/>
          <w:szCs w:val="24"/>
        </w:rPr>
        <w:t>3</w:t>
      </w:r>
      <w:r>
        <w:rPr>
          <w:rFonts w:hint="eastAsia" w:ascii="宋体" w:hAnsi="宋体" w:eastAsia="宋体"/>
          <w:sz w:val="24"/>
          <w:szCs w:val="24"/>
        </w:rPr>
        <w:t>.投标人应保证所供货物的先进性、可靠性、经济性和实用性，并为全新货物（或设备）。</w:t>
      </w:r>
    </w:p>
    <w:p w14:paraId="370445F6">
      <w:pPr>
        <w:spacing w:line="360" w:lineRule="auto"/>
        <w:ind w:firstLine="480" w:firstLineChars="200"/>
        <w:rPr>
          <w:rFonts w:hint="eastAsia" w:ascii="宋体" w:hAnsi="宋体" w:eastAsia="宋体"/>
          <w:sz w:val="24"/>
          <w:szCs w:val="24"/>
        </w:rPr>
      </w:pPr>
      <w:r>
        <w:rPr>
          <w:rFonts w:ascii="宋体" w:hAnsi="宋体" w:eastAsia="宋体"/>
          <w:sz w:val="24"/>
          <w:szCs w:val="24"/>
        </w:rPr>
        <w:t>4</w:t>
      </w:r>
      <w:r>
        <w:rPr>
          <w:rFonts w:hint="eastAsia" w:ascii="宋体" w:hAnsi="宋体" w:eastAsia="宋体"/>
          <w:sz w:val="24"/>
          <w:szCs w:val="24"/>
        </w:rPr>
        <w:t>.投标人应满足招标人提出的各项技术要求，必要时应当免费提供技术承诺或担保。</w:t>
      </w:r>
    </w:p>
    <w:p w14:paraId="608E9B34">
      <w:pPr>
        <w:spacing w:line="360" w:lineRule="auto"/>
        <w:ind w:firstLine="480" w:firstLineChars="200"/>
        <w:rPr>
          <w:rFonts w:hint="eastAsia" w:ascii="宋体" w:hAnsi="宋体" w:eastAsia="宋体"/>
          <w:sz w:val="24"/>
          <w:szCs w:val="24"/>
        </w:rPr>
      </w:pPr>
      <w:r>
        <w:rPr>
          <w:rFonts w:ascii="宋体" w:hAnsi="宋体" w:eastAsia="宋体"/>
          <w:sz w:val="24"/>
          <w:szCs w:val="24"/>
        </w:rPr>
        <w:t>5</w:t>
      </w:r>
      <w:r>
        <w:rPr>
          <w:rFonts w:hint="eastAsia" w:ascii="宋体" w:hAnsi="宋体" w:eastAsia="宋体"/>
          <w:sz w:val="24"/>
          <w:szCs w:val="24"/>
        </w:rPr>
        <w:t>.投标人应保证所供货物（或设备）为中国政府指定或规定的主管部门公布的非淘汰货物（或设备），并尽力提供中国政府指定或规定的主管部门认可的环保型和节能型货物（或设备）。</w:t>
      </w:r>
    </w:p>
    <w:p w14:paraId="0C2F025D">
      <w:pPr>
        <w:spacing w:line="360" w:lineRule="auto"/>
        <w:ind w:firstLine="480" w:firstLineChars="200"/>
        <w:rPr>
          <w:rFonts w:hint="eastAsia" w:ascii="宋体" w:hAnsi="宋体" w:eastAsia="宋体"/>
          <w:sz w:val="24"/>
          <w:szCs w:val="24"/>
        </w:rPr>
      </w:pPr>
      <w:r>
        <w:rPr>
          <w:rFonts w:ascii="宋体" w:hAnsi="宋体" w:eastAsia="宋体"/>
          <w:sz w:val="24"/>
          <w:szCs w:val="24"/>
        </w:rPr>
        <w:t>6</w:t>
      </w:r>
      <w:r>
        <w:rPr>
          <w:rFonts w:hint="eastAsia" w:ascii="宋体" w:hAnsi="宋体" w:eastAsia="宋体"/>
          <w:sz w:val="24"/>
          <w:szCs w:val="24"/>
        </w:rPr>
        <w:t>.投标人应保证所供货物的完整性和成套性，能保证货物的正常运行、使用。</w:t>
      </w:r>
    </w:p>
    <w:p w14:paraId="0403764C">
      <w:pPr>
        <w:spacing w:line="360" w:lineRule="auto"/>
        <w:ind w:firstLine="480" w:firstLineChars="200"/>
        <w:rPr>
          <w:rFonts w:hint="eastAsia" w:ascii="宋体" w:hAnsi="宋体" w:eastAsia="宋体"/>
          <w:sz w:val="24"/>
          <w:szCs w:val="24"/>
        </w:rPr>
      </w:pPr>
      <w:r>
        <w:rPr>
          <w:rFonts w:ascii="宋体" w:hAnsi="宋体" w:eastAsia="宋体"/>
          <w:sz w:val="24"/>
          <w:szCs w:val="24"/>
        </w:rPr>
        <w:t>7</w:t>
      </w:r>
      <w:r>
        <w:rPr>
          <w:rFonts w:hint="eastAsia" w:ascii="宋体" w:hAnsi="宋体" w:eastAsia="宋体"/>
          <w:sz w:val="24"/>
          <w:szCs w:val="24"/>
        </w:rPr>
        <w:t>.投标人应对招标人采购的货物所涉及的技术、产能等信息负有保密义务，招标人拥有追究投标人泄密责任的权利；招标人如有需要，投标人应无条件签署保密协议。</w:t>
      </w:r>
    </w:p>
    <w:p w14:paraId="5287336A">
      <w:pPr>
        <w:spacing w:line="360" w:lineRule="auto"/>
        <w:ind w:firstLine="480" w:firstLineChars="200"/>
        <w:rPr>
          <w:rFonts w:ascii="Times New Roman" w:hAnsi="Times New Roman" w:eastAsia="宋体"/>
          <w:bCs/>
          <w:sz w:val="24"/>
          <w:szCs w:val="24"/>
        </w:rPr>
      </w:pPr>
      <w:r>
        <w:rPr>
          <w:rFonts w:ascii="Times New Roman" w:hAnsi="Times New Roman" w:eastAsia="宋体"/>
          <w:bCs/>
          <w:sz w:val="24"/>
          <w:szCs w:val="24"/>
        </w:rPr>
        <w:t>8.投标人预验收时需提供进口设备、部件的报关清关资料。</w:t>
      </w:r>
    </w:p>
    <w:p w14:paraId="0A90EAC8">
      <w:pPr>
        <w:spacing w:line="360" w:lineRule="auto"/>
        <w:ind w:firstLine="480" w:firstLineChars="200"/>
        <w:rPr>
          <w:rFonts w:ascii="Times New Roman" w:hAnsi="Times New Roman" w:eastAsia="宋体"/>
          <w:bCs/>
          <w:sz w:val="24"/>
          <w:szCs w:val="24"/>
        </w:rPr>
      </w:pPr>
      <w:r>
        <w:rPr>
          <w:rFonts w:ascii="Times New Roman" w:hAnsi="Times New Roman" w:eastAsia="宋体"/>
          <w:bCs/>
          <w:sz w:val="24"/>
          <w:szCs w:val="24"/>
        </w:rPr>
        <w:t>9.</w:t>
      </w:r>
      <w:r>
        <w:rPr>
          <w:rFonts w:hint="eastAsia" w:ascii="Times New Roman" w:hAnsi="Times New Roman" w:eastAsia="宋体"/>
          <w:bCs/>
          <w:sz w:val="24"/>
          <w:szCs w:val="24"/>
        </w:rPr>
        <w:t>要求投标方必须在近三年内为国内外厂家提供过同类型项目案例。投标文件中必须附有与本招标设备相同或相似技术规格、型号的设备的市场销售业绩清单。</w:t>
      </w:r>
    </w:p>
    <w:p w14:paraId="0AB090D0">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10.投标方应在确保改造后的产线可以安全稳定运行，并且具备生产现有及项目内要求的新增车型的能力。</w:t>
      </w:r>
    </w:p>
    <w:p w14:paraId="77368565">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11.投标方积极协助和提供招标方和招标方所委托的工程设计单位有关人员与标的物有关的工程设计资料。</w:t>
      </w:r>
    </w:p>
    <w:p w14:paraId="001FC834">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12.投标方所供的设备，必须符合中国最新版的法律、法规和相关标准、规范的要求。</w:t>
      </w:r>
    </w:p>
    <w:p w14:paraId="0C148E8D">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13.投标方所供设备涉及的专利权技术以及知识产权保护其它技术等，应保证招标方不因此受到第三方侵权指控以及实际损失。</w:t>
      </w:r>
    </w:p>
    <w:p w14:paraId="7A559C17">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14.投标方应满足招标方提出的各项技术要求。</w:t>
      </w:r>
    </w:p>
    <w:p w14:paraId="41D36EEB">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15.投标方应对招标方采购的设备所涉及的产品、技术、产能等信息负有保密义务。</w:t>
      </w:r>
    </w:p>
    <w:p w14:paraId="386F5920">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16.本技术要求，仅对功能、设计、结构、性能、安装和试验等方面，提出了最低和一般性的技术要求；并未对一切技术细节做出规定，未充分引述有关标准和规范的条文。投标方应保证提供的货物是符合本技术标书和国家最新的有关标准、规范的优质产品。若有异议，应在投标文件“技术偏离”中予以详细说明。</w:t>
      </w:r>
    </w:p>
    <w:p w14:paraId="3D85469E">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17.本技术要求所使用的标准、规范等，如与投标方所执行的标准、规范不一致时，应按高于本技术要求所列的标准、规范执行，并在投标文件“技术偏离”中予以说明。</w:t>
      </w:r>
    </w:p>
    <w:p w14:paraId="1C05B487">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18.投标方认为所供货物必须由招标方配备、解决或提供的其他要求，如设备基础隔振和减振设施、洁净气源等，均应在投标文件中予以充分说明。</w:t>
      </w:r>
    </w:p>
    <w:p w14:paraId="72B2D600">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19.投标方可以根据自身经验以及对招标文件的理解，写明买方招标设备（或材料）应进行的优于招标文件要求的其它方案或建议意见；投标方的这些努力，买方表示感谢，并将有助于投标方优先胜出；即使有建议意见或建议方案，仍应依据招标文件要求，编写符合要求的投标文件。建议方案或建议意见，应以单独篇章或文件，予以说明。</w:t>
      </w:r>
    </w:p>
    <w:p w14:paraId="702D7F67">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20.投标时提供的内容必须进行详细说明。在投标时提供设备主要部件、外购件明细表、易损件备品备件清单和相应特殊维修工具明细等，要考虑这些部件在中国使用的可行性。并提供关键部件的质保周期和响应时间清单。</w:t>
      </w:r>
    </w:p>
    <w:p w14:paraId="0865B0B5">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*21.在本标书中没有提及到的部分，所有供应商必须保证设备各部分功能齐全并便于使用，这部分价格应该包含在报价中，而不得另行加价。</w:t>
      </w:r>
    </w:p>
    <w:p w14:paraId="73A2A2D2">
      <w:pPr>
        <w:spacing w:line="360" w:lineRule="auto"/>
        <w:ind w:firstLine="480" w:firstLineChars="200"/>
        <w:rPr>
          <w:rFonts w:ascii="Times New Roman" w:hAnsi="Times New Roman" w:eastAsia="宋体"/>
          <w:bCs/>
          <w:sz w:val="24"/>
          <w:szCs w:val="24"/>
        </w:rPr>
      </w:pPr>
      <w:r>
        <w:rPr>
          <w:rFonts w:hint="eastAsia" w:ascii="Times New Roman" w:hAnsi="Times New Roman" w:eastAsia="宋体"/>
          <w:bCs/>
          <w:sz w:val="24"/>
          <w:szCs w:val="24"/>
        </w:rPr>
        <w:t xml:space="preserve"> *22. 本项目中所有改造均不可影响卡车制造公司正常生产。</w:t>
      </w:r>
    </w:p>
    <w:p w14:paraId="108189E6">
      <w:pPr>
        <w:spacing w:line="360" w:lineRule="auto"/>
        <w:ind w:firstLine="600" w:firstLineChars="250"/>
        <w:rPr>
          <w:rFonts w:hint="eastAsia" w:ascii="Times New Roman" w:hAnsi="Times New Roman" w:eastAsia="宋体"/>
          <w:bCs/>
          <w:sz w:val="24"/>
          <w:szCs w:val="24"/>
        </w:rPr>
      </w:pPr>
      <w:r>
        <w:rPr>
          <w:rFonts w:hint="eastAsia" w:ascii="Times New Roman" w:hAnsi="Times New Roman" w:eastAsia="宋体"/>
          <w:bCs/>
          <w:sz w:val="24"/>
          <w:szCs w:val="24"/>
        </w:rPr>
        <w:t>23.本招标文件中所有加注“*”的条款为否决项，不允许出现偏离。</w:t>
      </w:r>
    </w:p>
    <w:p w14:paraId="6BAE6BA9">
      <w:pPr>
        <w:pStyle w:val="2"/>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24.工艺方案通用要求：</w:t>
      </w:r>
    </w:p>
    <w:p w14:paraId="313B26A3">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lang w:val="en-US" w:eastAsia="zh-CN"/>
        </w:rPr>
        <w:t>1</w:t>
      </w:r>
      <w:r>
        <w:rPr>
          <w:rFonts w:hint="eastAsia" w:ascii="宋体" w:hAnsi="宋体" w:eastAsia="宋体" w:cs="宋体"/>
          <w:b w:val="0"/>
          <w:bCs w:val="0"/>
          <w:sz w:val="24"/>
          <w:szCs w:val="24"/>
          <w:lang w:eastAsia="zh-CN"/>
        </w:rPr>
        <w:t>）电机能耗要求：</w:t>
      </w:r>
    </w:p>
    <w:p w14:paraId="67E2773A">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电机功率≥7.5kW，必须选用一级能效。电机功率&lt;7.5kW，优先选用一级能效:其中对于能源供应类设备及年运行时间≥2000h 工艺设备的电机必须选用一级能效。</w:t>
      </w:r>
    </w:p>
    <w:p w14:paraId="5F49BBF5">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lang w:val="en-US" w:eastAsia="zh-CN"/>
        </w:rPr>
        <w:t>2</w:t>
      </w:r>
      <w:r>
        <w:rPr>
          <w:rFonts w:hint="eastAsia" w:ascii="宋体" w:hAnsi="宋体" w:eastAsia="宋体" w:cs="宋体"/>
          <w:b w:val="0"/>
          <w:bCs w:val="0"/>
          <w:sz w:val="24"/>
          <w:szCs w:val="24"/>
          <w:lang w:eastAsia="zh-CN"/>
        </w:rPr>
        <w:t>）程序权限要求：</w:t>
      </w:r>
    </w:p>
    <w:p w14:paraId="4BF34C4F">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供方必须提供所有设备程序的源代码，包括但不限于 PLC程序、HMI 程序、机器人程序、视觉程序、伺服等。</w:t>
      </w:r>
    </w:p>
    <w:p w14:paraId="794DA945">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供方所提供的程序不得设置任何密码、保护等限制手段，PLC不得设置修改下载权限，功能块不得设置密码保护。</w:t>
      </w:r>
    </w:p>
    <w:p w14:paraId="65742EEF">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H</w:t>
      </w:r>
      <w:r>
        <w:rPr>
          <w:rFonts w:hint="eastAsia" w:ascii="宋体" w:hAnsi="宋体" w:eastAsia="宋体" w:cs="宋体"/>
          <w:b w:val="0"/>
          <w:bCs w:val="0"/>
          <w:sz w:val="24"/>
          <w:szCs w:val="24"/>
          <w:lang w:val="en-US" w:eastAsia="zh-CN"/>
        </w:rPr>
        <w:t>M</w:t>
      </w:r>
      <w:r>
        <w:rPr>
          <w:rFonts w:hint="eastAsia" w:ascii="宋体" w:hAnsi="宋体" w:eastAsia="宋体" w:cs="宋体"/>
          <w:b w:val="0"/>
          <w:bCs w:val="0"/>
          <w:sz w:val="24"/>
          <w:szCs w:val="24"/>
          <w:lang w:eastAsia="zh-CN"/>
        </w:rPr>
        <w:t>I界面等需要密码保护的程序，供方必须提供所有级别的用户名、密码。</w:t>
      </w:r>
    </w:p>
    <w:p w14:paraId="5160A04C">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供方需在终验收前提供最新的设备程序源码，III 界面各级用户名和密码，并保证与现场程序一致。</w:t>
      </w:r>
    </w:p>
    <w:p w14:paraId="0FB88C22">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eastAsiaTheme="minorEastAsia"/>
          <w:lang w:eastAsia="zh-CN"/>
        </w:rPr>
      </w:pPr>
      <w:r>
        <w:rPr>
          <w:rFonts w:hint="eastAsia" w:ascii="宋体" w:hAnsi="宋体" w:eastAsia="宋体" w:cs="宋体"/>
          <w:b w:val="0"/>
          <w:bCs w:val="0"/>
          <w:sz w:val="24"/>
          <w:szCs w:val="24"/>
          <w:lang w:eastAsia="zh-CN"/>
        </w:rPr>
        <w:t>供方需在终验收前提供最新的设备电气图纸，图纸要求为可编辑原格式(EPLAN、CAD格式)且与实际接线一致。</w:t>
      </w:r>
    </w:p>
    <w:p w14:paraId="2BFF7929">
      <w:pPr>
        <w:pStyle w:val="116"/>
        <w:spacing w:line="360" w:lineRule="auto"/>
        <w:ind w:firstLine="482" w:firstLineChars="200"/>
        <w:outlineLvl w:val="2"/>
        <w:rPr>
          <w:rFonts w:hint="eastAsia" w:eastAsia="宋体" w:cs="宋体"/>
          <w:b/>
          <w:bCs w:val="0"/>
          <w:sz w:val="24"/>
          <w:szCs w:val="24"/>
        </w:rPr>
      </w:pPr>
      <w:r>
        <w:rPr>
          <w:rFonts w:hint="eastAsia" w:eastAsia="宋体" w:cs="宋体"/>
          <w:b/>
          <w:bCs w:val="0"/>
          <w:sz w:val="24"/>
          <w:szCs w:val="24"/>
        </w:rPr>
        <w:t>三、技术要求</w:t>
      </w:r>
    </w:p>
    <w:p w14:paraId="00B54948">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1.法律、法规、技术标准要求</w:t>
      </w:r>
    </w:p>
    <w:p w14:paraId="615FBB2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本项目涉及的所有设备的设计、制造、安装和试验应遵照中国最新版本的标准与规范以及经需方认可的等于或高于本技术文件的替代标准。设备采用材质合格证明及分析报告，消防设备由招标方负责通过公安、消防部门验收。</w:t>
      </w:r>
    </w:p>
    <w:p w14:paraId="4310787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●《劳动安全和劳动卫生管理》。</w:t>
      </w:r>
    </w:p>
    <w:p w14:paraId="7E4B7BA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●《电气装置安装工程电缆线路装置施工及验收通用规范》。</w:t>
      </w:r>
    </w:p>
    <w:p w14:paraId="39B86CC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●《电气装置安装工程低压电器施工及验收通用规范》。</w:t>
      </w:r>
    </w:p>
    <w:p w14:paraId="2E707F5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●《电气装置安装工程接地装置施工及验收通用规范》。</w:t>
      </w:r>
    </w:p>
    <w:p w14:paraId="64B8E5E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●《机械设备安装工程施工及验收通用规范》。</w:t>
      </w:r>
    </w:p>
    <w:p w14:paraId="1B82B2A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其它国家和行业相关的技术标准规范等。</w:t>
      </w:r>
    </w:p>
    <w:p w14:paraId="66387F9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投标方企标高于上述标准时优先采用投标方企标。</w:t>
      </w:r>
    </w:p>
    <w:p w14:paraId="2B7367DA">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2、钢结构技术要求</w:t>
      </w:r>
    </w:p>
    <w:p w14:paraId="37C68BDB">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 xml:space="preserve">2.1 </w:t>
      </w:r>
      <w:r>
        <w:rPr>
          <w:rFonts w:hint="eastAsia" w:ascii="宋体" w:hAnsi="宋体" w:eastAsia="宋体" w:cs="宋体"/>
          <w:sz w:val="24"/>
          <w:szCs w:val="24"/>
          <w:lang w:val="en-US" w:eastAsia="zh-CN"/>
        </w:rPr>
        <w:t>对于</w:t>
      </w:r>
      <w:r>
        <w:rPr>
          <w:rFonts w:hint="eastAsia" w:ascii="宋体" w:hAnsi="宋体" w:eastAsia="宋体" w:cs="宋体"/>
          <w:sz w:val="24"/>
          <w:szCs w:val="24"/>
        </w:rPr>
        <w:t>采用螺栓连接</w:t>
      </w:r>
      <w:r>
        <w:rPr>
          <w:rFonts w:hint="eastAsia" w:ascii="宋体" w:hAnsi="宋体" w:eastAsia="宋体" w:cs="宋体"/>
          <w:sz w:val="24"/>
          <w:szCs w:val="24"/>
          <w:lang w:val="en-US" w:eastAsia="zh-CN"/>
        </w:rPr>
        <w:t>的</w:t>
      </w:r>
      <w:r>
        <w:rPr>
          <w:rFonts w:hint="eastAsia" w:ascii="宋体" w:hAnsi="宋体" w:eastAsia="宋体" w:cs="宋体"/>
          <w:sz w:val="24"/>
          <w:szCs w:val="24"/>
        </w:rPr>
        <w:t>钢结构，所有螺栓采用直径不小于 M12， 螺栓等级不低于 10.9 级的符合国家标准的螺栓。所有高强度螺栓必须镀锌处理</w:t>
      </w:r>
      <w:r>
        <w:rPr>
          <w:rFonts w:hint="eastAsia" w:ascii="宋体" w:hAnsi="宋体" w:eastAsia="宋体" w:cs="宋体"/>
          <w:sz w:val="24"/>
          <w:szCs w:val="24"/>
          <w:lang w:eastAsia="zh-CN"/>
        </w:rPr>
        <w:t>；</w:t>
      </w:r>
    </w:p>
    <w:p w14:paraId="336BBF2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 对于采用 U 型螺栓的，螺栓等级不低于 4.8 级，U 型螺栓必须镀锌处理，所有螺栓连接副采用双螺母防松，均用厚螺母，螺母等级必须与螺栓等级匹配；螺栓螺母紧固完成后，随即用红色标记笔标记，标记方式为从结构件、螺母、螺栓端头画直线；垂直方向螺栓安装时除非空间不足，否则要求螺栓冲下安装。（便于目视检测松紧）；螺栓安装时必须配备标定合格的扭矩扳手，根据设计人员提供的螺栓预紧力值拧紧；螺栓安装时必须严格按照图纸实施，不得混搭借用；</w:t>
      </w:r>
    </w:p>
    <w:p w14:paraId="7675DE7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2.3 下料及制孔时，须使用锯床及冲床加工，不得采用火焰割；</w:t>
      </w:r>
    </w:p>
    <w:p w14:paraId="0ABF936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2.4 构件喷漆前必须进行喷砂处理，油漆采用喷塑处理；钢结构安装摩擦面喷漆前用胶带纸粘贴，现场安装时再将胶带纸去除；钢结构厂家需预留油漆必须满足足够现场补漆使用，预留油漆随钢结构一起发运现场；</w:t>
      </w:r>
    </w:p>
    <w:p w14:paraId="1057A5C8">
      <w:pPr>
        <w:spacing w:line="360" w:lineRule="auto"/>
        <w:ind w:firstLine="480" w:firstLineChars="200"/>
        <w:rPr>
          <w:rFonts w:hint="eastAsia"/>
        </w:rPr>
      </w:pPr>
      <w:r>
        <w:rPr>
          <w:rFonts w:hint="eastAsia" w:ascii="宋体" w:hAnsi="宋体" w:eastAsia="宋体" w:cs="宋体"/>
          <w:sz w:val="24"/>
          <w:szCs w:val="24"/>
        </w:rPr>
        <w:t>2.5 钢结构材料运输需保证外观质量，无磕碰划伤；</w:t>
      </w:r>
    </w:p>
    <w:p w14:paraId="552E3FF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2.6 钢结构采用全螺栓联接，扭矩采用100%全检合格。螺栓拧紧后有色标标识，招标方负责抽查，若抽查发现异常，投标方无条件对所有螺栓联接进行检查及标识。</w:t>
      </w:r>
    </w:p>
    <w:p w14:paraId="6D11816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2.7 所有钢结构必须保证足够的刚性和稳定性，要求采用8.8 级高强度螺栓联接，必要时可增加支撑构件。</w:t>
      </w:r>
    </w:p>
    <w:p w14:paraId="337F38A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2.8 投标方必须保证所购材料的质量满足其机械性能， 并在钢材进料后及时向招标方提供质量保证书，不允许钢材有明显的锈蚀现象，招标方有权进行检查，发现质量问题，招标方有权拒绝使用和勒令投标方停工，由此造成的损失由投标方负责。</w:t>
      </w:r>
    </w:p>
    <w:p w14:paraId="7397B88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2.9 装配线上方吊架根据须要设剪刀撑，吊杆长度过长时设双层剪刀撑，装配线长度方向根据 须要两侧设剪刀撑。</w:t>
      </w:r>
    </w:p>
    <w:p w14:paraId="57EDA37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2.10 钢结构选型时须考虑在该工艺段所需要的合适的最佳性能结构，满足相关生产线工艺装配生产载荷。</w:t>
      </w:r>
    </w:p>
    <w:p w14:paraId="75E9A50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2.11需遵守如下标准：</w:t>
      </w:r>
    </w:p>
    <w:p w14:paraId="4452E75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（1）安全规范和标准、防火规范和标准、环保规范和标准</w:t>
      </w:r>
    </w:p>
    <w:p w14:paraId="1B295CD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（2）GB 50236-2011《现场设备、工业管道焊接工程施工规范》</w:t>
      </w:r>
    </w:p>
    <w:p w14:paraId="54ABCCD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（3）GB 50205-2020《钢结构工程施工质量验收标准》</w:t>
      </w:r>
    </w:p>
    <w:p w14:paraId="08A0520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（4）GB 51367-2019《钢结构加固设计标准》</w:t>
      </w:r>
    </w:p>
    <w:p w14:paraId="1B6464B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（5）GB 50661-2024《钢结构焊接规范》</w:t>
      </w:r>
    </w:p>
    <w:p w14:paraId="20FC37E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2.12</w:t>
      </w:r>
      <w:r>
        <w:rPr>
          <w:rFonts w:hint="eastAsia" w:ascii="宋体" w:hAnsi="宋体" w:eastAsia="宋体" w:cs="宋体"/>
          <w:sz w:val="24"/>
          <w:szCs w:val="24"/>
          <w:lang w:val="en-US" w:eastAsia="zh-CN"/>
        </w:rPr>
        <w:t>对于焊接加固的部分，</w:t>
      </w:r>
      <w:r>
        <w:rPr>
          <w:rFonts w:hint="eastAsia" w:ascii="宋体" w:hAnsi="宋体" w:eastAsia="宋体" w:cs="宋体"/>
          <w:sz w:val="24"/>
          <w:szCs w:val="24"/>
        </w:rPr>
        <w:t>全部焊缝应进行外观检查，焊缝表面应是原始状态，没有加工或补焊痕迹。焊缝表面不得有裂纹、未熔合、夹渣、弧坑和气孔等缺陷。焊缝外观质量及尺寸允许偏差应符合GB 50205的有关规定。对设计要求的一级、二级焊缝应进行内部缺陷的无损检测，一级焊缝探伤比例应为100%，二级焊缝探伤比例应不低于20%。</w:t>
      </w:r>
    </w:p>
    <w:p w14:paraId="02290993">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3、设计标准</w:t>
      </w:r>
    </w:p>
    <w:p w14:paraId="13BA48C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3.1 设计制造标准</w:t>
      </w:r>
    </w:p>
    <w:p w14:paraId="06ABEC2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3.1.1 设备的设计、制造所遵循标准应遵守以下原则：</w:t>
      </w:r>
    </w:p>
    <w:p w14:paraId="139EE2B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（1）凡按引进技术设计制造的设备，须按引进技术相应的标准如ASME、ASTM、NFPA及相应的引进公司标准规范进行设计、制造、检验。</w:t>
      </w:r>
    </w:p>
    <w:p w14:paraId="3691A16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（2）以国内技术设计制造的产品，按相应的国家标准、行业标准或企业标准进行设计、制造、检验。</w:t>
      </w:r>
    </w:p>
    <w:p w14:paraId="58D8BE4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（3）在按以上技术标准设计制造的同时，还必须满足最新版的行业相应规范标准。</w:t>
      </w:r>
    </w:p>
    <w:p w14:paraId="0DEFC7E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（4）在按相应技术标准设计制造的同时，还必须满足有关安全、环保及其它方面最新版的国家强制性标准和规程〔规定〕的要求。</w:t>
      </w:r>
    </w:p>
    <w:p w14:paraId="339BB20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（5）如果本技术规范书中存在某些要求高于上述标准，则以本技术规范书的要求为准。</w:t>
      </w:r>
    </w:p>
    <w:p w14:paraId="6CF2A16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3.1.2 卖方应提供设计制造的规范、规程和标准等清单。严格按照国家有关标准执行。</w:t>
      </w:r>
    </w:p>
    <w:p w14:paraId="214D168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3.2 质量保证</w:t>
      </w:r>
    </w:p>
    <w:p w14:paraId="37B1FA9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3.2.1 卖方在投标文件中应对本企业执行的质量保证体系进行简要的介绍，对质量的保证措施进行必要的说明。</w:t>
      </w:r>
    </w:p>
    <w:p w14:paraId="4294D32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3.2.2 任何部件材料的检验、检查和试验均应符合国家标准所适用的要求。</w:t>
      </w:r>
    </w:p>
    <w:p w14:paraId="0D06CEF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3.2.3 根据本合同文件，卖方应采取措施确保设备质量，产品交货前，应对设备进行必要的检查与试验，以保证整个设计和制造符合规程要求。</w:t>
      </w:r>
    </w:p>
    <w:p w14:paraId="37F4676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3.2.4 卖方有责任将检查和试验资料按规定完整、及时提交给买方；对重要的检查与试验项目，应邀请买方派代表参加验收。</w:t>
      </w:r>
    </w:p>
    <w:p w14:paraId="45C250E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3.2.5 所有制造、加工工序、设备或材料、运行效果的试验和检查验收都应满足国家标准。</w:t>
      </w:r>
    </w:p>
    <w:p w14:paraId="12E04DE1">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4</w:t>
      </w:r>
      <w:r>
        <w:rPr>
          <w:rFonts w:hint="eastAsia" w:ascii="宋体" w:hAnsi="宋体" w:eastAsia="宋体" w:cs="宋体"/>
          <w:b/>
          <w:bCs/>
          <w:sz w:val="24"/>
          <w:szCs w:val="24"/>
          <w:lang w:eastAsia="zh-CN"/>
        </w:rPr>
        <w:t>、</w:t>
      </w:r>
      <w:r>
        <w:rPr>
          <w:rFonts w:hint="eastAsia" w:ascii="宋体" w:hAnsi="宋体" w:eastAsia="宋体" w:cs="宋体"/>
          <w:b/>
          <w:bCs/>
          <w:sz w:val="24"/>
          <w:szCs w:val="24"/>
        </w:rPr>
        <w:t>设备基础</w:t>
      </w:r>
    </w:p>
    <w:p w14:paraId="1E7E0B9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投标方向招标方提交的装配产线相关设备基础，设计参数须遵照满足提供的装配线基础结构要求。投标方须在图纸、文件中明确说明是否满足的要求。同时在设备基础土建施工时必须进行现场指导和复核。</w:t>
      </w:r>
    </w:p>
    <w:p w14:paraId="429CF11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注：招标方所有发放的图纸仅为投标方方案设计时的参考，投标方在进行方案详细设计时应与招标方确认图纸是否为最新。对于装配线结构相关的资料，投标方在施工前必须到工厂进行现场测量并核实。</w:t>
      </w:r>
    </w:p>
    <w:p w14:paraId="655C85E7">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5、接口规定</w:t>
      </w:r>
    </w:p>
    <w:p w14:paraId="5678FF3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公用动力接口规安——车间提供动力配电箱或输电母排分电箱，而由动力配电箱或输电母排分电箱至工艺生产线的设备配线工作由设备提供方负责，具体的设备用电量、动力入口位置等参数由投标方在合同签订后15个工作日内以书面形式向招标方提供，由双方共同确认。</w:t>
      </w:r>
    </w:p>
    <w:p w14:paraId="7A2F7D3F">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6、设备安全要求</w:t>
      </w:r>
    </w:p>
    <w:p w14:paraId="1D43339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6.1 机械防护方面要求</w:t>
      </w:r>
    </w:p>
    <w:p w14:paraId="460C1C1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6.1.1 必须符合国家安全标准，符合国家安全卫生法规。投标方应通过设计消除风险或限制风险，不得遗留通过设计能够消除的危险，也不得遗留通过安全防护装置能够消除的危险，在使用设备时不需要再增加任何（包括机械、电器）防护装置。</w:t>
      </w:r>
    </w:p>
    <w:p w14:paraId="73A88CC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6.1.2 设备具备良好和全面安全防护措施。</w:t>
      </w:r>
    </w:p>
    <w:p w14:paraId="7092705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6.1.3 设备的操作机构其设置应操纵方便、安全省力、标专清晰、牢固可靠。</w:t>
      </w:r>
    </w:p>
    <w:p w14:paraId="54285E7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6.1.4 设备综合噪音控制在70分贝以下。</w:t>
      </w:r>
    </w:p>
    <w:p w14:paraId="224220A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 电气部分安全要求</w:t>
      </w:r>
    </w:p>
    <w:p w14:paraId="2797FCE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6.2.1 所有电器设计必须接地良好，对地电阻小于1欧姆。</w:t>
      </w:r>
    </w:p>
    <w:p w14:paraId="4DF58CC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6.2.2 控制系统能保证在设备的供给能源发生异常时也不会产生危险，设备本身不会损坏，也不会对人员产生伤害。</w:t>
      </w:r>
    </w:p>
    <w:p w14:paraId="2A6DCDF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6.2.3 控制系统放置在操作者便于操作和观察的部位。设备根据具体情况设置了必要的急停开关。</w:t>
      </w:r>
    </w:p>
    <w:p w14:paraId="5C5AD1F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6.2.4 设备的电气控制系统：具备过载保护和短路保护功能。当设备的线路发生碰壳时，控制系统在0.1秒内切断该线路的供电。</w:t>
      </w:r>
    </w:p>
    <w:p w14:paraId="57B1A15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6.2.5 能源偶然切断后又重新接通时，设备必须能避免危险运转。</w:t>
      </w:r>
    </w:p>
    <w:p w14:paraId="35FD9F3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6.2.6 采用多级制供电系统。</w:t>
      </w:r>
    </w:p>
    <w:p w14:paraId="36707FD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6.2.7 电机安装牢固，控制要求具备过载、短路、断路保护，防护等级IP54以上。</w:t>
      </w:r>
    </w:p>
    <w:p w14:paraId="301EA29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6.2.8 设备具备良好和全面的安全防护措施。</w:t>
      </w:r>
    </w:p>
    <w:p w14:paraId="2E7E215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6.2.9 配电柜出口周围有防止电线磨损的措施，电源线中间无接头。</w:t>
      </w:r>
    </w:p>
    <w:p w14:paraId="7DC35FF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6.2.10 电控柜防护等级：IP54。</w:t>
      </w:r>
    </w:p>
    <w:p w14:paraId="1E0E0BD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6.2.11 控制柜操作面板上有设备正常运行指示灯。</w:t>
      </w:r>
    </w:p>
    <w:p w14:paraId="402696AE">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7、设备安装要求</w:t>
      </w:r>
    </w:p>
    <w:p w14:paraId="508ADE4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7.1 设备的安装工作由投标方全权负责，买方配合，安装用水、气、电按招标方规定，投标方施工时须带所需的设备、工具，投标方在设备制作完成后，进厂安装前必须通知招标方。</w:t>
      </w:r>
    </w:p>
    <w:p w14:paraId="0E3B7DC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7.2 在施工过程中，投标方需遵循相关行业的安全标准、规范、制度，同时严格遵守招标方相关安全规章制度，如有违反上述标准、规范、制度造成的安全事故，投标方承担全部责任。</w:t>
      </w:r>
    </w:p>
    <w:p w14:paraId="4DA9981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7.3 投标方应保证其所提供的工程所使用的材料、配套设备、零部件均是全新的。</w:t>
      </w:r>
    </w:p>
    <w:p w14:paraId="3B6A43C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7.4 投标方在施工期间所有设备、零部件、制成品，工具、材料等均自行保管、保护。施工现场与设备清理工作，均由投标方完成。因招标方因素导致工作拖延，投标方不承担责任，工期可适当顺延。</w:t>
      </w:r>
    </w:p>
    <w:p w14:paraId="09EE10F2">
      <w:pPr>
        <w:spacing w:line="360" w:lineRule="auto"/>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 xml:space="preserve">7.5 </w:t>
      </w:r>
      <w:r>
        <w:rPr>
          <w:rFonts w:hint="eastAsia" w:ascii="宋体" w:hAnsi="宋体" w:eastAsia="宋体" w:cs="宋体"/>
          <w:b/>
          <w:bCs/>
          <w:sz w:val="24"/>
          <w:szCs w:val="24"/>
          <w:highlight w:val="yellow"/>
        </w:rPr>
        <w:t>投标方负责提供装配产线加固改造</w:t>
      </w:r>
      <w:r>
        <w:rPr>
          <w:rFonts w:hint="eastAsia" w:ascii="宋体" w:hAnsi="宋体" w:eastAsia="宋体" w:cs="宋体"/>
          <w:b/>
          <w:bCs/>
          <w:sz w:val="24"/>
          <w:szCs w:val="24"/>
          <w:highlight w:val="yellow"/>
          <w:lang w:val="en-US" w:eastAsia="zh-CN"/>
        </w:rPr>
        <w:t>三维</w:t>
      </w:r>
      <w:r>
        <w:rPr>
          <w:rFonts w:hint="eastAsia" w:ascii="宋体" w:hAnsi="宋体" w:eastAsia="宋体" w:cs="宋体"/>
          <w:b/>
          <w:bCs/>
          <w:sz w:val="24"/>
          <w:szCs w:val="24"/>
          <w:highlight w:val="yellow"/>
        </w:rPr>
        <w:t>设计</w:t>
      </w:r>
      <w:r>
        <w:rPr>
          <w:rFonts w:hint="eastAsia" w:ascii="宋体" w:hAnsi="宋体" w:eastAsia="宋体" w:cs="宋体"/>
          <w:b/>
          <w:bCs/>
          <w:sz w:val="24"/>
          <w:szCs w:val="24"/>
          <w:highlight w:val="yellow"/>
          <w:lang w:val="en-US" w:eastAsia="zh-CN"/>
        </w:rPr>
        <w:t>图</w:t>
      </w:r>
      <w:r>
        <w:rPr>
          <w:rFonts w:hint="eastAsia" w:ascii="宋体" w:hAnsi="宋体" w:eastAsia="宋体" w:cs="宋体"/>
          <w:b/>
          <w:bCs/>
          <w:sz w:val="24"/>
          <w:szCs w:val="24"/>
          <w:highlight w:val="yellow"/>
        </w:rPr>
        <w:t>及相关施工方案</w:t>
      </w:r>
      <w:r>
        <w:rPr>
          <w:rFonts w:hint="eastAsia" w:ascii="宋体" w:hAnsi="宋体" w:eastAsia="宋体" w:cs="宋体"/>
          <w:b/>
          <w:bCs/>
          <w:sz w:val="24"/>
          <w:szCs w:val="24"/>
          <w:highlight w:val="yellow"/>
          <w:lang w:val="en-US" w:eastAsia="zh-CN"/>
        </w:rPr>
        <w:t>的详细</w:t>
      </w:r>
      <w:r>
        <w:rPr>
          <w:rFonts w:hint="eastAsia" w:ascii="宋体" w:hAnsi="宋体" w:eastAsia="宋体" w:cs="宋体"/>
          <w:b/>
          <w:bCs/>
          <w:sz w:val="24"/>
          <w:szCs w:val="24"/>
          <w:highlight w:val="yellow"/>
        </w:rPr>
        <w:t>计算书依据，</w:t>
      </w:r>
      <w:r>
        <w:rPr>
          <w:rFonts w:hint="eastAsia" w:ascii="宋体" w:hAnsi="宋体" w:eastAsia="宋体" w:cs="宋体"/>
          <w:b/>
          <w:bCs/>
          <w:sz w:val="24"/>
          <w:szCs w:val="24"/>
          <w:highlight w:val="yellow"/>
          <w:lang w:val="en-US" w:eastAsia="zh-CN"/>
        </w:rPr>
        <w:t>至少涵盖“</w:t>
      </w:r>
      <w:r>
        <w:rPr>
          <w:rFonts w:hint="eastAsia" w:ascii="宋体" w:hAnsi="宋体" w:eastAsia="宋体" w:cs="宋体"/>
          <w:b/>
          <w:bCs/>
          <w:sz w:val="24"/>
          <w:szCs w:val="24"/>
          <w:highlight w:val="yellow"/>
        </w:rPr>
        <w:t>12、项目内容</w:t>
      </w:r>
      <w:r>
        <w:rPr>
          <w:rFonts w:hint="eastAsia" w:ascii="宋体" w:hAnsi="宋体" w:eastAsia="宋体" w:cs="宋体"/>
          <w:b/>
          <w:bCs/>
          <w:sz w:val="24"/>
          <w:szCs w:val="24"/>
          <w:highlight w:val="yellow"/>
          <w:lang w:eastAsia="zh-CN"/>
        </w:rPr>
        <w:t>”</w:t>
      </w:r>
      <w:r>
        <w:rPr>
          <w:rFonts w:hint="eastAsia" w:ascii="宋体" w:hAnsi="宋体" w:eastAsia="宋体" w:cs="宋体"/>
          <w:b/>
          <w:bCs/>
          <w:sz w:val="24"/>
          <w:szCs w:val="24"/>
          <w:highlight w:val="yellow"/>
          <w:lang w:val="en-US" w:eastAsia="zh-CN"/>
        </w:rPr>
        <w:t>所列内容，</w:t>
      </w:r>
      <w:r>
        <w:rPr>
          <w:rFonts w:hint="eastAsia" w:ascii="宋体" w:hAnsi="宋体" w:eastAsia="宋体" w:cs="宋体"/>
          <w:b/>
          <w:bCs/>
          <w:sz w:val="24"/>
          <w:szCs w:val="24"/>
          <w:highlight w:val="yellow"/>
        </w:rPr>
        <w:t>计算书所得理论尺寸根据现场实际可以调整，最终以满足现场安全稳定持续生产为</w:t>
      </w:r>
      <w:r>
        <w:rPr>
          <w:rFonts w:hint="eastAsia" w:ascii="宋体" w:hAnsi="宋体" w:eastAsia="宋体" w:cs="宋体"/>
          <w:b/>
          <w:bCs/>
          <w:sz w:val="24"/>
          <w:szCs w:val="24"/>
          <w:highlight w:val="yellow"/>
          <w:lang w:val="en-US" w:eastAsia="zh-CN"/>
        </w:rPr>
        <w:t>准</w:t>
      </w:r>
      <w:r>
        <w:rPr>
          <w:rFonts w:hint="eastAsia" w:ascii="宋体" w:hAnsi="宋体" w:eastAsia="宋体" w:cs="宋体"/>
          <w:b/>
          <w:bCs/>
          <w:sz w:val="24"/>
          <w:szCs w:val="24"/>
          <w:highlight w:val="yellow"/>
        </w:rPr>
        <w:t>。</w:t>
      </w:r>
    </w:p>
    <w:p w14:paraId="630B362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7.6 设备安装前投标方应现场确认设备基础是否满足安装调试要求，如不满足协助提供基础改造要求参数和建议。</w:t>
      </w:r>
    </w:p>
    <w:p w14:paraId="386BE1FC">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8、设计联络和施工遵守事项</w:t>
      </w:r>
    </w:p>
    <w:p w14:paraId="5B1CA99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8.1 合同签订后，投标方在设计过程中，应征求招标方意见进行必要的设计联络。</w:t>
      </w:r>
    </w:p>
    <w:p w14:paraId="59491AF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8.2 设计联络的目的是沟通招标方和投标方双方的思想，反映投标方的要求，通过设计联络后，投标方仍要对供货结果负最终责任。</w:t>
      </w:r>
    </w:p>
    <w:p w14:paraId="6158076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8.3 投标方与其它品目卖方之间的技术联络，可由本品目卖方向招标方提出，也可经同意后直接与其它品目卖方进行协调。</w:t>
      </w:r>
    </w:p>
    <w:p w14:paraId="28F1BB0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8.4 投标方在工艺方案、设备及工艺装备设计完成后，需获得招标方认可后方可投入制造。投标方仍对设计方案、设备及工艺装备的正确性、可靠性、完整性负全部责任。在方案未经招标方认可而投入生产，如因方案修改对投标方所造成的一切损失均由投标方负责。</w:t>
      </w:r>
    </w:p>
    <w:p w14:paraId="4F6C7BB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8.5 施工现场的管理要依照当地的法规、对施工现场的工作人员、其他的出入人员进行纪律、卫生、安全的教育和监督，要杜绝火灾、盗窃及其它事故的发生，如若发生意外，将视为投标方的责任予以处理。</w:t>
      </w:r>
    </w:p>
    <w:p w14:paraId="0D2DA97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8.6 材料必须全部使用新品</w:t>
      </w:r>
    </w:p>
    <w:p w14:paraId="172F683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a)国内采购：采用国内一类厂家A级产品（出货前将检查厂家的出货证明及相关凭证）；</w:t>
      </w:r>
    </w:p>
    <w:p w14:paraId="586EE4A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b)国外采购：采用投标方使用最多的产品。 </w:t>
      </w:r>
    </w:p>
    <w:p w14:paraId="2AE89DB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8.7 所有线（管）路设计安装应尽量横平竖直，排列合理，维修方更。</w:t>
      </w:r>
    </w:p>
    <w:p w14:paraId="31326CA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8.8 在制造、运输、安装过程中设备应受到保护以防损坏。</w:t>
      </w:r>
    </w:p>
    <w:p w14:paraId="6323513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8.9 保洁：所有封闭结构应先做好内部清洁和吹扫，再封闭安装。</w:t>
      </w:r>
    </w:p>
    <w:p w14:paraId="5437F0A2">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9、项目实施要求</w:t>
      </w:r>
    </w:p>
    <w:p w14:paraId="03B9D18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项目实施：为了确保本项目的顺利实施，本项目采用“交钥匙”工程方式。</w:t>
      </w:r>
    </w:p>
    <w:p w14:paraId="7FA35EFC">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10、保密</w:t>
      </w:r>
    </w:p>
    <w:p w14:paraId="45685FC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本次招标方所提供的资料，供投标方设计时使用，投标方必须严格保密，不得以任何理由泄露给第三方。</w:t>
      </w:r>
    </w:p>
    <w:p w14:paraId="419904B2">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11、知识产权</w:t>
      </w:r>
    </w:p>
    <w:p w14:paraId="430F81A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投标方应保证，在中华人民共和国使用该设备（包括技术资料）或合同规定的任何一部分时，免受第三方提出的侵权其专利权、商标权、著作权或其它知识结构产权的起诉。</w:t>
      </w:r>
    </w:p>
    <w:p w14:paraId="3A2866D4">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12、项目内容</w:t>
      </w:r>
    </w:p>
    <w:p w14:paraId="327DA2B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实施地点：济南卡车制造公司党家庄工厂总三车间</w:t>
      </w:r>
    </w:p>
    <w:p w14:paraId="13D8ED7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实施需求及内容：本项目主要为对济南卡车制造公司总三车间现有整条总装北线Z11-Z28工位加固改造，加固装配线包含Z11-Z26工位地拖链、Z27-Z28工位双板链，为适配新能源重卡生产需求，将现总装北线承载能力由15T改造加固至20T（安全系数不小于1.5</w:t>
      </w:r>
      <w:r>
        <w:rPr>
          <w:rFonts w:hint="eastAsia" w:ascii="宋体" w:hAnsi="宋体" w:eastAsia="宋体" w:cs="宋体"/>
          <w:sz w:val="24"/>
          <w:szCs w:val="24"/>
          <w:lang w:eastAsia="zh-CN"/>
        </w:rPr>
        <w:t>，</w:t>
      </w:r>
      <w:r>
        <w:rPr>
          <w:rFonts w:hint="eastAsia" w:ascii="宋体" w:hAnsi="宋体" w:eastAsia="宋体" w:cs="宋体"/>
          <w:sz w:val="24"/>
          <w:szCs w:val="24"/>
        </w:rPr>
        <w:t>使用系数不小于1.2），确保加固改造后产线设备及结构满足单车整备质量20</w:t>
      </w:r>
      <w:r>
        <w:rPr>
          <w:rFonts w:hint="eastAsia" w:ascii="宋体" w:hAnsi="宋体" w:eastAsia="宋体" w:cs="宋体"/>
          <w:sz w:val="24"/>
          <w:szCs w:val="24"/>
          <w:lang w:val="en-US" w:eastAsia="zh-CN"/>
        </w:rPr>
        <w:t>T</w:t>
      </w:r>
      <w:r>
        <w:rPr>
          <w:rFonts w:hint="eastAsia" w:ascii="宋体" w:hAnsi="宋体" w:eastAsia="宋体" w:cs="宋体"/>
          <w:sz w:val="24"/>
          <w:szCs w:val="24"/>
        </w:rPr>
        <w:t>安全稳定可持续生产，并适用于生产现有车型及未来扩展新增车型。本项目为“交钥匙”工程，请各投标单位根据招标单位提供原设备设计图纸进行校验和复核，地拖链及双板链设备、产线结构加固改造内容不限于以下所列项：</w:t>
      </w:r>
    </w:p>
    <w:p w14:paraId="64DB3A2B">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12.1 更换电机减速机及电气系统：</w:t>
      </w:r>
    </w:p>
    <w:p w14:paraId="1B207D0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12.1.1 为保证改造后线体运行平稳，现对地拖链、双板链电机减速机进行更换。更换要求电机减速机安全系数不小于1.5，使用系数不小于1.2。</w:t>
      </w:r>
    </w:p>
    <w:p w14:paraId="1F78322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① 地拖链电机减速机更换：地拖链现15kW电机减速机已使用近20年，磨损严重，为保证线体加固改造后安全平稳运行，综合节能要求，需更换为一级能效电机。</w:t>
      </w:r>
    </w:p>
    <w:p w14:paraId="23D3514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② 双板链电机减速机由现4KW更换为5.5KW。</w:t>
      </w:r>
    </w:p>
    <w:p w14:paraId="420962D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③新更换地拖链、双板链电机减速机要求地埋式固定。</w:t>
      </w:r>
    </w:p>
    <w:p w14:paraId="23F93DC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12.1.2 电气系统更换：配套更换大功率电线电缆及电气元件，双板链更换5.5kW变频器。</w:t>
      </w:r>
    </w:p>
    <w:p w14:paraId="11D6949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12.2 Z11-Z26工位地拖链加固改造：</w:t>
      </w:r>
    </w:p>
    <w:p w14:paraId="1795382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实际加固具体位置区域按工位和招标方现场指定。</w:t>
      </w:r>
    </w:p>
    <w:p w14:paraId="75BB120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12.2.1 加固地拖链轨道及支撑钢结构：</w:t>
      </w:r>
    </w:p>
    <w:p w14:paraId="1B7F5E4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①对地拖链支撑钢构进行逐点检查并对开焊处进行修复。地拖链支撑钢构逐点检查区域需投标方明确并根据招标方需求及意见相应调整，严重变形位置要求投标方更换。</w:t>
      </w:r>
    </w:p>
    <w:p w14:paraId="76557CA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②对支撑横梁左右两端与连接的立柱进行焊接加固（红框所示），投标方需根据现场实际情况及招标方需求意见相应调整施工并提供明确的焊接加固方案，保证加固后线体结构能长期安全稳定可持续运行。</w:t>
      </w:r>
    </w:p>
    <w:p w14:paraId="31E900F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地拖链横截面如图所示：</w:t>
      </w:r>
    </w:p>
    <w:p w14:paraId="008DF758">
      <w:pPr>
        <w:spacing w:line="360" w:lineRule="auto"/>
        <w:ind w:firstLine="420" w:firstLineChars="200"/>
        <w:jc w:val="center"/>
        <w:rPr>
          <w:rFonts w:hint="eastAsia" w:ascii="宋体" w:hAnsi="宋体" w:eastAsia="宋体" w:cs="宋体"/>
          <w:sz w:val="24"/>
          <w:szCs w:val="24"/>
        </w:rPr>
      </w:pPr>
      <w:r>
        <w:drawing>
          <wp:inline distT="0" distB="0" distL="114300" distR="114300">
            <wp:extent cx="2617470" cy="2216150"/>
            <wp:effectExtent l="0" t="0" r="11430" b="1270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46"/>
                    <a:stretch>
                      <a:fillRect/>
                    </a:stretch>
                  </pic:blipFill>
                  <pic:spPr>
                    <a:xfrm>
                      <a:off x="0" y="0"/>
                      <a:ext cx="2617470" cy="2216150"/>
                    </a:xfrm>
                    <a:prstGeom prst="rect">
                      <a:avLst/>
                    </a:prstGeom>
                  </pic:spPr>
                </pic:pic>
              </a:graphicData>
            </a:graphic>
          </wp:inline>
        </w:drawing>
      </w:r>
    </w:p>
    <w:p w14:paraId="5784849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12.2.2 加固机头、机尾钢结构及线体两侧地坑盖板：</w:t>
      </w:r>
    </w:p>
    <w:p w14:paraId="39379B1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①对现有地拖链地坑支撑框架钢构焊接处进行逐点检查，并对开焊处进行焊接修复。地拖链地坑支撑框架钢构逐点检查区域需投标方明确并根据招标方需求及意见相应调整，严重变形位置要求投标方更换。</w:t>
      </w:r>
    </w:p>
    <w:p w14:paraId="062F0A3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②在地拖链地坑支撑立柱内、外侧增加20#槽钢支撑，增加的20#槽钢由投标方根据现场地拖链地坑支撑立柱实际情况合理设计并提供图纸。</w:t>
      </w:r>
    </w:p>
    <w:p w14:paraId="05555C3E">
      <w:pPr>
        <w:pStyle w:val="2"/>
        <w:jc w:val="center"/>
        <w:rPr>
          <w:rFonts w:hint="eastAsia" w:ascii="宋体" w:hAnsi="宋体" w:eastAsia="宋体" w:cs="宋体"/>
          <w:sz w:val="24"/>
          <w:szCs w:val="24"/>
        </w:rPr>
      </w:pPr>
      <w:r>
        <w:drawing>
          <wp:inline distT="0" distB="0" distL="114300" distR="114300">
            <wp:extent cx="2856230" cy="2151380"/>
            <wp:effectExtent l="0" t="0" r="1270" b="1270"/>
            <wp:docPr id="18"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23"/>
                    <pic:cNvPicPr>
                      <a:picLocks noChangeAspect="1"/>
                    </pic:cNvPicPr>
                  </pic:nvPicPr>
                  <pic:blipFill>
                    <a:blip r:embed="rId47"/>
                    <a:stretch>
                      <a:fillRect/>
                    </a:stretch>
                  </pic:blipFill>
                  <pic:spPr>
                    <a:xfrm>
                      <a:off x="0" y="0"/>
                      <a:ext cx="2856660" cy="2151945"/>
                    </a:xfrm>
                    <a:prstGeom prst="rect">
                      <a:avLst/>
                    </a:prstGeom>
                  </pic:spPr>
                </pic:pic>
              </a:graphicData>
            </a:graphic>
          </wp:inline>
        </w:drawing>
      </w:r>
    </w:p>
    <w:p w14:paraId="7B38696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 xml:space="preserve">③在地拖链地坑支撑框架横梁底部增加20厚钢板组合三角支撑，增加的组合三角支撑由投标方根据现场地拖链地坑支撑立柱实际情况合理设计并提供图纸。                          </w:t>
      </w:r>
    </w:p>
    <w:p w14:paraId="274197A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④增加地拖链驱动框架与地基的压板，将驱动框架与地基的压板由单板式改为通长板，横跨整个地基，增大框架与基础板的吸附力。标书提供压板仅供投标方参考，压板实际施工尺寸需投标方根据现场情况合理设计并提供图纸，压板厚度不小于现压板，新增后具备增强框架与基础板吸附力和稳定性的功能。</w:t>
      </w:r>
    </w:p>
    <w:p w14:paraId="75214F0C">
      <w:pPr>
        <w:pStyle w:val="2"/>
        <w:jc w:val="center"/>
        <w:rPr>
          <w:rFonts w:hint="default" w:ascii="宋体" w:hAnsi="宋体" w:eastAsia="宋体" w:cs="宋体"/>
          <w:sz w:val="24"/>
          <w:szCs w:val="24"/>
          <w:lang w:val="en-US"/>
        </w:rPr>
      </w:pPr>
      <w:r>
        <w:rPr>
          <w:rFonts w:hint="eastAsia" w:ascii="宋体" w:hAnsi="宋体" w:cs="宋体"/>
          <w:sz w:val="24"/>
          <w:szCs w:val="24"/>
          <w:lang w:val="en-US" w:eastAsia="zh-CN"/>
        </w:rPr>
        <w:drawing>
          <wp:inline distT="0" distB="0" distL="114300" distR="114300">
            <wp:extent cx="1823085" cy="1376045"/>
            <wp:effectExtent l="0" t="0" r="5715" b="14605"/>
            <wp:docPr id="31" name="图片 31" descr="742dc468eb3cdf71085fcfd8a41de2d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742dc468eb3cdf71085fcfd8a41de2d5"/>
                    <pic:cNvPicPr>
                      <a:picLocks noChangeAspect="1"/>
                    </pic:cNvPicPr>
                  </pic:nvPicPr>
                  <pic:blipFill>
                    <a:blip r:embed="rId48"/>
                    <a:stretch>
                      <a:fillRect/>
                    </a:stretch>
                  </pic:blipFill>
                  <pic:spPr>
                    <a:xfrm>
                      <a:off x="0" y="0"/>
                      <a:ext cx="1823085" cy="1376045"/>
                    </a:xfrm>
                    <a:prstGeom prst="rect">
                      <a:avLst/>
                    </a:prstGeom>
                  </pic:spPr>
                </pic:pic>
              </a:graphicData>
            </a:graphic>
          </wp:inline>
        </w:drawing>
      </w:r>
      <w:r>
        <w:rPr>
          <w:rFonts w:hint="eastAsia" w:ascii="宋体" w:hAnsi="宋体" w:cs="宋体"/>
          <w:sz w:val="24"/>
          <w:szCs w:val="24"/>
          <w:lang w:val="en-US" w:eastAsia="zh-CN"/>
        </w:rPr>
        <w:t xml:space="preserve"> </w:t>
      </w:r>
      <w:r>
        <w:drawing>
          <wp:inline distT="0" distB="0" distL="114300" distR="114300">
            <wp:extent cx="2149475" cy="1396365"/>
            <wp:effectExtent l="0" t="0" r="3175" b="13335"/>
            <wp:docPr id="32"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27"/>
                    <pic:cNvPicPr>
                      <a:picLocks noChangeAspect="1"/>
                    </pic:cNvPicPr>
                  </pic:nvPicPr>
                  <pic:blipFill>
                    <a:blip r:embed="rId49">
                      <a:extLst>
                        <a:ext uri="{28A0092B-C50C-407E-A947-70E740481C1C}">
                          <a14:useLocalDpi xmlns:a14="http://schemas.microsoft.com/office/drawing/2010/main" val="0"/>
                        </a:ext>
                      </a:extLst>
                    </a:blip>
                    <a:stretch>
                      <a:fillRect/>
                    </a:stretch>
                  </pic:blipFill>
                  <pic:spPr>
                    <a:xfrm>
                      <a:off x="0" y="0"/>
                      <a:ext cx="2149475" cy="1396365"/>
                    </a:xfrm>
                    <a:prstGeom prst="rect">
                      <a:avLst/>
                    </a:prstGeom>
                  </pic:spPr>
                </pic:pic>
              </a:graphicData>
            </a:graphic>
          </wp:inline>
        </w:drawing>
      </w:r>
    </w:p>
    <w:p w14:paraId="03C1F456">
      <w:pPr>
        <w:pStyle w:val="15"/>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cs="宋体"/>
          <w:b w:val="0"/>
          <w:bCs w:val="0"/>
          <w:color w:val="000000" w:themeColor="text1"/>
          <w:sz w:val="24"/>
          <w:szCs w:val="24"/>
          <w:highlight w:val="none"/>
          <w:lang w:val="en-US" w:eastAsia="zh-CN"/>
          <w14:textFill>
            <w14:solidFill>
              <w14:schemeClr w14:val="tx1"/>
            </w14:solidFill>
          </w14:textFill>
        </w:rPr>
      </w:pPr>
      <w:r>
        <w:rPr>
          <w:rFonts w:hint="eastAsia" w:ascii="宋体" w:hAnsi="宋体" w:cs="宋体"/>
          <w:sz w:val="24"/>
          <w:szCs w:val="24"/>
          <w:highlight w:val="none"/>
          <w:lang w:val="en-US" w:eastAsia="zh-CN"/>
        </w:rPr>
        <w:t>⑤地拖链驱动框架内增加筋板，增大驱动框架的承载力。标书</w:t>
      </w:r>
      <w:r>
        <w:rPr>
          <w:rFonts w:hint="eastAsia" w:ascii="宋体" w:hAnsi="宋体" w:cs="宋体"/>
          <w:b w:val="0"/>
          <w:bCs w:val="0"/>
          <w:color w:val="000000" w:themeColor="text1"/>
          <w:sz w:val="24"/>
          <w:szCs w:val="24"/>
          <w:highlight w:val="none"/>
          <w:lang w:val="en-US" w:eastAsia="zh-CN"/>
          <w14:textFill>
            <w14:solidFill>
              <w14:schemeClr w14:val="tx1"/>
            </w14:solidFill>
          </w14:textFill>
        </w:rPr>
        <w:t>提供筋板仅供投标方参考，筋板实际施工尺寸需投标方根据现场情况合理设计并提供图纸，新增筋板要求具备明显的增大驱动框架承载力的实施效果。</w:t>
      </w:r>
    </w:p>
    <w:p w14:paraId="07450C1C">
      <w:pPr>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宋体" w:hAnsi="宋体" w:eastAsia="宋体" w:cs="宋体"/>
          <w:sz w:val="24"/>
          <w:szCs w:val="24"/>
          <w:lang w:val="en-US"/>
        </w:rPr>
      </w:pPr>
      <w:r>
        <w:rPr>
          <w:rFonts w:hint="eastAsia" w:ascii="宋体" w:hAnsi="宋体" w:cs="宋体"/>
          <w:sz w:val="24"/>
          <w:szCs w:val="24"/>
          <w:lang w:val="en-US" w:eastAsia="zh-CN"/>
        </w:rPr>
        <w:drawing>
          <wp:inline distT="0" distB="0" distL="114300" distR="114300">
            <wp:extent cx="2297430" cy="1544320"/>
            <wp:effectExtent l="0" t="0" r="7620" b="17780"/>
            <wp:docPr id="33" name="图片 33" descr="25de8da390162548253e607092378c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25de8da390162548253e607092378c43"/>
                    <pic:cNvPicPr>
                      <a:picLocks noChangeAspect="1"/>
                    </pic:cNvPicPr>
                  </pic:nvPicPr>
                  <pic:blipFill>
                    <a:blip r:embed="rId50"/>
                    <a:stretch>
                      <a:fillRect/>
                    </a:stretch>
                  </pic:blipFill>
                  <pic:spPr>
                    <a:xfrm>
                      <a:off x="0" y="0"/>
                      <a:ext cx="2297430" cy="1544320"/>
                    </a:xfrm>
                    <a:prstGeom prst="rect">
                      <a:avLst/>
                    </a:prstGeom>
                  </pic:spPr>
                </pic:pic>
              </a:graphicData>
            </a:graphic>
          </wp:inline>
        </w:drawing>
      </w:r>
      <w:r>
        <w:rPr>
          <w:rFonts w:hint="eastAsia" w:ascii="宋体" w:hAnsi="宋体" w:cs="宋体"/>
          <w:sz w:val="24"/>
          <w:szCs w:val="24"/>
          <w:lang w:val="en-US" w:eastAsia="zh-CN"/>
        </w:rPr>
        <w:t xml:space="preserve"> </w:t>
      </w:r>
      <w:r>
        <w:drawing>
          <wp:inline distT="0" distB="0" distL="114300" distR="114300">
            <wp:extent cx="1264285" cy="1562100"/>
            <wp:effectExtent l="0" t="0" r="12065" b="0"/>
            <wp:docPr id="34"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8"/>
                    <pic:cNvPicPr>
                      <a:picLocks noChangeAspect="1"/>
                    </pic:cNvPicPr>
                  </pic:nvPicPr>
                  <pic:blipFill>
                    <a:blip r:embed="rId51">
                      <a:extLst>
                        <a:ext uri="{28A0092B-C50C-407E-A947-70E740481C1C}">
                          <a14:useLocalDpi xmlns:a14="http://schemas.microsoft.com/office/drawing/2010/main" val="0"/>
                        </a:ext>
                      </a:extLst>
                    </a:blip>
                    <a:stretch>
                      <a:fillRect/>
                    </a:stretch>
                  </pic:blipFill>
                  <pic:spPr>
                    <a:xfrm>
                      <a:off x="0" y="0"/>
                      <a:ext cx="1264285" cy="1562100"/>
                    </a:xfrm>
                    <a:prstGeom prst="rect">
                      <a:avLst/>
                    </a:prstGeom>
                  </pic:spPr>
                </pic:pic>
              </a:graphicData>
            </a:graphic>
          </wp:inline>
        </w:drawing>
      </w:r>
    </w:p>
    <w:p w14:paraId="412D6DC5">
      <w:pPr>
        <w:pStyle w:val="2"/>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⑥检修校直地拖链线体两侧盖板和轨道压板，并在盖板内增加“十”字加强筋。地拖链线体两侧盖板包含小车运行轨道左、右两侧扁豆花纹盖板和平滑盖板，投标方需根据现场实际情况，设计合适的盖板内增加的“十”字加强筋，并提供现场盖板内增加“十”字加强筋的图纸，小车轨道压板校直调整后与支撑桥小车滑轮贴合紧密，支撑桥小车运行平稳，不存在震颤、脱轨等问题，链条轨道压板校直后，不会对链条安全平稳运行造成影响，不存在链条运行卡滞、干涉磨碰问题。</w:t>
      </w:r>
    </w:p>
    <w:p w14:paraId="5DAEE1C3">
      <w:pPr>
        <w:pageBreakBefore w:val="0"/>
        <w:widowControl w:val="0"/>
        <w:kinsoku/>
        <w:wordWrap/>
        <w:overflowPunct/>
        <w:topLinePunct w:val="0"/>
        <w:autoSpaceDE/>
        <w:autoSpaceDN/>
        <w:bidi w:val="0"/>
        <w:adjustRightInd/>
        <w:snapToGrid/>
        <w:spacing w:line="360" w:lineRule="auto"/>
        <w:ind w:firstLine="420" w:firstLineChars="200"/>
        <w:jc w:val="center"/>
        <w:textAlignment w:val="auto"/>
        <w:rPr>
          <w:rFonts w:hint="eastAsia" w:eastAsiaTheme="minorEastAsia"/>
          <w:b w:val="0"/>
          <w:bCs w:val="0"/>
          <w:lang w:val="en-US" w:eastAsia="zh-CN"/>
        </w:rPr>
      </w:pPr>
      <w:r>
        <w:drawing>
          <wp:inline distT="0" distB="0" distL="114300" distR="114300">
            <wp:extent cx="2221865" cy="1666240"/>
            <wp:effectExtent l="0" t="0" r="6985" b="10160"/>
            <wp:docPr id="4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3"/>
                    <pic:cNvPicPr>
                      <a:picLocks noChangeAspect="1"/>
                    </pic:cNvPicPr>
                  </pic:nvPicPr>
                  <pic:blipFill>
                    <a:blip r:embed="rId52"/>
                    <a:stretch>
                      <a:fillRect/>
                    </a:stretch>
                  </pic:blipFill>
                  <pic:spPr>
                    <a:xfrm>
                      <a:off x="0" y="0"/>
                      <a:ext cx="2221865" cy="1666240"/>
                    </a:xfrm>
                    <a:prstGeom prst="rect">
                      <a:avLst/>
                    </a:prstGeom>
                  </pic:spPr>
                </pic:pic>
              </a:graphicData>
            </a:graphic>
          </wp:inline>
        </w:drawing>
      </w:r>
      <w:r>
        <w:rPr>
          <w:rFonts w:hint="eastAsia"/>
          <w:lang w:val="en-US" w:eastAsia="zh-CN"/>
        </w:rPr>
        <w:t xml:space="preserve"> </w:t>
      </w:r>
      <w:r>
        <w:rPr>
          <w:rFonts w:hint="eastAsia" w:ascii="宋体" w:hAnsi="宋体" w:eastAsia="宋体" w:cs="宋体"/>
          <w:sz w:val="24"/>
          <w:szCs w:val="24"/>
          <w:lang w:val="en-US" w:eastAsia="zh-CN"/>
        </w:rPr>
        <w:drawing>
          <wp:inline distT="0" distB="0" distL="114300" distR="114300">
            <wp:extent cx="2231390" cy="1668145"/>
            <wp:effectExtent l="0" t="0" r="16510" b="8255"/>
            <wp:docPr id="49" name="图片 49" descr="314ea040be86802bea15e728108fc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descr="314ea040be86802bea15e728108fc011"/>
                    <pic:cNvPicPr>
                      <a:picLocks noChangeAspect="1"/>
                    </pic:cNvPicPr>
                  </pic:nvPicPr>
                  <pic:blipFill>
                    <a:blip r:embed="rId53"/>
                    <a:stretch>
                      <a:fillRect/>
                    </a:stretch>
                  </pic:blipFill>
                  <pic:spPr>
                    <a:xfrm>
                      <a:off x="0" y="0"/>
                      <a:ext cx="2231390" cy="1668145"/>
                    </a:xfrm>
                    <a:prstGeom prst="rect">
                      <a:avLst/>
                    </a:prstGeom>
                  </pic:spPr>
                </pic:pic>
              </a:graphicData>
            </a:graphic>
          </wp:inline>
        </w:drawing>
      </w:r>
    </w:p>
    <w:p w14:paraId="280E7A85">
      <w:pPr>
        <w:pStyle w:val="2"/>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12.2.3 地拖链增加承载横梁</w:t>
      </w:r>
    </w:p>
    <w:p w14:paraId="6E19B639">
      <w:pPr>
        <w:pStyle w:val="2"/>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地拖链原中间支架为1m间距排布，在地拖链轨道下平面现有的2个横梁之间增加1个承载横梁，增加后中间支架排布变更为0.5m，增加后地拖链轨道最大承载能力预计可达35T。地拖链新加承载横梁不应破坏线体原有稳固结构，因地拖链轨道下表面空间较小，施工难度大，投标方需详细明确说明地拖链增加承载横梁施工项具体的施工步骤和过程，确保该项加固方案实施有效可行。</w:t>
      </w:r>
    </w:p>
    <w:p w14:paraId="5CF686AF">
      <w:pPr>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宋体" w:hAnsi="宋体" w:eastAsia="宋体" w:cs="宋体"/>
          <w:b w:val="0"/>
          <w:bCs w:val="0"/>
          <w:sz w:val="24"/>
          <w:szCs w:val="24"/>
          <w:lang w:val="en-US"/>
        </w:rPr>
      </w:pPr>
      <w:r>
        <w:rPr>
          <w:rFonts w:hint="eastAsia" w:ascii="宋体" w:hAnsi="宋体" w:cs="宋体"/>
          <w:sz w:val="24"/>
          <w:szCs w:val="24"/>
          <w:lang w:val="en-US" w:eastAsia="zh-CN"/>
        </w:rPr>
        <w:drawing>
          <wp:inline distT="0" distB="0" distL="114300" distR="114300">
            <wp:extent cx="3421380" cy="1390650"/>
            <wp:effectExtent l="0" t="0" r="7620" b="0"/>
            <wp:docPr id="50" name="图片 50" descr="dfc02873dd1660e627f204e96f24a4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descr="dfc02873dd1660e627f204e96f24a4ee"/>
                    <pic:cNvPicPr>
                      <a:picLocks noChangeAspect="1"/>
                    </pic:cNvPicPr>
                  </pic:nvPicPr>
                  <pic:blipFill>
                    <a:blip r:embed="rId54"/>
                    <a:stretch>
                      <a:fillRect/>
                    </a:stretch>
                  </pic:blipFill>
                  <pic:spPr>
                    <a:xfrm>
                      <a:off x="0" y="0"/>
                      <a:ext cx="3421380" cy="1390650"/>
                    </a:xfrm>
                    <a:prstGeom prst="rect">
                      <a:avLst/>
                    </a:prstGeom>
                  </pic:spPr>
                </pic:pic>
              </a:graphicData>
            </a:graphic>
          </wp:inline>
        </w:drawing>
      </w:r>
      <w:r>
        <w:rPr>
          <w:rFonts w:hint="eastAsia" w:ascii="宋体" w:hAnsi="宋体" w:cs="宋体"/>
          <w:sz w:val="24"/>
          <w:szCs w:val="24"/>
          <w:lang w:val="en-US" w:eastAsia="zh-CN"/>
        </w:rPr>
        <w:t xml:space="preserve"> </w:t>
      </w:r>
      <w:r>
        <w:drawing>
          <wp:inline distT="0" distB="0" distL="114300" distR="114300">
            <wp:extent cx="1805305" cy="1421765"/>
            <wp:effectExtent l="0" t="0" r="4445" b="6985"/>
            <wp:docPr id="51"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14"/>
                    <pic:cNvPicPr>
                      <a:picLocks noChangeAspect="1"/>
                    </pic:cNvPicPr>
                  </pic:nvPicPr>
                  <pic:blipFill>
                    <a:blip r:embed="rId55"/>
                    <a:stretch>
                      <a:fillRect/>
                    </a:stretch>
                  </pic:blipFill>
                  <pic:spPr>
                    <a:xfrm>
                      <a:off x="0" y="0"/>
                      <a:ext cx="1805305" cy="1421765"/>
                    </a:xfrm>
                    <a:prstGeom prst="rect">
                      <a:avLst/>
                    </a:prstGeom>
                  </pic:spPr>
                </pic:pic>
              </a:graphicData>
            </a:graphic>
          </wp:inline>
        </w:drawing>
      </w:r>
    </w:p>
    <w:p w14:paraId="00FE0D7E">
      <w:pPr>
        <w:pStyle w:val="2"/>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12.2.3 更换地拖链420米轨道和链条两侧防护胶皮</w:t>
      </w:r>
    </w:p>
    <w:p w14:paraId="2D02B415">
      <w:pPr>
        <w:pStyle w:val="2"/>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①更换地拖链420米轨道：钢轨规格为22Kg轻轨</w:t>
      </w:r>
      <w:r>
        <w:rPr>
          <w:rFonts w:hint="eastAsia" w:ascii="宋体" w:hAnsi="宋体" w:cs="宋体"/>
          <w:b w:val="0"/>
          <w:bCs w:val="0"/>
          <w:sz w:val="24"/>
          <w:szCs w:val="24"/>
          <w:lang w:eastAsia="zh-CN"/>
        </w:rPr>
        <w:t>（</w:t>
      </w:r>
      <w:r>
        <w:rPr>
          <w:rFonts w:hint="eastAsia" w:ascii="宋体" w:hAnsi="宋体" w:cs="宋体"/>
          <w:b w:val="0"/>
          <w:bCs w:val="0"/>
          <w:sz w:val="24"/>
          <w:szCs w:val="24"/>
          <w:lang w:val="en-US" w:eastAsia="zh-CN"/>
        </w:rPr>
        <w:t>材质：Q235</w:t>
      </w:r>
      <w:r>
        <w:rPr>
          <w:rFonts w:hint="eastAsia" w:ascii="宋体" w:hAnsi="宋体" w:cs="宋体"/>
          <w:b w:val="0"/>
          <w:bCs w:val="0"/>
          <w:sz w:val="24"/>
          <w:szCs w:val="24"/>
          <w:lang w:eastAsia="zh-CN"/>
        </w:rPr>
        <w:t>）</w:t>
      </w:r>
      <w:r>
        <w:rPr>
          <w:rFonts w:hint="eastAsia" w:ascii="宋体" w:hAnsi="宋体" w:eastAsia="宋体" w:cs="宋体"/>
          <w:b w:val="0"/>
          <w:bCs w:val="0"/>
          <w:sz w:val="24"/>
          <w:szCs w:val="24"/>
        </w:rPr>
        <w:t>，招标方需确定更换轨道后支撑桥小车车轮与更换新轨道贴合，线体生产运行安全平稳，运行中无支撑桥小车偏移、震颤、倾斜以及车轮脱轨等问题。</w:t>
      </w:r>
    </w:p>
    <w:p w14:paraId="3C12268D">
      <w:pPr>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宋体" w:hAnsi="宋体" w:eastAsia="宋体" w:cs="宋体"/>
          <w:b w:val="0"/>
          <w:bCs w:val="0"/>
          <w:sz w:val="24"/>
          <w:szCs w:val="24"/>
          <w:lang w:val="en-US"/>
        </w:rPr>
      </w:pPr>
      <w:r>
        <w:rPr>
          <w:rFonts w:hint="eastAsia" w:ascii="宋体" w:hAnsi="宋体" w:cs="宋体"/>
          <w:sz w:val="24"/>
          <w:szCs w:val="24"/>
          <w:lang w:val="en-US" w:eastAsia="zh-CN"/>
        </w:rPr>
        <w:drawing>
          <wp:inline distT="0" distB="0" distL="114300" distR="114300">
            <wp:extent cx="1976120" cy="1887855"/>
            <wp:effectExtent l="0" t="0" r="5080" b="17145"/>
            <wp:docPr id="52" name="图片 52" descr="ec13544fc631d299bf6c90c9cdd2d9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ec13544fc631d299bf6c90c9cdd2d988"/>
                    <pic:cNvPicPr>
                      <a:picLocks noChangeAspect="1"/>
                    </pic:cNvPicPr>
                  </pic:nvPicPr>
                  <pic:blipFill>
                    <a:blip r:embed="rId56"/>
                    <a:stretch>
                      <a:fillRect/>
                    </a:stretch>
                  </pic:blipFill>
                  <pic:spPr>
                    <a:xfrm>
                      <a:off x="0" y="0"/>
                      <a:ext cx="1976120" cy="1887855"/>
                    </a:xfrm>
                    <a:prstGeom prst="rect">
                      <a:avLst/>
                    </a:prstGeom>
                  </pic:spPr>
                </pic:pic>
              </a:graphicData>
            </a:graphic>
          </wp:inline>
        </w:drawing>
      </w:r>
      <w:r>
        <w:rPr>
          <w:rFonts w:hint="eastAsia" w:ascii="宋体" w:hAnsi="宋体" w:cs="宋体"/>
          <w:sz w:val="24"/>
          <w:szCs w:val="24"/>
          <w:lang w:val="en-US" w:eastAsia="zh-CN"/>
        </w:rPr>
        <w:t xml:space="preserve"> </w:t>
      </w:r>
      <w:r>
        <w:drawing>
          <wp:inline distT="0" distB="0" distL="114300" distR="114300">
            <wp:extent cx="2453640" cy="1841500"/>
            <wp:effectExtent l="0" t="0" r="3810" b="6350"/>
            <wp:docPr id="5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
                    <pic:cNvPicPr>
                      <a:picLocks noChangeAspect="1"/>
                    </pic:cNvPicPr>
                  </pic:nvPicPr>
                  <pic:blipFill>
                    <a:blip r:embed="rId57"/>
                    <a:stretch>
                      <a:fillRect/>
                    </a:stretch>
                  </pic:blipFill>
                  <pic:spPr>
                    <a:xfrm>
                      <a:off x="0" y="0"/>
                      <a:ext cx="2453640" cy="1841500"/>
                    </a:xfrm>
                    <a:prstGeom prst="rect">
                      <a:avLst/>
                    </a:prstGeom>
                  </pic:spPr>
                </pic:pic>
              </a:graphicData>
            </a:graphic>
          </wp:inline>
        </w:drawing>
      </w:r>
    </w:p>
    <w:p w14:paraId="769F00FB">
      <w:pPr>
        <w:pStyle w:val="2"/>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②更换地拖链链条两侧防护胶皮：投标方需按照现场实际情况确定地拖链链条两侧防护胶皮具体更换尺寸，所更换防护胶皮必须具备防止杂物通过链条孔落入轨道内部功能且更换防护胶皮不影响线体支撑桥小车正常运行生产和链条运行，具备耐磨、耐腐蚀性、不易变形等特性。</w:t>
      </w:r>
    </w:p>
    <w:p w14:paraId="0B94961A">
      <w:pPr>
        <w:pStyle w:val="2"/>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12.2.4 更换安全销</w:t>
      </w:r>
    </w:p>
    <w:p w14:paraId="2DE27997">
      <w:pPr>
        <w:pStyle w:val="2"/>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地拖链安全销由27.5mm直径更换为53mm直径（材质：铸铁SH20）。此尺寸仅为按极限状态下计算理论尺寸，投标人需提供按单支撑桥小车承载10T（单车使用3个支撑桥小车）状态下，改造后地拖链（需一并考虑地拖链加固改造方案实施后，地拖链增加重量）适用的安全销直径计算书，计算书需完整、准确并标注安全销材质，并提供安全销图纸，安全销实际使用尺寸以现场调试实际情况为准。</w:t>
      </w:r>
    </w:p>
    <w:p w14:paraId="557BD069">
      <w:pPr>
        <w:pStyle w:val="2"/>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12.2.5 更换地拖链磨损严重的50套轴承滚轮，新换轴承滚轮与地拖链现用轴承滚轮规格一致，新换轴承滚轮需保证与线体及线体其余轴承滚轮衔接到位，可以满足线体长期安全稳定运行。</w:t>
      </w:r>
    </w:p>
    <w:p w14:paraId="3F60DDD6">
      <w:pPr>
        <w:pStyle w:val="2"/>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12.2.6 加固地拖链驱动部分、涨紧部分</w:t>
      </w:r>
    </w:p>
    <w:p w14:paraId="00DF1A33">
      <w:pPr>
        <w:pStyle w:val="2"/>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①地拖链驱动部分包括驱动地坑钢构支架及盖板、电机减速机固定座、下坡段钢构及支撑、前靠模弯轨、下坡弯轨等。</w:t>
      </w:r>
    </w:p>
    <w:p w14:paraId="03C68241">
      <w:pPr>
        <w:pStyle w:val="2"/>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②地拖链涨紧部分包括涨紧地坑钢构支架及盖板、涨紧基座、后靠模弯轨、行走小车压轨、链条行走压轨等。</w:t>
      </w:r>
    </w:p>
    <w:p w14:paraId="34F7BA3F">
      <w:pPr>
        <w:pStyle w:val="2"/>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③投标方需根据现场实际情况明确加固地拖链驱动部分、涨紧部分具体实施方案，并满足招标方现场需求和意见。</w:t>
      </w:r>
    </w:p>
    <w:p w14:paraId="2AFA4EC6">
      <w:pPr>
        <w:pStyle w:val="2"/>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12.2.7 检修地拖链链条行走轨道、返回轨道</w:t>
      </w:r>
    </w:p>
    <w:p w14:paraId="40600598">
      <w:pPr>
        <w:pStyle w:val="2"/>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检修过程如有必要投标方需与招标方技术人员一起进行，投标方检修需满足招标方现场需求和意见。</w:t>
      </w:r>
    </w:p>
    <w:p w14:paraId="3F5668BF">
      <w:pPr>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12.3 Z27-Z28工位双板链加固改造：</w:t>
      </w:r>
    </w:p>
    <w:p w14:paraId="4AFB783D">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12.3.1 加固双板链轨道支撑钢结构</w:t>
      </w:r>
    </w:p>
    <w:p w14:paraId="2907BBF2">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①对双板链轨道压板及固定螺栓进行调整紧固，实施区域需投标方具体明确并根据招标方需求及意见相应调整。</w:t>
      </w:r>
    </w:p>
    <w:p w14:paraId="2FA58C1E">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②对双板链支撑框架焊接处进行逐点检查并对开焊处进行修复（红框所示），实施区域需投标方明确，并根据现场实际情况及招标方需求意见相应调整施工，保证加固后线体结构能长期安全稳定可持续运行。</w:t>
      </w:r>
    </w:p>
    <w:p w14:paraId="7D460FAB">
      <w:pPr>
        <w:pStyle w:val="2"/>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val="0"/>
          <w:bCs w:val="0"/>
          <w:sz w:val="24"/>
          <w:szCs w:val="24"/>
        </w:rPr>
      </w:pPr>
      <w:r>
        <w:rPr>
          <w:rFonts w:hint="eastAsia" w:ascii="宋体" w:hAnsi="宋体" w:cs="宋体"/>
          <w:sz w:val="24"/>
          <w:szCs w:val="24"/>
          <w:lang w:val="en-US" w:eastAsia="zh-CN"/>
        </w:rPr>
        <w:drawing>
          <wp:inline distT="0" distB="0" distL="114300" distR="114300">
            <wp:extent cx="3634740" cy="1453515"/>
            <wp:effectExtent l="0" t="0" r="3810" b="13335"/>
            <wp:docPr id="54" name="图片 54" descr="9bc94f678c324ccbb865368bf8ba3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descr="9bc94f678c324ccbb865368bf8ba3224"/>
                    <pic:cNvPicPr>
                      <a:picLocks noChangeAspect="1"/>
                    </pic:cNvPicPr>
                  </pic:nvPicPr>
                  <pic:blipFill>
                    <a:blip r:embed="rId58"/>
                    <a:stretch>
                      <a:fillRect/>
                    </a:stretch>
                  </pic:blipFill>
                  <pic:spPr>
                    <a:xfrm>
                      <a:off x="0" y="0"/>
                      <a:ext cx="3634740" cy="1453515"/>
                    </a:xfrm>
                    <a:prstGeom prst="rect">
                      <a:avLst/>
                    </a:prstGeom>
                  </pic:spPr>
                </pic:pic>
              </a:graphicData>
            </a:graphic>
          </wp:inline>
        </w:drawing>
      </w:r>
    </w:p>
    <w:p w14:paraId="3A69F1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③在双板链支撑立柱内、外侧增加20#槽钢支撑，标书提供槽钢仅供投标方参考，新增槽钢具体规格尺寸需由投标方根据现场双板链支撑立柱实际情况合理设计并提供图纸，投标方应保证新加槽钢具备加强立柱承载能力的功能。</w:t>
      </w:r>
    </w:p>
    <w:p w14:paraId="7BA7EAED">
      <w:pPr>
        <w:pStyle w:val="2"/>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val="0"/>
          <w:bCs w:val="0"/>
          <w:sz w:val="24"/>
          <w:szCs w:val="24"/>
          <w:lang w:val="en-US" w:eastAsia="zh-CN"/>
        </w:rPr>
      </w:pPr>
      <w:r>
        <w:drawing>
          <wp:inline distT="0" distB="0" distL="114300" distR="114300">
            <wp:extent cx="2097405" cy="1916430"/>
            <wp:effectExtent l="0" t="0" r="17145" b="7620"/>
            <wp:docPr id="55"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23"/>
                    <pic:cNvPicPr>
                      <a:picLocks noChangeAspect="1"/>
                    </pic:cNvPicPr>
                  </pic:nvPicPr>
                  <pic:blipFill>
                    <a:blip r:embed="rId59"/>
                    <a:stretch>
                      <a:fillRect/>
                    </a:stretch>
                  </pic:blipFill>
                  <pic:spPr>
                    <a:xfrm>
                      <a:off x="0" y="0"/>
                      <a:ext cx="2097405" cy="1916430"/>
                    </a:xfrm>
                    <a:prstGeom prst="rect">
                      <a:avLst/>
                    </a:prstGeom>
                  </pic:spPr>
                </pic:pic>
              </a:graphicData>
            </a:graphic>
          </wp:inline>
        </w:drawing>
      </w:r>
      <w:r>
        <w:rPr>
          <w:rFonts w:hint="eastAsia"/>
          <w:lang w:val="en-US" w:eastAsia="zh-CN"/>
        </w:rPr>
        <w:t xml:space="preserve">  </w:t>
      </w:r>
      <w:r>
        <w:drawing>
          <wp:inline distT="0" distB="0" distL="114300" distR="114300">
            <wp:extent cx="1658620" cy="1878965"/>
            <wp:effectExtent l="0" t="0" r="17780" b="6985"/>
            <wp:docPr id="56"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39"/>
                    <pic:cNvPicPr>
                      <a:picLocks noChangeAspect="1"/>
                    </pic:cNvPicPr>
                  </pic:nvPicPr>
                  <pic:blipFill>
                    <a:blip r:embed="rId60" cstate="print">
                      <a:extLst>
                        <a:ext uri="{28A0092B-C50C-407E-A947-70E740481C1C}">
                          <a14:useLocalDpi xmlns:a14="http://schemas.microsoft.com/office/drawing/2010/main" val="0"/>
                        </a:ext>
                      </a:extLst>
                    </a:blip>
                    <a:stretch>
                      <a:fillRect/>
                    </a:stretch>
                  </pic:blipFill>
                  <pic:spPr>
                    <a:xfrm>
                      <a:off x="0" y="0"/>
                      <a:ext cx="1658620" cy="1878965"/>
                    </a:xfrm>
                    <a:prstGeom prst="rect">
                      <a:avLst/>
                    </a:prstGeom>
                  </pic:spPr>
                </pic:pic>
              </a:graphicData>
            </a:graphic>
          </wp:inline>
        </w:drawing>
      </w:r>
    </w:p>
    <w:p w14:paraId="674177C8">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④在双板链框架横梁底部增加20厚钢板组合三角支撑，增加的钢板组合三角支撑由投标方根据现场双板链框架实际情况合理设计并提供图纸，投标方应保证新加钢板组合三角支撑具备加强板链框架承载能力的功能。</w:t>
      </w:r>
    </w:p>
    <w:p w14:paraId="53DAB79D">
      <w:pPr>
        <w:pStyle w:val="2"/>
        <w:pageBreakBefore w:val="0"/>
        <w:widowControl w:val="0"/>
        <w:kinsoku/>
        <w:wordWrap/>
        <w:overflowPunct/>
        <w:topLinePunct w:val="0"/>
        <w:autoSpaceDE/>
        <w:autoSpaceDN/>
        <w:bidi w:val="0"/>
        <w:adjustRightInd/>
        <w:snapToGrid/>
        <w:spacing w:line="360" w:lineRule="auto"/>
        <w:ind w:firstLine="482" w:firstLineChars="200"/>
        <w:jc w:val="center"/>
        <w:textAlignment w:val="auto"/>
      </w:pPr>
      <w:r>
        <w:drawing>
          <wp:inline distT="0" distB="0" distL="114300" distR="114300">
            <wp:extent cx="2407920" cy="1844675"/>
            <wp:effectExtent l="0" t="0" r="11430" b="3175"/>
            <wp:docPr id="57"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29"/>
                    <pic:cNvPicPr>
                      <a:picLocks noChangeAspect="1"/>
                    </pic:cNvPicPr>
                  </pic:nvPicPr>
                  <pic:blipFill>
                    <a:blip r:embed="rId61">
                      <a:extLst>
                        <a:ext uri="{28A0092B-C50C-407E-A947-70E740481C1C}">
                          <a14:useLocalDpi xmlns:a14="http://schemas.microsoft.com/office/drawing/2010/main" val="0"/>
                        </a:ext>
                      </a:extLst>
                    </a:blip>
                    <a:stretch>
                      <a:fillRect/>
                    </a:stretch>
                  </pic:blipFill>
                  <pic:spPr>
                    <a:xfrm>
                      <a:off x="0" y="0"/>
                      <a:ext cx="2407920" cy="1844675"/>
                    </a:xfrm>
                    <a:prstGeom prst="rect">
                      <a:avLst/>
                    </a:prstGeom>
                  </pic:spPr>
                </pic:pic>
              </a:graphicData>
            </a:graphic>
          </wp:inline>
        </w:drawing>
      </w:r>
    </w:p>
    <w:p w14:paraId="68066BAE">
      <w:pPr>
        <w:pStyle w:val="2"/>
        <w:keepNext/>
        <w:keepLines/>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⑤在双板链立柱基座底板增加20#槽钢支撑，增加的槽钢支撑需投标方根据现场双板链立柱实际情况合理设计并提供图纸。</w:t>
      </w:r>
    </w:p>
    <w:p w14:paraId="04E88AF0">
      <w:pPr>
        <w:pStyle w:val="2"/>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default" w:ascii="宋体" w:hAnsi="宋体" w:eastAsia="宋体" w:cs="宋体"/>
          <w:b w:val="0"/>
          <w:bCs w:val="0"/>
          <w:sz w:val="24"/>
          <w:szCs w:val="24"/>
          <w:lang w:val="en-US" w:eastAsia="zh-CN"/>
        </w:rPr>
      </w:pPr>
      <w:r>
        <w:drawing>
          <wp:inline distT="0" distB="0" distL="114300" distR="114300">
            <wp:extent cx="2014855" cy="1576705"/>
            <wp:effectExtent l="0" t="0" r="4445" b="4445"/>
            <wp:docPr id="58"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32"/>
                    <pic:cNvPicPr>
                      <a:picLocks noChangeAspect="1"/>
                    </pic:cNvPicPr>
                  </pic:nvPicPr>
                  <pic:blipFill>
                    <a:blip r:embed="rId62" cstate="print">
                      <a:extLst>
                        <a:ext uri="{28A0092B-C50C-407E-A947-70E740481C1C}">
                          <a14:useLocalDpi xmlns:a14="http://schemas.microsoft.com/office/drawing/2010/main" val="0"/>
                        </a:ext>
                      </a:extLst>
                    </a:blip>
                    <a:stretch>
                      <a:fillRect/>
                    </a:stretch>
                  </pic:blipFill>
                  <pic:spPr>
                    <a:xfrm>
                      <a:off x="0" y="0"/>
                      <a:ext cx="2014855" cy="1576705"/>
                    </a:xfrm>
                    <a:prstGeom prst="rect">
                      <a:avLst/>
                    </a:prstGeom>
                  </pic:spPr>
                </pic:pic>
              </a:graphicData>
            </a:graphic>
          </wp:inline>
        </w:drawing>
      </w:r>
      <w:r>
        <w:rPr>
          <w:rFonts w:hint="eastAsia"/>
          <w:lang w:val="en-US" w:eastAsia="zh-CN"/>
        </w:rPr>
        <w:t xml:space="preserve">  </w:t>
      </w:r>
      <w:r>
        <w:rPr>
          <w:rFonts w:hint="eastAsia" w:ascii="宋体" w:hAnsi="宋体" w:cs="宋体"/>
          <w:sz w:val="24"/>
          <w:szCs w:val="24"/>
          <w:lang w:val="en-US" w:eastAsia="zh-CN"/>
        </w:rPr>
        <w:drawing>
          <wp:inline distT="0" distB="0" distL="114300" distR="114300">
            <wp:extent cx="2399665" cy="1568450"/>
            <wp:effectExtent l="0" t="0" r="635" b="12700"/>
            <wp:docPr id="59" name="图片 59" descr="7d29195da0288485cde3aca8290ace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descr="7d29195da0288485cde3aca8290acea2"/>
                    <pic:cNvPicPr>
                      <a:picLocks noChangeAspect="1"/>
                    </pic:cNvPicPr>
                  </pic:nvPicPr>
                  <pic:blipFill>
                    <a:blip r:embed="rId63"/>
                    <a:stretch>
                      <a:fillRect/>
                    </a:stretch>
                  </pic:blipFill>
                  <pic:spPr>
                    <a:xfrm>
                      <a:off x="0" y="0"/>
                      <a:ext cx="2399665" cy="1568450"/>
                    </a:xfrm>
                    <a:prstGeom prst="rect">
                      <a:avLst/>
                    </a:prstGeom>
                  </pic:spPr>
                </pic:pic>
              </a:graphicData>
            </a:graphic>
          </wp:inline>
        </w:drawing>
      </w:r>
    </w:p>
    <w:p w14:paraId="3282B2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12.3.2 加固双板链机头、机尾钢结构及线体两侧地坑盖板 </w:t>
      </w:r>
    </w:p>
    <w:p w14:paraId="74F87D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①对现有双板链地坑支撑框架钢构焊接处进行逐点检查，并对开焊处进行焊接修复，双板链地坑支撑钢构逐点检查区域需投标方明确并根据招标方需求及意见相应调整，严重变形位置要求投标方更换。</w:t>
      </w:r>
    </w:p>
    <w:p w14:paraId="276F2EB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②在双板链地坑支撑立柱内、外侧增加20#槽钢支撑，新增槽钢具体规格尺寸需由投标方根据现场双板链地坑支撑立柱实际情况合理设计并提供图纸，投标方应保证新加槽钢支撑具备加强立柱承载能力的功能。</w:t>
      </w:r>
    </w:p>
    <w:p w14:paraId="371DE0B1">
      <w:pPr>
        <w:pStyle w:val="2"/>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val="0"/>
          <w:bCs w:val="0"/>
          <w:sz w:val="24"/>
          <w:szCs w:val="24"/>
        </w:rPr>
      </w:pPr>
      <w:r>
        <w:drawing>
          <wp:inline distT="0" distB="0" distL="114300" distR="114300">
            <wp:extent cx="2384425" cy="1805305"/>
            <wp:effectExtent l="0" t="0" r="15875" b="4445"/>
            <wp:docPr id="6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9"/>
                    <pic:cNvPicPr>
                      <a:picLocks noChangeAspect="1"/>
                    </pic:cNvPicPr>
                  </pic:nvPicPr>
                  <pic:blipFill>
                    <a:blip r:embed="rId47"/>
                    <a:stretch>
                      <a:fillRect/>
                    </a:stretch>
                  </pic:blipFill>
                  <pic:spPr>
                    <a:xfrm>
                      <a:off x="0" y="0"/>
                      <a:ext cx="2384425" cy="1805305"/>
                    </a:xfrm>
                    <a:prstGeom prst="rect">
                      <a:avLst/>
                    </a:prstGeom>
                  </pic:spPr>
                </pic:pic>
              </a:graphicData>
            </a:graphic>
          </wp:inline>
        </w:drawing>
      </w:r>
    </w:p>
    <w:p w14:paraId="04D2EC9D">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③在双板链地坑支撑框架横梁底部增加20厚钢板组合三角支撑，增加的钢板组合三角支撑具体规格尺寸需由投标方根据现场双板链地坑支撑框架实际情况合理设计并提供图纸，投标方应保证新加钢板组合三角支撑具备加强支撑框架承载能力的功能。</w:t>
      </w:r>
    </w:p>
    <w:p w14:paraId="23EE04D9">
      <w:pPr>
        <w:pStyle w:val="2"/>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val="0"/>
          <w:bCs w:val="0"/>
          <w:sz w:val="24"/>
          <w:szCs w:val="24"/>
        </w:rPr>
      </w:pPr>
      <w:r>
        <w:drawing>
          <wp:inline distT="0" distB="0" distL="114300" distR="114300">
            <wp:extent cx="2383790" cy="1652270"/>
            <wp:effectExtent l="0" t="0" r="16510" b="5080"/>
            <wp:docPr id="61"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13"/>
                    <pic:cNvPicPr>
                      <a:picLocks noChangeAspect="1"/>
                    </pic:cNvPicPr>
                  </pic:nvPicPr>
                  <pic:blipFill>
                    <a:blip r:embed="rId64"/>
                    <a:stretch>
                      <a:fillRect/>
                    </a:stretch>
                  </pic:blipFill>
                  <pic:spPr>
                    <a:xfrm>
                      <a:off x="0" y="0"/>
                      <a:ext cx="2383790" cy="1652270"/>
                    </a:xfrm>
                    <a:prstGeom prst="rect">
                      <a:avLst/>
                    </a:prstGeom>
                  </pic:spPr>
                </pic:pic>
              </a:graphicData>
            </a:graphic>
          </wp:inline>
        </w:drawing>
      </w:r>
    </w:p>
    <w:p w14:paraId="22E102F2">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④增加双板链驱动框架与地基的压板，由单板式改为通长版，横跨整个地基，增大框架与基础板的吸附力。标书提供压板仅供投标方参考，压板实际施工尺寸需投标方根据现场情况合理设计并提供图纸，压板厚度不小于现压板，新增后具备增强框架与基础板吸附力和稳定性的功能。</w:t>
      </w:r>
    </w:p>
    <w:p w14:paraId="2AB0B86F">
      <w:pPr>
        <w:pStyle w:val="2"/>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default" w:ascii="宋体" w:hAnsi="宋体" w:eastAsia="宋体" w:cs="宋体"/>
          <w:b w:val="0"/>
          <w:bCs w:val="0"/>
          <w:sz w:val="24"/>
          <w:szCs w:val="24"/>
          <w:lang w:val="en-US"/>
        </w:rPr>
      </w:pPr>
      <w:r>
        <w:rPr>
          <w:rFonts w:hint="eastAsia" w:ascii="宋体" w:hAnsi="宋体" w:cs="宋体"/>
          <w:sz w:val="24"/>
          <w:szCs w:val="24"/>
          <w:lang w:val="en-US" w:eastAsia="zh-CN"/>
        </w:rPr>
        <w:drawing>
          <wp:inline distT="0" distB="0" distL="114300" distR="114300">
            <wp:extent cx="2398395" cy="1809115"/>
            <wp:effectExtent l="0" t="0" r="1905" b="635"/>
            <wp:docPr id="62" name="图片 62" descr="742dc468eb3cdf71085fcfd8a41de2d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descr="742dc468eb3cdf71085fcfd8a41de2d5"/>
                    <pic:cNvPicPr>
                      <a:picLocks noChangeAspect="1"/>
                    </pic:cNvPicPr>
                  </pic:nvPicPr>
                  <pic:blipFill>
                    <a:blip r:embed="rId48"/>
                    <a:stretch>
                      <a:fillRect/>
                    </a:stretch>
                  </pic:blipFill>
                  <pic:spPr>
                    <a:xfrm>
                      <a:off x="0" y="0"/>
                      <a:ext cx="2398395" cy="1809115"/>
                    </a:xfrm>
                    <a:prstGeom prst="rect">
                      <a:avLst/>
                    </a:prstGeom>
                  </pic:spPr>
                </pic:pic>
              </a:graphicData>
            </a:graphic>
          </wp:inline>
        </w:drawing>
      </w:r>
      <w:r>
        <w:rPr>
          <w:rFonts w:hint="eastAsia" w:ascii="宋体" w:hAnsi="宋体" w:cs="宋体"/>
          <w:sz w:val="24"/>
          <w:szCs w:val="24"/>
          <w:lang w:val="en-US" w:eastAsia="zh-CN"/>
        </w:rPr>
        <w:t xml:space="preserve"> </w:t>
      </w:r>
      <w:r>
        <w:drawing>
          <wp:inline distT="0" distB="0" distL="114300" distR="114300">
            <wp:extent cx="2750185" cy="1786890"/>
            <wp:effectExtent l="0" t="0" r="12065" b="3810"/>
            <wp:docPr id="63"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27"/>
                    <pic:cNvPicPr>
                      <a:picLocks noChangeAspect="1"/>
                    </pic:cNvPicPr>
                  </pic:nvPicPr>
                  <pic:blipFill>
                    <a:blip r:embed="rId49">
                      <a:extLst>
                        <a:ext uri="{28A0092B-C50C-407E-A947-70E740481C1C}">
                          <a14:useLocalDpi xmlns:a14="http://schemas.microsoft.com/office/drawing/2010/main" val="0"/>
                        </a:ext>
                      </a:extLst>
                    </a:blip>
                    <a:stretch>
                      <a:fillRect/>
                    </a:stretch>
                  </pic:blipFill>
                  <pic:spPr>
                    <a:xfrm>
                      <a:off x="0" y="0"/>
                      <a:ext cx="2750185" cy="1786890"/>
                    </a:xfrm>
                    <a:prstGeom prst="rect">
                      <a:avLst/>
                    </a:prstGeom>
                  </pic:spPr>
                </pic:pic>
              </a:graphicData>
            </a:graphic>
          </wp:inline>
        </w:drawing>
      </w:r>
    </w:p>
    <w:p w14:paraId="00724DAC">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 xml:space="preserve"> ⑤双板链驱动框架内增加筋板，增大驱动框架的承载力。标书提供筋板仅供投标方参考，筋板实际施工尺寸需投标方根据现场情况合理设计并提供图纸，新增筋板要求具备明显的增大驱动框架承载力的实施效果。</w:t>
      </w:r>
    </w:p>
    <w:p w14:paraId="4DEB5240">
      <w:pPr>
        <w:pStyle w:val="2"/>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default" w:ascii="宋体" w:hAnsi="宋体" w:eastAsia="宋体" w:cs="宋体"/>
          <w:b w:val="0"/>
          <w:bCs w:val="0"/>
          <w:sz w:val="24"/>
          <w:szCs w:val="24"/>
          <w:lang w:val="en-US"/>
        </w:rPr>
      </w:pPr>
      <w:r>
        <w:rPr>
          <w:rFonts w:hint="eastAsia" w:ascii="宋体" w:hAnsi="宋体" w:cs="宋体"/>
          <w:sz w:val="24"/>
          <w:szCs w:val="24"/>
          <w:lang w:val="en-US" w:eastAsia="zh-CN"/>
        </w:rPr>
        <w:drawing>
          <wp:inline distT="0" distB="0" distL="114300" distR="114300">
            <wp:extent cx="2290445" cy="1543685"/>
            <wp:effectExtent l="0" t="0" r="14605" b="18415"/>
            <wp:docPr id="64" name="图片 64" descr="7e5f8e6f06beb9ffd20aa7a29422bf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descr="7e5f8e6f06beb9ffd20aa7a29422bf70"/>
                    <pic:cNvPicPr>
                      <a:picLocks noChangeAspect="1"/>
                    </pic:cNvPicPr>
                  </pic:nvPicPr>
                  <pic:blipFill>
                    <a:blip r:embed="rId65"/>
                    <a:stretch>
                      <a:fillRect/>
                    </a:stretch>
                  </pic:blipFill>
                  <pic:spPr>
                    <a:xfrm>
                      <a:off x="0" y="0"/>
                      <a:ext cx="2290445" cy="1543685"/>
                    </a:xfrm>
                    <a:prstGeom prst="rect">
                      <a:avLst/>
                    </a:prstGeom>
                  </pic:spPr>
                </pic:pic>
              </a:graphicData>
            </a:graphic>
          </wp:inline>
        </w:drawing>
      </w:r>
      <w:r>
        <w:rPr>
          <w:rFonts w:hint="eastAsia" w:ascii="宋体" w:hAnsi="宋体" w:cs="宋体"/>
          <w:sz w:val="24"/>
          <w:szCs w:val="24"/>
          <w:lang w:val="en-US" w:eastAsia="zh-CN"/>
        </w:rPr>
        <w:t xml:space="preserve"> </w:t>
      </w:r>
      <w:r>
        <w:drawing>
          <wp:inline distT="0" distB="0" distL="114300" distR="114300">
            <wp:extent cx="1254760" cy="1550670"/>
            <wp:effectExtent l="0" t="0" r="2540" b="11430"/>
            <wp:docPr id="65"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38"/>
                    <pic:cNvPicPr>
                      <a:picLocks noChangeAspect="1"/>
                    </pic:cNvPicPr>
                  </pic:nvPicPr>
                  <pic:blipFill>
                    <a:blip r:embed="rId51">
                      <a:extLst>
                        <a:ext uri="{28A0092B-C50C-407E-A947-70E740481C1C}">
                          <a14:useLocalDpi xmlns:a14="http://schemas.microsoft.com/office/drawing/2010/main" val="0"/>
                        </a:ext>
                      </a:extLst>
                    </a:blip>
                    <a:stretch>
                      <a:fillRect/>
                    </a:stretch>
                  </pic:blipFill>
                  <pic:spPr>
                    <a:xfrm>
                      <a:off x="0" y="0"/>
                      <a:ext cx="1254760" cy="1550670"/>
                    </a:xfrm>
                    <a:prstGeom prst="rect">
                      <a:avLst/>
                    </a:prstGeom>
                  </pic:spPr>
                </pic:pic>
              </a:graphicData>
            </a:graphic>
          </wp:inline>
        </w:drawing>
      </w:r>
    </w:p>
    <w:p w14:paraId="4A4AAA92">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⑥检修校直双板链两侧盖板和轨道压板，并在盖板内增加“十”字加强筋。双板链线体两侧盖板包含轨道左、右两侧全部扁豆花纹盖板，投标方需根据现场实际情况，设计合适的盖板内增加的“十”字加强筋，并提供现场盖板内增加“十”字加强筋的图纸。轨道压板校直后，与轨道链板贴合但不干涉磨碰链板运行，投标方需根据招标方需求和意见，校直调整轨道压板后可以解决双板链现存轨道压板起翘剐蹭磨损车辆轮胎等问题。</w:t>
      </w:r>
    </w:p>
    <w:p w14:paraId="5AF767C0">
      <w:pPr>
        <w:pStyle w:val="2"/>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val="0"/>
          <w:bCs w:val="0"/>
          <w:sz w:val="24"/>
          <w:szCs w:val="24"/>
          <w:lang w:val="en-US" w:eastAsia="zh-CN"/>
        </w:rPr>
      </w:pPr>
      <w:r>
        <w:drawing>
          <wp:inline distT="0" distB="0" distL="114300" distR="114300">
            <wp:extent cx="2540635" cy="1715770"/>
            <wp:effectExtent l="0" t="0" r="12065" b="17780"/>
            <wp:docPr id="6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5"/>
                    <pic:cNvPicPr>
                      <a:picLocks noChangeAspect="1"/>
                    </pic:cNvPicPr>
                  </pic:nvPicPr>
                  <pic:blipFill>
                    <a:blip r:embed="rId66"/>
                    <a:stretch>
                      <a:fillRect/>
                    </a:stretch>
                  </pic:blipFill>
                  <pic:spPr>
                    <a:xfrm>
                      <a:off x="0" y="0"/>
                      <a:ext cx="2540635" cy="1715770"/>
                    </a:xfrm>
                    <a:prstGeom prst="rect">
                      <a:avLst/>
                    </a:prstGeom>
                  </pic:spPr>
                </pic:pic>
              </a:graphicData>
            </a:graphic>
          </wp:inline>
        </w:drawing>
      </w:r>
      <w:r>
        <w:rPr>
          <w:rFonts w:hint="eastAsia"/>
          <w:lang w:val="en-US" w:eastAsia="zh-CN"/>
        </w:rPr>
        <w:t xml:space="preserve"> </w:t>
      </w:r>
      <w:r>
        <w:rPr>
          <w:rFonts w:hint="eastAsia" w:ascii="宋体" w:hAnsi="宋体" w:eastAsia="宋体" w:cs="宋体"/>
          <w:sz w:val="24"/>
          <w:szCs w:val="24"/>
          <w:lang w:val="en-US" w:eastAsia="zh-CN"/>
        </w:rPr>
        <w:drawing>
          <wp:inline distT="0" distB="0" distL="114300" distR="114300">
            <wp:extent cx="2599690" cy="1749425"/>
            <wp:effectExtent l="0" t="0" r="10160" b="3175"/>
            <wp:docPr id="67" name="图片 67" descr="18006acaf42203cf24cd33f490b346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18006acaf42203cf24cd33f490b346d3"/>
                    <pic:cNvPicPr>
                      <a:picLocks noChangeAspect="1"/>
                    </pic:cNvPicPr>
                  </pic:nvPicPr>
                  <pic:blipFill>
                    <a:blip r:embed="rId67"/>
                    <a:stretch>
                      <a:fillRect/>
                    </a:stretch>
                  </pic:blipFill>
                  <pic:spPr>
                    <a:xfrm>
                      <a:off x="0" y="0"/>
                      <a:ext cx="2599690" cy="1749425"/>
                    </a:xfrm>
                    <a:prstGeom prst="rect">
                      <a:avLst/>
                    </a:prstGeom>
                  </pic:spPr>
                </pic:pic>
              </a:graphicData>
            </a:graphic>
          </wp:inline>
        </w:drawing>
      </w:r>
    </w:p>
    <w:p w14:paraId="47C2AEBC">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12.3.3 加固双板链下线地坑钢构盖板</w:t>
      </w:r>
    </w:p>
    <w:p w14:paraId="5555AB57">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①逐点检查双板链车辆下线处钢构框架，对钢构框架开焊处进行焊接修复。双板链车辆下线处钢构框架焊接逐点检查区域需投标方明确并根据招标方需求及意见相应调整，严重变形位置要求投标方更换。</w:t>
      </w:r>
    </w:p>
    <w:p w14:paraId="321009BC">
      <w:pPr>
        <w:pStyle w:val="2"/>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val="0"/>
          <w:bCs w:val="0"/>
          <w:sz w:val="24"/>
          <w:szCs w:val="24"/>
        </w:rPr>
      </w:pPr>
      <w:r>
        <w:drawing>
          <wp:inline distT="0" distB="0" distL="114300" distR="114300">
            <wp:extent cx="2257425" cy="1815465"/>
            <wp:effectExtent l="0" t="0" r="9525" b="13335"/>
            <wp:docPr id="68" name="图片 29"/>
            <wp:cNvGraphicFramePr/>
            <a:graphic xmlns:a="http://schemas.openxmlformats.org/drawingml/2006/main">
              <a:graphicData uri="http://schemas.openxmlformats.org/drawingml/2006/picture">
                <pic:pic xmlns:pic="http://schemas.openxmlformats.org/drawingml/2006/picture">
                  <pic:nvPicPr>
                    <pic:cNvPr id="68" name="图片 29"/>
                    <pic:cNvPicPr/>
                  </pic:nvPicPr>
                  <pic:blipFill>
                    <a:blip r:embed="rId68"/>
                    <a:stretch>
                      <a:fillRect/>
                    </a:stretch>
                  </pic:blipFill>
                  <pic:spPr>
                    <a:xfrm>
                      <a:off x="0" y="0"/>
                      <a:ext cx="2257425" cy="1815465"/>
                    </a:xfrm>
                    <a:prstGeom prst="rect">
                      <a:avLst/>
                    </a:prstGeom>
                    <a:noFill/>
                    <a:ln>
                      <a:noFill/>
                    </a:ln>
                  </pic:spPr>
                </pic:pic>
              </a:graphicData>
            </a:graphic>
          </wp:inline>
        </w:drawing>
      </w:r>
    </w:p>
    <w:p w14:paraId="2EEBD7DC">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②将双板链车辆下线处地坑盖板更换为10mm厚钢板，新钢板至少具备25T承载能力，新钢板铺设完毕后无鼓包、闪缝、起翘等问题，安装后下线处整体在同一水平面。</w:t>
      </w:r>
    </w:p>
    <w:p w14:paraId="269E2408">
      <w:pPr>
        <w:pStyle w:val="2"/>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val="0"/>
          <w:bCs w:val="0"/>
          <w:sz w:val="24"/>
          <w:szCs w:val="24"/>
        </w:rPr>
      </w:pPr>
      <w:r>
        <w:drawing>
          <wp:inline distT="0" distB="0" distL="114300" distR="114300">
            <wp:extent cx="2203450" cy="1487805"/>
            <wp:effectExtent l="0" t="0" r="6350" b="17145"/>
            <wp:docPr id="6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5"/>
                    <pic:cNvPicPr>
                      <a:picLocks noChangeAspect="1"/>
                    </pic:cNvPicPr>
                  </pic:nvPicPr>
                  <pic:blipFill>
                    <a:blip r:embed="rId69"/>
                    <a:stretch>
                      <a:fillRect/>
                    </a:stretch>
                  </pic:blipFill>
                  <pic:spPr>
                    <a:xfrm>
                      <a:off x="0" y="0"/>
                      <a:ext cx="2203450" cy="1487805"/>
                    </a:xfrm>
                    <a:prstGeom prst="rect">
                      <a:avLst/>
                    </a:prstGeom>
                  </pic:spPr>
                </pic:pic>
              </a:graphicData>
            </a:graphic>
          </wp:inline>
        </w:drawing>
      </w:r>
    </w:p>
    <w:p w14:paraId="696A5624">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③增加立柱双侧槽钢加固，下线处框架立柱由单侧加强槽钢更改为双侧加强槽钢。增加的加强槽钢实际施工规格尺寸，需投标方根据现场情况合理设计并提供图纸。</w:t>
      </w:r>
    </w:p>
    <w:p w14:paraId="2052128C">
      <w:pPr>
        <w:pStyle w:val="2"/>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val="0"/>
          <w:bCs w:val="0"/>
          <w:sz w:val="24"/>
          <w:szCs w:val="24"/>
        </w:rPr>
      </w:pPr>
      <w:r>
        <w:drawing>
          <wp:inline distT="0" distB="0" distL="114300" distR="114300">
            <wp:extent cx="2121535" cy="1597025"/>
            <wp:effectExtent l="0" t="0" r="12065" b="3175"/>
            <wp:docPr id="70"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12"/>
                    <pic:cNvPicPr>
                      <a:picLocks noChangeAspect="1"/>
                    </pic:cNvPicPr>
                  </pic:nvPicPr>
                  <pic:blipFill>
                    <a:blip r:embed="rId70"/>
                    <a:srcRect/>
                    <a:stretch>
                      <a:fillRect/>
                    </a:stretch>
                  </pic:blipFill>
                  <pic:spPr>
                    <a:xfrm>
                      <a:off x="0" y="0"/>
                      <a:ext cx="2121535" cy="1597025"/>
                    </a:xfrm>
                    <a:prstGeom prst="rect">
                      <a:avLst/>
                    </a:prstGeom>
                  </pic:spPr>
                </pic:pic>
              </a:graphicData>
            </a:graphic>
          </wp:inline>
        </w:drawing>
      </w:r>
    </w:p>
    <w:p w14:paraId="5A9A4EA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12.3.4 更换双板链链板</w:t>
      </w:r>
    </w:p>
    <w:p w14:paraId="17BBBA0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双板链链板由5mm更换为8mm厚花纹钢板，在新链板上链板与轨道接触点内部增加两条方管式加强筋，提高链板强度，加强筋必须使用管式，不允许使用角铁式。投标方需根据现场实际情况设计合理的管式加强筋新链板并提供图纸，保证加厚新链板更换后，不影响双板链正常使用运行及链板返回等。</w:t>
      </w:r>
    </w:p>
    <w:p w14:paraId="39AD6E81">
      <w:pPr>
        <w:pStyle w:val="2"/>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val="0"/>
          <w:bCs w:val="0"/>
          <w:sz w:val="24"/>
          <w:szCs w:val="24"/>
        </w:rPr>
      </w:pPr>
      <w:r>
        <w:drawing>
          <wp:inline distT="0" distB="0" distL="114300" distR="114300">
            <wp:extent cx="1179195" cy="2056765"/>
            <wp:effectExtent l="0" t="0" r="1905" b="635"/>
            <wp:docPr id="71"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28"/>
                    <pic:cNvPicPr>
                      <a:picLocks noChangeAspect="1"/>
                    </pic:cNvPicPr>
                  </pic:nvPicPr>
                  <pic:blipFill>
                    <a:blip r:embed="rId71"/>
                    <a:stretch>
                      <a:fillRect/>
                    </a:stretch>
                  </pic:blipFill>
                  <pic:spPr>
                    <a:xfrm>
                      <a:off x="0" y="0"/>
                      <a:ext cx="1179195" cy="2056765"/>
                    </a:xfrm>
                    <a:prstGeom prst="rect">
                      <a:avLst/>
                    </a:prstGeom>
                  </pic:spPr>
                </pic:pic>
              </a:graphicData>
            </a:graphic>
          </wp:inline>
        </w:drawing>
      </w:r>
    </w:p>
    <w:p w14:paraId="06588443">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12.3.5 更换安全销</w:t>
      </w:r>
    </w:p>
    <w:p w14:paraId="5199BFA3">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双板链安全销由15mm直径更换为22mm直径（材质：铸铁SH20）。此尺寸仅为按极限状态下计算理论尺寸，投标人需提供按单车30T状态下，改造后双板链（需一并考虑双板链加固改造方案实施后，双板链增加重量）适用的安全销直径计算书，计算书需完整、准确并标注安全销材质，并提供安全销图纸，安全销实际使用尺寸以现场调试实际情况为准。</w:t>
      </w:r>
    </w:p>
    <w:p w14:paraId="3FEB39E4">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12.3.6 更换双板链磨损严重的150套轴承滚轮，新换轴承滚轮与双板链现用轴承滚轮规格一致，新换轴承滚轮需保证与线体其余轴承滚轮衔接到位，可以满足线体长期安全稳定运行。</w:t>
      </w:r>
    </w:p>
    <w:p w14:paraId="79A2CE21">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12.3.7 加固双板链驱动部分、涨紧部分：</w:t>
      </w:r>
    </w:p>
    <w:p w14:paraId="6B57E381">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①双板链驱动部分包括驱动地坑钢构支架及盖板、电机减速机固定座等。</w:t>
      </w:r>
    </w:p>
    <w:p w14:paraId="197B7898">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②双板链涨紧部分包括涨紧地坑钢构支架及盖板、涨紧基座等。</w:t>
      </w:r>
    </w:p>
    <w:p w14:paraId="40AA0B97">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③投标方需根据现场实际情况明确加固双板链驱动部分、涨紧部分具体实施方案，并满足招标方现场需求和意见。</w:t>
      </w:r>
    </w:p>
    <w:p w14:paraId="7196F27F">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12.3.8 检修双板链承重轨道、返回轨道</w:t>
      </w:r>
    </w:p>
    <w:p w14:paraId="51653ACE">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检修过程如有必要需投标方与招标方技术人员一起进行，投标方检修需满足招标方现场需求和意见。</w:t>
      </w:r>
    </w:p>
    <w:p w14:paraId="792B1FDA">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12.4 全部安装完成后整线联调联试。</w:t>
      </w:r>
    </w:p>
    <w:p w14:paraId="4BEF15D2">
      <w:pPr>
        <w:pStyle w:val="2"/>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13.项目实施特殊要求</w:t>
      </w:r>
    </w:p>
    <w:p w14:paraId="211DB930">
      <w:pPr>
        <w:pStyle w:val="2"/>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13.1 项目实施过程中不允许使用化学螺栓。</w:t>
      </w:r>
    </w:p>
    <w:p w14:paraId="5DB34A5E">
      <w:pPr>
        <w:pStyle w:val="2"/>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13.2 投标方需根据备货期及具体施工内容提供完整的项目施工计划，明确项目备货周期、施工过程连续停线时间。</w:t>
      </w:r>
    </w:p>
    <w:p w14:paraId="4F708A46">
      <w:pPr>
        <w:pStyle w:val="2"/>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13.3地拖链、双板链地坑内存在废油液、废油渣，地坑内废油液、废油渣清理和收集由投标方负责，并由投标方提供清理和收集的工具、容器，收集的废油液、废油渣由招标方负责处理。</w:t>
      </w:r>
    </w:p>
    <w:p w14:paraId="4ADAE6E2">
      <w:pPr>
        <w:pStyle w:val="2"/>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13.4密闭空间作业：密闭空间作业所需的照明、通风等安全设备设施需投标方根据现场实际施工环境自行准备。</w:t>
      </w:r>
    </w:p>
    <w:p w14:paraId="7EBB13FD">
      <w:pPr>
        <w:pStyle w:val="2"/>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13.5若招标文件各组成部分对同一事项的描述存在不一致，以对投标人要求较高、或对项目技术及质量标准要求更严格的条款为准。</w:t>
      </w:r>
    </w:p>
    <w:p w14:paraId="05EBC8CB">
      <w:pPr>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14.电气部分标准</w:t>
      </w:r>
    </w:p>
    <w:p w14:paraId="32C244FC">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符合《电气装置安装盘、柜及二次回路接线施工及验收规范》 （GB50171-92）；</w:t>
      </w:r>
    </w:p>
    <w:p w14:paraId="43A60FA5">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符合《电气装置安装工程母线装置施工及验收规范》 （GBJ149-90）；</w:t>
      </w:r>
    </w:p>
    <w:p w14:paraId="0EF81BF4">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符合《电气装置安装工程爆炸和火灾危险环境电气装置施工及验收规范》 （GB50527-96）；</w:t>
      </w:r>
    </w:p>
    <w:p w14:paraId="6439EEAC">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符合《电气装置安装工程质量检验、评定标准》（GBJ303-88）；</w:t>
      </w:r>
    </w:p>
    <w:p w14:paraId="00AD115F">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符合《工业机械电气设备 第一部分：通用技术条件》（GB/T5226.1-1996）；</w:t>
      </w:r>
    </w:p>
    <w:p w14:paraId="3CBC726F">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符合《电控设备 第一部分：低压电器电控设备》；</w:t>
      </w:r>
    </w:p>
    <w:p w14:paraId="5057B5CE">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符合机械部部颁标准《电力系统二次回路用屏（台）通用技术条件》。</w:t>
      </w:r>
    </w:p>
    <w:p w14:paraId="45C95C56">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辅梁钢结构的材料表面需经过除锈处理，通过一次底漆、两次面漆使漆膜的厚度为30～50微米。油漆的颜色由招标方负责向投标方提供色板或色标号。</w:t>
      </w:r>
    </w:p>
    <w:p w14:paraId="1D7624D0">
      <w:pPr>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15.执行标准</w:t>
      </w:r>
    </w:p>
    <w:p w14:paraId="6E90A4E8">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15.1 招标方此处所列标准仅为涉及的主要标准，而且不保证其为最新版执行标准；投标方应当在投标文件中认真予以填写、补充和修改完善。</w:t>
      </w:r>
    </w:p>
    <w:p w14:paraId="1E86A636">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15.2 投标方需要执行的标准，应当采用所供货物通过买方组织的最终验收之日已经开始执行的最新标准。</w:t>
      </w:r>
    </w:p>
    <w:p w14:paraId="5E06C031">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15.3 采购货物的产品质量、技术标准如在招投标文件中无相应说明，则按中华人民共和国有关部门颁发的最新的国标或专业（部）标准执行及相应的国际标准。</w:t>
      </w:r>
    </w:p>
    <w:p w14:paraId="5D1A50C9">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15.4 采购货物没有国家或专业（部）标准的，按企业标准执行时，卖方应在合同签署之前，将所涉及的企业标准提供给买方确认。</w:t>
      </w:r>
    </w:p>
    <w:p w14:paraId="24B0CFA2">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15.5 采购货物如果采用国际标准，其执行标准由投标方提供、招标方确认。</w:t>
      </w:r>
    </w:p>
    <w:p w14:paraId="05517C61">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15.6 采购货物所涉及的标准不统一时，原则上按照最严格标准执行。</w:t>
      </w:r>
    </w:p>
    <w:p w14:paraId="0F15974E">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15.7 涉及的主要标准表</w:t>
      </w: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4110"/>
        <w:gridCol w:w="1843"/>
        <w:gridCol w:w="2062"/>
      </w:tblGrid>
      <w:tr w14:paraId="05780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14:paraId="5B75441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eastAsia="宋体" w:cs="宋体"/>
                <w:sz w:val="24"/>
                <w:szCs w:val="24"/>
              </w:rPr>
            </w:pPr>
            <w:r>
              <w:rPr>
                <w:rFonts w:hint="eastAsia" w:ascii="宋体" w:hAnsi="宋体" w:eastAsia="宋体" w:cs="宋体"/>
                <w:sz w:val="24"/>
                <w:szCs w:val="24"/>
              </w:rPr>
              <w:t>序号</w:t>
            </w:r>
          </w:p>
        </w:tc>
        <w:tc>
          <w:tcPr>
            <w:tcW w:w="4110" w:type="dxa"/>
            <w:vAlign w:val="center"/>
          </w:tcPr>
          <w:p w14:paraId="05BD283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eastAsia="宋体" w:cs="宋体"/>
                <w:sz w:val="24"/>
                <w:szCs w:val="24"/>
              </w:rPr>
            </w:pPr>
            <w:r>
              <w:rPr>
                <w:rFonts w:hint="eastAsia" w:ascii="宋体" w:hAnsi="宋体" w:eastAsia="宋体" w:cs="宋体"/>
                <w:sz w:val="24"/>
                <w:szCs w:val="24"/>
              </w:rPr>
              <w:t>标准名称</w:t>
            </w:r>
          </w:p>
        </w:tc>
        <w:tc>
          <w:tcPr>
            <w:tcW w:w="1843" w:type="dxa"/>
            <w:vAlign w:val="center"/>
          </w:tcPr>
          <w:p w14:paraId="24BE865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eastAsia="宋体" w:cs="宋体"/>
                <w:sz w:val="24"/>
                <w:szCs w:val="24"/>
              </w:rPr>
            </w:pPr>
            <w:r>
              <w:rPr>
                <w:rFonts w:hint="eastAsia" w:ascii="宋体" w:hAnsi="宋体" w:eastAsia="宋体" w:cs="宋体"/>
                <w:sz w:val="24"/>
                <w:szCs w:val="24"/>
              </w:rPr>
              <w:t>标准编号</w:t>
            </w:r>
          </w:p>
        </w:tc>
        <w:tc>
          <w:tcPr>
            <w:tcW w:w="2062" w:type="dxa"/>
            <w:vAlign w:val="center"/>
          </w:tcPr>
          <w:p w14:paraId="347CE5D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eastAsia="宋体" w:cs="宋体"/>
                <w:sz w:val="24"/>
                <w:szCs w:val="24"/>
              </w:rPr>
            </w:pPr>
            <w:r>
              <w:rPr>
                <w:rFonts w:hint="eastAsia" w:ascii="宋体" w:hAnsi="宋体" w:eastAsia="宋体" w:cs="宋体"/>
                <w:sz w:val="24"/>
                <w:szCs w:val="24"/>
              </w:rPr>
              <w:t>备注</w:t>
            </w:r>
          </w:p>
        </w:tc>
      </w:tr>
      <w:tr w14:paraId="1373B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14:paraId="53FA47D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eastAsia="宋体" w:cs="宋体"/>
                <w:sz w:val="24"/>
                <w:szCs w:val="24"/>
              </w:rPr>
            </w:pPr>
            <w:r>
              <w:rPr>
                <w:rFonts w:hint="eastAsia" w:ascii="宋体" w:hAnsi="宋体" w:eastAsia="宋体" w:cs="宋体"/>
                <w:sz w:val="24"/>
                <w:szCs w:val="24"/>
              </w:rPr>
              <w:t>1</w:t>
            </w:r>
          </w:p>
        </w:tc>
        <w:tc>
          <w:tcPr>
            <w:tcW w:w="4110" w:type="dxa"/>
            <w:vAlign w:val="center"/>
          </w:tcPr>
          <w:p w14:paraId="745B8C1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eastAsia="宋体" w:cs="宋体"/>
                <w:sz w:val="24"/>
                <w:szCs w:val="24"/>
              </w:rPr>
            </w:pPr>
            <w:r>
              <w:rPr>
                <w:rFonts w:hint="eastAsia" w:ascii="宋体" w:hAnsi="宋体" w:eastAsia="宋体" w:cs="宋体"/>
                <w:sz w:val="24"/>
                <w:szCs w:val="24"/>
              </w:rPr>
              <w:t>买方提供企业标准</w:t>
            </w:r>
          </w:p>
        </w:tc>
        <w:tc>
          <w:tcPr>
            <w:tcW w:w="1843" w:type="dxa"/>
            <w:vAlign w:val="center"/>
          </w:tcPr>
          <w:p w14:paraId="32D7C7E1">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ascii="宋体" w:hAnsi="宋体" w:eastAsia="宋体" w:cs="宋体"/>
                <w:sz w:val="24"/>
                <w:szCs w:val="24"/>
              </w:rPr>
            </w:pPr>
          </w:p>
        </w:tc>
        <w:tc>
          <w:tcPr>
            <w:tcW w:w="2062" w:type="dxa"/>
            <w:vAlign w:val="center"/>
          </w:tcPr>
          <w:p w14:paraId="61732FD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eastAsia="宋体" w:cs="宋体"/>
                <w:sz w:val="24"/>
                <w:szCs w:val="24"/>
              </w:rPr>
            </w:pPr>
            <w:r>
              <w:rPr>
                <w:rFonts w:hint="eastAsia" w:ascii="宋体" w:hAnsi="宋体" w:eastAsia="宋体" w:cs="宋体"/>
                <w:sz w:val="24"/>
                <w:szCs w:val="24"/>
              </w:rPr>
              <w:t>卖方确认</w:t>
            </w:r>
          </w:p>
        </w:tc>
      </w:tr>
      <w:tr w14:paraId="4EE6A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14:paraId="4B05A03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eastAsia="宋体" w:cs="宋体"/>
                <w:sz w:val="24"/>
                <w:szCs w:val="24"/>
              </w:rPr>
            </w:pPr>
            <w:r>
              <w:rPr>
                <w:rFonts w:hint="eastAsia" w:ascii="宋体" w:hAnsi="宋体" w:eastAsia="宋体" w:cs="宋体"/>
                <w:sz w:val="24"/>
                <w:szCs w:val="24"/>
              </w:rPr>
              <w:t>2</w:t>
            </w:r>
          </w:p>
        </w:tc>
        <w:tc>
          <w:tcPr>
            <w:tcW w:w="4110" w:type="dxa"/>
            <w:vAlign w:val="center"/>
          </w:tcPr>
          <w:p w14:paraId="7A059ED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eastAsia="宋体" w:cs="宋体"/>
                <w:sz w:val="24"/>
                <w:szCs w:val="24"/>
              </w:rPr>
            </w:pPr>
            <w:r>
              <w:rPr>
                <w:rFonts w:hint="eastAsia" w:ascii="宋体" w:hAnsi="宋体" w:eastAsia="宋体" w:cs="宋体"/>
                <w:sz w:val="24"/>
                <w:szCs w:val="24"/>
              </w:rPr>
              <w:t>买方提供与设备安全和环保相关的中国、国际通用和制造国的标准</w:t>
            </w:r>
          </w:p>
        </w:tc>
        <w:tc>
          <w:tcPr>
            <w:tcW w:w="1843" w:type="dxa"/>
            <w:vAlign w:val="center"/>
          </w:tcPr>
          <w:p w14:paraId="582552AB">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ascii="宋体" w:hAnsi="宋体" w:eastAsia="宋体" w:cs="宋体"/>
                <w:sz w:val="24"/>
                <w:szCs w:val="24"/>
              </w:rPr>
            </w:pPr>
          </w:p>
        </w:tc>
        <w:tc>
          <w:tcPr>
            <w:tcW w:w="2062" w:type="dxa"/>
            <w:vAlign w:val="center"/>
          </w:tcPr>
          <w:p w14:paraId="1AA8C13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eastAsia="宋体" w:cs="宋体"/>
                <w:sz w:val="24"/>
                <w:szCs w:val="24"/>
              </w:rPr>
            </w:pPr>
            <w:r>
              <w:rPr>
                <w:rFonts w:hint="eastAsia" w:ascii="宋体" w:hAnsi="宋体" w:eastAsia="宋体" w:cs="宋体"/>
                <w:sz w:val="24"/>
                <w:szCs w:val="24"/>
              </w:rPr>
              <w:t>卖方确认</w:t>
            </w:r>
          </w:p>
        </w:tc>
      </w:tr>
    </w:tbl>
    <w:p w14:paraId="04855332">
      <w:pPr>
        <w:pStyle w:val="2"/>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p>
    <w:p w14:paraId="4CA9A563">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p>
    <w:p w14:paraId="7175669D">
      <w:pPr>
        <w:pStyle w:val="2"/>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p>
    <w:p w14:paraId="59803494">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p>
    <w:p w14:paraId="00574F44">
      <w:pPr>
        <w:pStyle w:val="2"/>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p>
    <w:p w14:paraId="6256E8F7">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rPr>
      </w:pPr>
    </w:p>
    <w:p w14:paraId="42889C79">
      <w:pPr>
        <w:pStyle w:val="18"/>
        <w:rPr>
          <w:rFonts w:hint="eastAsia" w:hAnsi="宋体" w:eastAsia="宋体"/>
        </w:rPr>
      </w:pPr>
    </w:p>
    <w:p w14:paraId="03C4FA2A">
      <w:pPr>
        <w:keepNext/>
        <w:keepLines/>
        <w:jc w:val="center"/>
        <w:outlineLvl w:val="1"/>
        <w:rPr>
          <w:rFonts w:hint="eastAsia" w:ascii="宋体" w:hAnsi="宋体" w:eastAsia="宋体"/>
          <w:b/>
          <w:bCs/>
          <w:kern w:val="44"/>
          <w:sz w:val="28"/>
          <w:szCs w:val="28"/>
        </w:rPr>
      </w:pPr>
      <w:r>
        <w:rPr>
          <w:rFonts w:hint="eastAsia" w:ascii="宋体" w:hAnsi="宋体" w:eastAsia="宋体"/>
          <w:b/>
          <w:bCs/>
          <w:kern w:val="44"/>
          <w:sz w:val="28"/>
          <w:szCs w:val="28"/>
        </w:rPr>
        <w:t>第三章供货范围及供货方式</w:t>
      </w:r>
      <w:bookmarkEnd w:id="37"/>
    </w:p>
    <w:p w14:paraId="2CFD8D50">
      <w:pPr>
        <w:rPr>
          <w:rFonts w:hint="eastAsia" w:ascii="宋体" w:hAnsi="宋体" w:eastAsia="宋体"/>
        </w:rPr>
      </w:pPr>
    </w:p>
    <w:p w14:paraId="52D935E2">
      <w:pPr>
        <w:keepNext/>
        <w:keepLines/>
        <w:spacing w:line="360" w:lineRule="auto"/>
        <w:jc w:val="center"/>
        <w:outlineLvl w:val="2"/>
        <w:rPr>
          <w:rFonts w:hint="eastAsia"/>
        </w:rPr>
      </w:pPr>
      <w:bookmarkStart w:id="38" w:name="_Toc169605882"/>
      <w:r>
        <w:rPr>
          <w:rFonts w:hint="eastAsia" w:ascii="宋体" w:hAnsi="宋体" w:eastAsia="宋体" w:cs="宋体"/>
          <w:b/>
          <w:bCs/>
          <w:sz w:val="24"/>
          <w:szCs w:val="32"/>
        </w:rPr>
        <w:t>第一节  供货范围</w:t>
      </w:r>
      <w:bookmarkEnd w:id="38"/>
    </w:p>
    <w:p w14:paraId="554A14FB">
      <w:pPr>
        <w:pStyle w:val="129"/>
        <w:spacing w:line="360" w:lineRule="auto"/>
        <w:ind w:firstLine="0" w:firstLineChars="0"/>
        <w:outlineLvl w:val="3"/>
        <w:rPr>
          <w:rFonts w:hint="eastAsia" w:ascii="宋体" w:hAnsi="宋体" w:eastAsia="宋体" w:cs="宋体"/>
          <w:b/>
          <w:bCs/>
          <w:sz w:val="24"/>
          <w:szCs w:val="24"/>
        </w:rPr>
      </w:pPr>
      <w:r>
        <w:rPr>
          <w:rFonts w:ascii="宋体" w:hAnsi="宋体" w:eastAsia="宋体" w:cs="宋体"/>
          <w:b/>
          <w:bCs/>
          <w:sz w:val="24"/>
          <w:szCs w:val="24"/>
        </w:rPr>
        <w:t>一、</w:t>
      </w:r>
      <w:r>
        <w:rPr>
          <w:rFonts w:hint="eastAsia" w:ascii="宋体" w:hAnsi="宋体" w:eastAsia="宋体" w:cs="宋体"/>
          <w:b/>
          <w:bCs/>
          <w:sz w:val="24"/>
          <w:szCs w:val="24"/>
        </w:rPr>
        <w:t>供货范围</w:t>
      </w:r>
    </w:p>
    <w:tbl>
      <w:tblPr>
        <w:tblStyle w:val="4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4"/>
        <w:gridCol w:w="3343"/>
        <w:gridCol w:w="1639"/>
        <w:gridCol w:w="1650"/>
        <w:gridCol w:w="1670"/>
      </w:tblGrid>
      <w:tr w14:paraId="76F2A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vAlign w:val="center"/>
          </w:tcPr>
          <w:p w14:paraId="1C941B1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序号</w:t>
            </w:r>
          </w:p>
        </w:tc>
        <w:tc>
          <w:tcPr>
            <w:tcW w:w="3343" w:type="dxa"/>
            <w:vAlign w:val="center"/>
          </w:tcPr>
          <w:p w14:paraId="7580570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名称</w:t>
            </w:r>
          </w:p>
        </w:tc>
        <w:tc>
          <w:tcPr>
            <w:tcW w:w="1639" w:type="dxa"/>
            <w:vAlign w:val="center"/>
          </w:tcPr>
          <w:p w14:paraId="287B3E0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单位</w:t>
            </w:r>
          </w:p>
        </w:tc>
        <w:tc>
          <w:tcPr>
            <w:tcW w:w="1650" w:type="dxa"/>
            <w:vAlign w:val="center"/>
          </w:tcPr>
          <w:p w14:paraId="775A939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数量</w:t>
            </w:r>
          </w:p>
        </w:tc>
        <w:tc>
          <w:tcPr>
            <w:tcW w:w="1670" w:type="dxa"/>
            <w:vAlign w:val="center"/>
          </w:tcPr>
          <w:p w14:paraId="7034CBD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备注</w:t>
            </w:r>
          </w:p>
        </w:tc>
      </w:tr>
      <w:tr w14:paraId="2DFD8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vAlign w:val="center"/>
          </w:tcPr>
          <w:p w14:paraId="5138DA6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w:t>
            </w:r>
          </w:p>
        </w:tc>
        <w:tc>
          <w:tcPr>
            <w:tcW w:w="3343" w:type="dxa"/>
            <w:vAlign w:val="center"/>
          </w:tcPr>
          <w:p w14:paraId="1517BD9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r>
              <w:rPr>
                <w:rFonts w:hint="eastAsia" w:ascii="宋体" w:hAnsi="宋体" w:eastAsia="宋体" w:cs="宋体"/>
                <w:sz w:val="21"/>
                <w:szCs w:val="21"/>
                <w:vertAlign w:val="baseline"/>
              </w:rPr>
              <w:t>更换15kW电机减速机</w:t>
            </w:r>
          </w:p>
        </w:tc>
        <w:tc>
          <w:tcPr>
            <w:tcW w:w="1639" w:type="dxa"/>
            <w:vAlign w:val="center"/>
          </w:tcPr>
          <w:p w14:paraId="5BC417E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套</w:t>
            </w:r>
          </w:p>
        </w:tc>
        <w:tc>
          <w:tcPr>
            <w:tcW w:w="1650" w:type="dxa"/>
            <w:vAlign w:val="center"/>
          </w:tcPr>
          <w:p w14:paraId="79010425">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1</w:t>
            </w:r>
          </w:p>
        </w:tc>
        <w:tc>
          <w:tcPr>
            <w:tcW w:w="1670" w:type="dxa"/>
            <w:vAlign w:val="center"/>
          </w:tcPr>
          <w:p w14:paraId="200EDA4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rPr>
              <w:t>SEW一级</w:t>
            </w:r>
            <w:r>
              <w:rPr>
                <w:rFonts w:hint="eastAsia" w:ascii="宋体" w:hAnsi="宋体" w:eastAsia="宋体" w:cs="宋体"/>
                <w:sz w:val="21"/>
                <w:szCs w:val="21"/>
                <w:vertAlign w:val="baseline"/>
                <w:lang w:val="en-US" w:eastAsia="zh-CN"/>
              </w:rPr>
              <w:t>能效</w:t>
            </w:r>
          </w:p>
        </w:tc>
      </w:tr>
      <w:tr w14:paraId="13C9C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vAlign w:val="center"/>
          </w:tcPr>
          <w:p w14:paraId="516E38C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2</w:t>
            </w:r>
          </w:p>
        </w:tc>
        <w:tc>
          <w:tcPr>
            <w:tcW w:w="3343" w:type="dxa"/>
            <w:vAlign w:val="center"/>
          </w:tcPr>
          <w:p w14:paraId="0AF0459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r>
              <w:rPr>
                <w:rFonts w:hint="eastAsia" w:ascii="宋体" w:hAnsi="宋体" w:eastAsia="宋体" w:cs="宋体"/>
                <w:sz w:val="21"/>
                <w:szCs w:val="21"/>
                <w:vertAlign w:val="baseline"/>
              </w:rPr>
              <w:t>更换5.5kW电机减速机</w:t>
            </w:r>
          </w:p>
        </w:tc>
        <w:tc>
          <w:tcPr>
            <w:tcW w:w="1639" w:type="dxa"/>
            <w:vAlign w:val="center"/>
          </w:tcPr>
          <w:p w14:paraId="13AB4F2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套</w:t>
            </w:r>
          </w:p>
        </w:tc>
        <w:tc>
          <w:tcPr>
            <w:tcW w:w="1650" w:type="dxa"/>
            <w:vAlign w:val="center"/>
          </w:tcPr>
          <w:p w14:paraId="2733E127">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lang w:val="en-US" w:eastAsia="zh-CN"/>
              </w:rPr>
              <w:t>1</w:t>
            </w:r>
          </w:p>
        </w:tc>
        <w:tc>
          <w:tcPr>
            <w:tcW w:w="1670" w:type="dxa"/>
            <w:vAlign w:val="center"/>
          </w:tcPr>
          <w:p w14:paraId="347D437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r>
              <w:rPr>
                <w:rFonts w:hint="eastAsia" w:ascii="宋体" w:hAnsi="宋体" w:eastAsia="宋体" w:cs="宋体"/>
                <w:sz w:val="21"/>
                <w:szCs w:val="21"/>
                <w:vertAlign w:val="baseline"/>
              </w:rPr>
              <w:t>SEW一级</w:t>
            </w:r>
            <w:r>
              <w:rPr>
                <w:rFonts w:hint="eastAsia" w:ascii="宋体" w:hAnsi="宋体" w:eastAsia="宋体" w:cs="宋体"/>
                <w:sz w:val="21"/>
                <w:szCs w:val="21"/>
                <w:vertAlign w:val="baseline"/>
                <w:lang w:val="en-US" w:eastAsia="zh-CN"/>
              </w:rPr>
              <w:t>能效</w:t>
            </w:r>
          </w:p>
        </w:tc>
      </w:tr>
      <w:tr w14:paraId="1D58B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vAlign w:val="center"/>
          </w:tcPr>
          <w:p w14:paraId="35E0B8D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3</w:t>
            </w:r>
          </w:p>
        </w:tc>
        <w:tc>
          <w:tcPr>
            <w:tcW w:w="3343" w:type="dxa"/>
            <w:vAlign w:val="center"/>
          </w:tcPr>
          <w:p w14:paraId="34AFECA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r>
              <w:rPr>
                <w:rFonts w:hint="eastAsia" w:ascii="宋体" w:hAnsi="宋体" w:eastAsia="宋体" w:cs="宋体"/>
                <w:sz w:val="21"/>
                <w:szCs w:val="21"/>
                <w:vertAlign w:val="baseline"/>
              </w:rPr>
              <w:t>电气系统配套更换</w:t>
            </w:r>
          </w:p>
        </w:tc>
        <w:tc>
          <w:tcPr>
            <w:tcW w:w="1639" w:type="dxa"/>
            <w:vAlign w:val="center"/>
          </w:tcPr>
          <w:p w14:paraId="4989829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套</w:t>
            </w:r>
          </w:p>
        </w:tc>
        <w:tc>
          <w:tcPr>
            <w:tcW w:w="1650" w:type="dxa"/>
            <w:vAlign w:val="center"/>
          </w:tcPr>
          <w:p w14:paraId="2CC6A17B">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lang w:val="en-US" w:eastAsia="zh-CN"/>
              </w:rPr>
              <w:t>1</w:t>
            </w:r>
          </w:p>
        </w:tc>
        <w:tc>
          <w:tcPr>
            <w:tcW w:w="1670" w:type="dxa"/>
            <w:vAlign w:val="center"/>
          </w:tcPr>
          <w:p w14:paraId="721CBC8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p>
        </w:tc>
      </w:tr>
      <w:tr w14:paraId="55052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vAlign w:val="center"/>
          </w:tcPr>
          <w:p w14:paraId="641CF10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4</w:t>
            </w:r>
          </w:p>
        </w:tc>
        <w:tc>
          <w:tcPr>
            <w:tcW w:w="3343" w:type="dxa"/>
            <w:vAlign w:val="center"/>
          </w:tcPr>
          <w:p w14:paraId="33B172A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r>
              <w:rPr>
                <w:rFonts w:hint="eastAsia" w:ascii="宋体" w:hAnsi="宋体" w:eastAsia="宋体" w:cs="宋体"/>
                <w:sz w:val="21"/>
                <w:szCs w:val="21"/>
                <w:vertAlign w:val="baseline"/>
                <w:lang w:val="en-US" w:eastAsia="zh-CN"/>
              </w:rPr>
              <w:t>加固地拖链、双板链线体中间骨架</w:t>
            </w:r>
          </w:p>
        </w:tc>
        <w:tc>
          <w:tcPr>
            <w:tcW w:w="1639" w:type="dxa"/>
            <w:vAlign w:val="center"/>
          </w:tcPr>
          <w:p w14:paraId="6C414CC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套</w:t>
            </w:r>
          </w:p>
        </w:tc>
        <w:tc>
          <w:tcPr>
            <w:tcW w:w="1650" w:type="dxa"/>
            <w:vAlign w:val="center"/>
          </w:tcPr>
          <w:p w14:paraId="6B1DD276">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1</w:t>
            </w:r>
          </w:p>
        </w:tc>
        <w:tc>
          <w:tcPr>
            <w:tcW w:w="1670" w:type="dxa"/>
            <w:vAlign w:val="center"/>
          </w:tcPr>
          <w:p w14:paraId="3B69897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p>
        </w:tc>
      </w:tr>
      <w:tr w14:paraId="7E1C9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vAlign w:val="center"/>
          </w:tcPr>
          <w:p w14:paraId="21B8600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5</w:t>
            </w:r>
          </w:p>
        </w:tc>
        <w:tc>
          <w:tcPr>
            <w:tcW w:w="3343" w:type="dxa"/>
            <w:vAlign w:val="center"/>
          </w:tcPr>
          <w:p w14:paraId="408521F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r>
              <w:rPr>
                <w:rFonts w:hint="eastAsia" w:ascii="宋体" w:hAnsi="宋体" w:eastAsia="宋体" w:cs="宋体"/>
                <w:sz w:val="21"/>
                <w:szCs w:val="21"/>
                <w:vertAlign w:val="baseline"/>
                <w:lang w:val="en-US" w:eastAsia="zh-CN"/>
              </w:rPr>
              <w:t>地拖链增加承载横梁</w:t>
            </w:r>
          </w:p>
        </w:tc>
        <w:tc>
          <w:tcPr>
            <w:tcW w:w="1639" w:type="dxa"/>
            <w:vAlign w:val="center"/>
          </w:tcPr>
          <w:p w14:paraId="42EA6B6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套</w:t>
            </w:r>
          </w:p>
        </w:tc>
        <w:tc>
          <w:tcPr>
            <w:tcW w:w="1650" w:type="dxa"/>
            <w:vAlign w:val="center"/>
          </w:tcPr>
          <w:p w14:paraId="27539D22">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lang w:val="en-US" w:eastAsia="zh-CN"/>
              </w:rPr>
              <w:t>1</w:t>
            </w:r>
          </w:p>
        </w:tc>
        <w:tc>
          <w:tcPr>
            <w:tcW w:w="1670" w:type="dxa"/>
            <w:vAlign w:val="center"/>
          </w:tcPr>
          <w:p w14:paraId="75C8D6D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p>
        </w:tc>
      </w:tr>
      <w:tr w14:paraId="4A5AB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vAlign w:val="center"/>
          </w:tcPr>
          <w:p w14:paraId="72DA202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vertAlign w:val="baseline"/>
                <w:lang w:val="en-US" w:eastAsia="zh-CN"/>
              </w:rPr>
              <w:t>6</w:t>
            </w:r>
          </w:p>
        </w:tc>
        <w:tc>
          <w:tcPr>
            <w:tcW w:w="3343" w:type="dxa"/>
            <w:vAlign w:val="center"/>
          </w:tcPr>
          <w:p w14:paraId="69CB6F3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vertAlign w:val="baseline"/>
              </w:rPr>
              <w:t>检修地拖链链条行走轨道、链条返回轨道</w:t>
            </w:r>
          </w:p>
        </w:tc>
        <w:tc>
          <w:tcPr>
            <w:tcW w:w="1639" w:type="dxa"/>
            <w:vAlign w:val="center"/>
          </w:tcPr>
          <w:p w14:paraId="0D74867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套</w:t>
            </w:r>
          </w:p>
        </w:tc>
        <w:tc>
          <w:tcPr>
            <w:tcW w:w="1650" w:type="dxa"/>
            <w:vAlign w:val="center"/>
          </w:tcPr>
          <w:p w14:paraId="5C8E939D">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1</w:t>
            </w:r>
          </w:p>
        </w:tc>
        <w:tc>
          <w:tcPr>
            <w:tcW w:w="1670" w:type="dxa"/>
            <w:vAlign w:val="center"/>
          </w:tcPr>
          <w:p w14:paraId="5348A07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p>
        </w:tc>
      </w:tr>
      <w:tr w14:paraId="6B004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vAlign w:val="center"/>
          </w:tcPr>
          <w:p w14:paraId="2676EC3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vertAlign w:val="baseline"/>
                <w:lang w:val="en-US" w:eastAsia="zh-CN"/>
              </w:rPr>
              <w:t>7</w:t>
            </w:r>
          </w:p>
        </w:tc>
        <w:tc>
          <w:tcPr>
            <w:tcW w:w="3343" w:type="dxa"/>
            <w:vAlign w:val="center"/>
          </w:tcPr>
          <w:p w14:paraId="384EF7E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vertAlign w:val="baseline"/>
              </w:rPr>
              <w:t>加固地拖链、双板链两侧地坑盖板及支架支撑</w:t>
            </w:r>
          </w:p>
        </w:tc>
        <w:tc>
          <w:tcPr>
            <w:tcW w:w="1639" w:type="dxa"/>
            <w:vAlign w:val="center"/>
          </w:tcPr>
          <w:p w14:paraId="72AA817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套</w:t>
            </w:r>
          </w:p>
        </w:tc>
        <w:tc>
          <w:tcPr>
            <w:tcW w:w="1650" w:type="dxa"/>
            <w:vAlign w:val="center"/>
          </w:tcPr>
          <w:p w14:paraId="64365065">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lang w:val="en-US" w:eastAsia="zh-CN"/>
              </w:rPr>
              <w:t>1</w:t>
            </w:r>
          </w:p>
        </w:tc>
        <w:tc>
          <w:tcPr>
            <w:tcW w:w="1670" w:type="dxa"/>
            <w:vAlign w:val="center"/>
          </w:tcPr>
          <w:p w14:paraId="30EA9EA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p>
        </w:tc>
      </w:tr>
      <w:tr w14:paraId="30E5C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vAlign w:val="center"/>
          </w:tcPr>
          <w:p w14:paraId="1F6A036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vertAlign w:val="baseline"/>
                <w:lang w:val="en-US" w:eastAsia="zh-CN"/>
              </w:rPr>
              <w:t>8</w:t>
            </w:r>
          </w:p>
        </w:tc>
        <w:tc>
          <w:tcPr>
            <w:tcW w:w="3343" w:type="dxa"/>
            <w:vAlign w:val="center"/>
          </w:tcPr>
          <w:p w14:paraId="14ADB7A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vertAlign w:val="baseline"/>
              </w:rPr>
              <w:t>加固地拖链和双板链驱动部分、涨紧部分</w:t>
            </w:r>
          </w:p>
        </w:tc>
        <w:tc>
          <w:tcPr>
            <w:tcW w:w="1639" w:type="dxa"/>
            <w:vAlign w:val="center"/>
          </w:tcPr>
          <w:p w14:paraId="3E24905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套</w:t>
            </w:r>
          </w:p>
        </w:tc>
        <w:tc>
          <w:tcPr>
            <w:tcW w:w="1650" w:type="dxa"/>
            <w:vAlign w:val="center"/>
          </w:tcPr>
          <w:p w14:paraId="3A0D7D2E">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lang w:val="en-US" w:eastAsia="zh-CN"/>
              </w:rPr>
              <w:t>1</w:t>
            </w:r>
          </w:p>
        </w:tc>
        <w:tc>
          <w:tcPr>
            <w:tcW w:w="1670" w:type="dxa"/>
            <w:vAlign w:val="center"/>
          </w:tcPr>
          <w:p w14:paraId="6DFCDDD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p>
        </w:tc>
      </w:tr>
      <w:tr w14:paraId="53D1E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vAlign w:val="center"/>
          </w:tcPr>
          <w:p w14:paraId="5B2CBAE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9</w:t>
            </w:r>
          </w:p>
        </w:tc>
        <w:tc>
          <w:tcPr>
            <w:tcW w:w="3343" w:type="dxa"/>
            <w:vAlign w:val="center"/>
          </w:tcPr>
          <w:p w14:paraId="1D349B6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r>
              <w:rPr>
                <w:rFonts w:hint="eastAsia" w:ascii="宋体" w:hAnsi="宋体" w:eastAsia="宋体" w:cs="宋体"/>
                <w:sz w:val="21"/>
                <w:szCs w:val="21"/>
                <w:vertAlign w:val="baseline"/>
              </w:rPr>
              <w:t>更换双板链链板</w:t>
            </w:r>
          </w:p>
        </w:tc>
        <w:tc>
          <w:tcPr>
            <w:tcW w:w="1639" w:type="dxa"/>
            <w:vAlign w:val="center"/>
          </w:tcPr>
          <w:p w14:paraId="6E75B16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lang w:val="en-US" w:eastAsia="zh-CN"/>
              </w:rPr>
              <w:t>件</w:t>
            </w:r>
          </w:p>
        </w:tc>
        <w:tc>
          <w:tcPr>
            <w:tcW w:w="1650" w:type="dxa"/>
            <w:vAlign w:val="center"/>
          </w:tcPr>
          <w:p w14:paraId="117EC5DE">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1</w:t>
            </w:r>
          </w:p>
        </w:tc>
        <w:tc>
          <w:tcPr>
            <w:tcW w:w="1670" w:type="dxa"/>
            <w:vAlign w:val="center"/>
          </w:tcPr>
          <w:p w14:paraId="1787810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p>
        </w:tc>
      </w:tr>
      <w:tr w14:paraId="5899F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vAlign w:val="center"/>
          </w:tcPr>
          <w:p w14:paraId="10EC347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10</w:t>
            </w:r>
          </w:p>
        </w:tc>
        <w:tc>
          <w:tcPr>
            <w:tcW w:w="3343" w:type="dxa"/>
            <w:vAlign w:val="center"/>
          </w:tcPr>
          <w:p w14:paraId="3CADDD4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r>
              <w:rPr>
                <w:rFonts w:hint="eastAsia" w:ascii="宋体" w:hAnsi="宋体" w:eastAsia="宋体" w:cs="宋体"/>
                <w:sz w:val="21"/>
                <w:szCs w:val="21"/>
                <w:vertAlign w:val="baseline"/>
              </w:rPr>
              <w:t>检修双板链承重轨道、返回轨道</w:t>
            </w:r>
          </w:p>
        </w:tc>
        <w:tc>
          <w:tcPr>
            <w:tcW w:w="1639" w:type="dxa"/>
            <w:vAlign w:val="center"/>
          </w:tcPr>
          <w:p w14:paraId="225AE77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套</w:t>
            </w:r>
          </w:p>
        </w:tc>
        <w:tc>
          <w:tcPr>
            <w:tcW w:w="1650" w:type="dxa"/>
            <w:vAlign w:val="center"/>
          </w:tcPr>
          <w:p w14:paraId="73BB6B12">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lang w:val="en-US" w:eastAsia="zh-CN"/>
              </w:rPr>
              <w:t>1</w:t>
            </w:r>
          </w:p>
        </w:tc>
        <w:tc>
          <w:tcPr>
            <w:tcW w:w="1670" w:type="dxa"/>
            <w:vAlign w:val="center"/>
          </w:tcPr>
          <w:p w14:paraId="71A3A37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p>
        </w:tc>
      </w:tr>
      <w:tr w14:paraId="1C669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vAlign w:val="center"/>
          </w:tcPr>
          <w:p w14:paraId="572B14F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11</w:t>
            </w:r>
          </w:p>
        </w:tc>
        <w:tc>
          <w:tcPr>
            <w:tcW w:w="3343" w:type="dxa"/>
            <w:vAlign w:val="center"/>
          </w:tcPr>
          <w:p w14:paraId="163C5E8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r>
              <w:rPr>
                <w:rFonts w:hint="eastAsia" w:ascii="宋体" w:hAnsi="宋体" w:eastAsia="宋体" w:cs="宋体"/>
                <w:sz w:val="21"/>
                <w:szCs w:val="21"/>
                <w:vertAlign w:val="baseline"/>
              </w:rPr>
              <w:t>更换地拖链420米轨道</w:t>
            </w:r>
          </w:p>
        </w:tc>
        <w:tc>
          <w:tcPr>
            <w:tcW w:w="1639" w:type="dxa"/>
            <w:vAlign w:val="center"/>
          </w:tcPr>
          <w:p w14:paraId="5B23C42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套</w:t>
            </w:r>
          </w:p>
        </w:tc>
        <w:tc>
          <w:tcPr>
            <w:tcW w:w="1650" w:type="dxa"/>
            <w:vAlign w:val="center"/>
          </w:tcPr>
          <w:p w14:paraId="2D7598ED">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1</w:t>
            </w:r>
          </w:p>
        </w:tc>
        <w:tc>
          <w:tcPr>
            <w:tcW w:w="1670" w:type="dxa"/>
            <w:vAlign w:val="center"/>
          </w:tcPr>
          <w:p w14:paraId="4344B26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p>
        </w:tc>
      </w:tr>
      <w:tr w14:paraId="04077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shd w:val="clear" w:color="auto" w:fill="auto"/>
            <w:vAlign w:val="center"/>
          </w:tcPr>
          <w:p w14:paraId="505C929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vertAlign w:val="baseline"/>
                <w:lang w:val="en-US" w:eastAsia="zh-CN"/>
              </w:rPr>
              <w:t>12</w:t>
            </w:r>
          </w:p>
        </w:tc>
        <w:tc>
          <w:tcPr>
            <w:tcW w:w="3343" w:type="dxa"/>
            <w:vAlign w:val="center"/>
          </w:tcPr>
          <w:p w14:paraId="2C6A576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r>
              <w:rPr>
                <w:rFonts w:hint="eastAsia" w:ascii="宋体" w:hAnsi="宋体" w:eastAsia="宋体" w:cs="宋体"/>
                <w:sz w:val="21"/>
                <w:szCs w:val="21"/>
                <w:vertAlign w:val="baseline"/>
              </w:rPr>
              <w:t>更换地拖链防护胶皮</w:t>
            </w:r>
          </w:p>
        </w:tc>
        <w:tc>
          <w:tcPr>
            <w:tcW w:w="1639" w:type="dxa"/>
            <w:shd w:val="clear" w:color="auto" w:fill="auto"/>
            <w:vAlign w:val="center"/>
          </w:tcPr>
          <w:p w14:paraId="5C9755A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套</w:t>
            </w:r>
          </w:p>
        </w:tc>
        <w:tc>
          <w:tcPr>
            <w:tcW w:w="1650" w:type="dxa"/>
            <w:shd w:val="clear" w:color="auto" w:fill="auto"/>
            <w:vAlign w:val="center"/>
          </w:tcPr>
          <w:p w14:paraId="4C8711CC">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lang w:val="en-US" w:eastAsia="zh-CN"/>
              </w:rPr>
              <w:t>1</w:t>
            </w:r>
          </w:p>
        </w:tc>
        <w:tc>
          <w:tcPr>
            <w:tcW w:w="1670" w:type="dxa"/>
            <w:vAlign w:val="center"/>
          </w:tcPr>
          <w:p w14:paraId="2001AE2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1"/>
                <w:szCs w:val="21"/>
                <w:vertAlign w:val="baseline"/>
              </w:rPr>
            </w:pPr>
          </w:p>
        </w:tc>
      </w:tr>
      <w:tr w14:paraId="1EA08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shd w:val="clear" w:color="auto" w:fill="auto"/>
            <w:vAlign w:val="center"/>
          </w:tcPr>
          <w:p w14:paraId="0B15A55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vertAlign w:val="baseline"/>
                <w:lang w:val="en-US" w:eastAsia="zh-CN"/>
              </w:rPr>
              <w:t>13</w:t>
            </w:r>
          </w:p>
        </w:tc>
        <w:tc>
          <w:tcPr>
            <w:tcW w:w="3343" w:type="dxa"/>
            <w:shd w:val="clear" w:color="auto" w:fill="auto"/>
            <w:vAlign w:val="center"/>
          </w:tcPr>
          <w:p w14:paraId="4C054AA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rPr>
              <w:t>更换地拖链、双板链滚轮轴承</w:t>
            </w:r>
          </w:p>
        </w:tc>
        <w:tc>
          <w:tcPr>
            <w:tcW w:w="1639" w:type="dxa"/>
            <w:shd w:val="clear" w:color="auto" w:fill="auto"/>
            <w:vAlign w:val="center"/>
          </w:tcPr>
          <w:p w14:paraId="6A901ED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套</w:t>
            </w:r>
          </w:p>
        </w:tc>
        <w:tc>
          <w:tcPr>
            <w:tcW w:w="1650" w:type="dxa"/>
            <w:shd w:val="clear" w:color="auto" w:fill="auto"/>
            <w:vAlign w:val="center"/>
          </w:tcPr>
          <w:p w14:paraId="7207AA29">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1</w:t>
            </w:r>
          </w:p>
        </w:tc>
        <w:tc>
          <w:tcPr>
            <w:tcW w:w="1670" w:type="dxa"/>
            <w:shd w:val="clear" w:color="auto" w:fill="auto"/>
            <w:vAlign w:val="center"/>
          </w:tcPr>
          <w:p w14:paraId="6029292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vertAlign w:val="baseline"/>
                <w:lang w:val="en-US" w:eastAsia="zh-CN" w:bidi="ar-SA"/>
              </w:rPr>
            </w:pPr>
          </w:p>
        </w:tc>
      </w:tr>
      <w:tr w14:paraId="0CA37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shd w:val="clear" w:color="auto" w:fill="auto"/>
            <w:vAlign w:val="center"/>
          </w:tcPr>
          <w:p w14:paraId="6B196CE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vertAlign w:val="baseline"/>
                <w:lang w:val="en-US" w:eastAsia="zh-CN"/>
              </w:rPr>
              <w:t>14</w:t>
            </w:r>
          </w:p>
        </w:tc>
        <w:tc>
          <w:tcPr>
            <w:tcW w:w="3343" w:type="dxa"/>
            <w:shd w:val="clear" w:color="auto" w:fill="auto"/>
            <w:vAlign w:val="center"/>
          </w:tcPr>
          <w:p w14:paraId="666DF7E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vertAlign w:val="baseline"/>
              </w:rPr>
              <w:t>设备竣工总图</w:t>
            </w:r>
          </w:p>
        </w:tc>
        <w:tc>
          <w:tcPr>
            <w:tcW w:w="1639" w:type="dxa"/>
            <w:shd w:val="clear" w:color="auto" w:fill="auto"/>
            <w:vAlign w:val="center"/>
          </w:tcPr>
          <w:p w14:paraId="6AF7BBD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套</w:t>
            </w:r>
          </w:p>
        </w:tc>
        <w:tc>
          <w:tcPr>
            <w:tcW w:w="1650" w:type="dxa"/>
            <w:shd w:val="clear" w:color="auto" w:fill="auto"/>
            <w:vAlign w:val="center"/>
          </w:tcPr>
          <w:p w14:paraId="2C4A5D08">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lang w:val="en-US" w:eastAsia="zh-CN"/>
              </w:rPr>
              <w:t>1</w:t>
            </w:r>
          </w:p>
        </w:tc>
        <w:tc>
          <w:tcPr>
            <w:tcW w:w="1670" w:type="dxa"/>
            <w:shd w:val="clear" w:color="auto" w:fill="auto"/>
            <w:vAlign w:val="center"/>
          </w:tcPr>
          <w:p w14:paraId="333E3B3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rPr>
              <w:t>中文</w:t>
            </w:r>
          </w:p>
        </w:tc>
      </w:tr>
      <w:tr w14:paraId="03184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shd w:val="clear" w:color="auto" w:fill="auto"/>
            <w:vAlign w:val="center"/>
          </w:tcPr>
          <w:p w14:paraId="5BCBEF2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vertAlign w:val="baseline"/>
                <w:lang w:val="en-US" w:eastAsia="zh-CN"/>
              </w:rPr>
              <w:t>15</w:t>
            </w:r>
          </w:p>
        </w:tc>
        <w:tc>
          <w:tcPr>
            <w:tcW w:w="3343" w:type="dxa"/>
            <w:shd w:val="clear" w:color="auto" w:fill="auto"/>
            <w:vAlign w:val="center"/>
          </w:tcPr>
          <w:p w14:paraId="4A14FEB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rPr>
              <w:t>设备使用说明书</w:t>
            </w:r>
          </w:p>
        </w:tc>
        <w:tc>
          <w:tcPr>
            <w:tcW w:w="1639" w:type="dxa"/>
            <w:shd w:val="clear" w:color="auto" w:fill="auto"/>
            <w:vAlign w:val="center"/>
          </w:tcPr>
          <w:p w14:paraId="3562786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套</w:t>
            </w:r>
          </w:p>
        </w:tc>
        <w:tc>
          <w:tcPr>
            <w:tcW w:w="1650" w:type="dxa"/>
            <w:shd w:val="clear" w:color="auto" w:fill="auto"/>
            <w:vAlign w:val="center"/>
          </w:tcPr>
          <w:p w14:paraId="3A826B9F">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lang w:val="en-US" w:eastAsia="zh-CN"/>
              </w:rPr>
              <w:t>1</w:t>
            </w:r>
          </w:p>
        </w:tc>
        <w:tc>
          <w:tcPr>
            <w:tcW w:w="1670" w:type="dxa"/>
            <w:shd w:val="clear" w:color="auto" w:fill="auto"/>
            <w:vAlign w:val="center"/>
          </w:tcPr>
          <w:p w14:paraId="6444855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rPr>
              <w:t>中文</w:t>
            </w:r>
          </w:p>
        </w:tc>
      </w:tr>
      <w:tr w14:paraId="2F7AA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shd w:val="clear" w:color="auto" w:fill="auto"/>
            <w:vAlign w:val="center"/>
          </w:tcPr>
          <w:p w14:paraId="4C61CF1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vertAlign w:val="baseline"/>
                <w:lang w:val="en-US" w:eastAsia="zh-CN"/>
              </w:rPr>
              <w:t>16</w:t>
            </w:r>
          </w:p>
        </w:tc>
        <w:tc>
          <w:tcPr>
            <w:tcW w:w="3343" w:type="dxa"/>
            <w:shd w:val="clear" w:color="auto" w:fill="auto"/>
            <w:vAlign w:val="center"/>
          </w:tcPr>
          <w:p w14:paraId="34F3638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rPr>
              <w:t>系统软硬件清单</w:t>
            </w:r>
          </w:p>
        </w:tc>
        <w:tc>
          <w:tcPr>
            <w:tcW w:w="1639" w:type="dxa"/>
            <w:shd w:val="clear" w:color="auto" w:fill="auto"/>
            <w:vAlign w:val="center"/>
          </w:tcPr>
          <w:p w14:paraId="71C1FBF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套</w:t>
            </w:r>
          </w:p>
        </w:tc>
        <w:tc>
          <w:tcPr>
            <w:tcW w:w="1650" w:type="dxa"/>
            <w:shd w:val="clear" w:color="auto" w:fill="auto"/>
            <w:vAlign w:val="center"/>
          </w:tcPr>
          <w:p w14:paraId="5EB9C91A">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1</w:t>
            </w:r>
          </w:p>
        </w:tc>
        <w:tc>
          <w:tcPr>
            <w:tcW w:w="1670" w:type="dxa"/>
            <w:shd w:val="clear" w:color="auto" w:fill="auto"/>
            <w:vAlign w:val="center"/>
          </w:tcPr>
          <w:p w14:paraId="307C35B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rPr>
              <w:t>中文</w:t>
            </w:r>
          </w:p>
        </w:tc>
      </w:tr>
      <w:tr w14:paraId="3361C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shd w:val="clear" w:color="auto" w:fill="auto"/>
            <w:vAlign w:val="center"/>
          </w:tcPr>
          <w:p w14:paraId="2207ACE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vertAlign w:val="baseline"/>
                <w:lang w:val="en-US" w:eastAsia="zh-CN"/>
              </w:rPr>
              <w:t>17</w:t>
            </w:r>
          </w:p>
        </w:tc>
        <w:tc>
          <w:tcPr>
            <w:tcW w:w="3343" w:type="dxa"/>
            <w:shd w:val="clear" w:color="auto" w:fill="auto"/>
            <w:vAlign w:val="center"/>
          </w:tcPr>
          <w:p w14:paraId="7919036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rPr>
              <w:t>技术培训资料</w:t>
            </w:r>
          </w:p>
        </w:tc>
        <w:tc>
          <w:tcPr>
            <w:tcW w:w="1639" w:type="dxa"/>
            <w:shd w:val="clear" w:color="auto" w:fill="auto"/>
            <w:vAlign w:val="center"/>
          </w:tcPr>
          <w:p w14:paraId="6F80D54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套</w:t>
            </w:r>
          </w:p>
        </w:tc>
        <w:tc>
          <w:tcPr>
            <w:tcW w:w="1650" w:type="dxa"/>
            <w:shd w:val="clear" w:color="auto" w:fill="auto"/>
            <w:vAlign w:val="center"/>
          </w:tcPr>
          <w:p w14:paraId="213FEE88">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lang w:val="en-US" w:eastAsia="zh-CN"/>
              </w:rPr>
              <w:t>1</w:t>
            </w:r>
          </w:p>
        </w:tc>
        <w:tc>
          <w:tcPr>
            <w:tcW w:w="1670" w:type="dxa"/>
            <w:shd w:val="clear" w:color="auto" w:fill="auto"/>
            <w:vAlign w:val="center"/>
          </w:tcPr>
          <w:p w14:paraId="545103D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rPr>
              <w:t>中文</w:t>
            </w:r>
          </w:p>
        </w:tc>
      </w:tr>
      <w:tr w14:paraId="78227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shd w:val="clear" w:color="auto" w:fill="auto"/>
            <w:vAlign w:val="center"/>
          </w:tcPr>
          <w:p w14:paraId="6EBA786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vertAlign w:val="baseline"/>
                <w:lang w:val="en-US" w:eastAsia="zh-CN"/>
              </w:rPr>
              <w:t>18</w:t>
            </w:r>
          </w:p>
        </w:tc>
        <w:tc>
          <w:tcPr>
            <w:tcW w:w="3343" w:type="dxa"/>
            <w:shd w:val="clear" w:color="auto" w:fill="auto"/>
            <w:vAlign w:val="center"/>
          </w:tcPr>
          <w:p w14:paraId="2C93410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rPr>
              <w:t>测试报告</w:t>
            </w:r>
          </w:p>
        </w:tc>
        <w:tc>
          <w:tcPr>
            <w:tcW w:w="1639" w:type="dxa"/>
            <w:shd w:val="clear" w:color="auto" w:fill="auto"/>
            <w:vAlign w:val="center"/>
          </w:tcPr>
          <w:p w14:paraId="3236A38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套</w:t>
            </w:r>
          </w:p>
        </w:tc>
        <w:tc>
          <w:tcPr>
            <w:tcW w:w="1650" w:type="dxa"/>
            <w:shd w:val="clear" w:color="auto" w:fill="auto"/>
            <w:vAlign w:val="center"/>
          </w:tcPr>
          <w:p w14:paraId="73004854">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lang w:val="en-US" w:eastAsia="zh-CN"/>
              </w:rPr>
              <w:t>1</w:t>
            </w:r>
          </w:p>
        </w:tc>
        <w:tc>
          <w:tcPr>
            <w:tcW w:w="1670" w:type="dxa"/>
            <w:shd w:val="clear" w:color="auto" w:fill="auto"/>
            <w:vAlign w:val="center"/>
          </w:tcPr>
          <w:p w14:paraId="2889DC2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rPr>
              <w:t>中文</w:t>
            </w:r>
          </w:p>
        </w:tc>
      </w:tr>
      <w:tr w14:paraId="445AC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shd w:val="clear" w:color="auto" w:fill="auto"/>
            <w:vAlign w:val="center"/>
          </w:tcPr>
          <w:p w14:paraId="46EF321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vertAlign w:val="baseline"/>
                <w:lang w:val="en-US" w:eastAsia="zh-CN"/>
              </w:rPr>
              <w:t>19</w:t>
            </w:r>
          </w:p>
        </w:tc>
        <w:tc>
          <w:tcPr>
            <w:tcW w:w="3343" w:type="dxa"/>
            <w:shd w:val="clear" w:color="auto" w:fill="auto"/>
            <w:vAlign w:val="center"/>
          </w:tcPr>
          <w:p w14:paraId="61FDBF3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lang w:val="en-US" w:eastAsia="zh-CN"/>
              </w:rPr>
              <w:t>纸质版</w:t>
            </w:r>
            <w:r>
              <w:rPr>
                <w:rFonts w:hint="eastAsia" w:ascii="宋体" w:hAnsi="宋体" w:eastAsia="宋体" w:cs="宋体"/>
                <w:sz w:val="21"/>
                <w:szCs w:val="21"/>
                <w:highlight w:val="none"/>
              </w:rPr>
              <w:t>设备资料</w:t>
            </w:r>
            <w:r>
              <w:rPr>
                <w:rFonts w:hint="eastAsia" w:ascii="宋体" w:hAnsi="宋体" w:eastAsia="宋体" w:cs="宋体"/>
                <w:sz w:val="21"/>
                <w:szCs w:val="21"/>
                <w:highlight w:val="none"/>
                <w:lang w:val="en-US" w:eastAsia="zh-CN"/>
              </w:rPr>
              <w:t>（</w:t>
            </w:r>
            <w:r>
              <w:rPr>
                <w:rFonts w:hint="eastAsia" w:ascii="宋体" w:hAnsi="宋体" w:eastAsia="宋体" w:cs="宋体"/>
                <w:sz w:val="21"/>
                <w:szCs w:val="21"/>
                <w:highlight w:val="none"/>
              </w:rPr>
              <w:t>电子版WORD或PDF版</w:t>
            </w:r>
            <w:r>
              <w:rPr>
                <w:rFonts w:hint="eastAsia" w:ascii="宋体" w:hAnsi="宋体" w:eastAsia="宋体" w:cs="宋体"/>
                <w:sz w:val="21"/>
                <w:szCs w:val="21"/>
                <w:highlight w:val="none"/>
                <w:lang w:val="en-US" w:eastAsia="zh-CN"/>
              </w:rPr>
              <w:t>一套）</w:t>
            </w:r>
          </w:p>
        </w:tc>
        <w:tc>
          <w:tcPr>
            <w:tcW w:w="1639" w:type="dxa"/>
            <w:shd w:val="clear" w:color="auto" w:fill="auto"/>
            <w:vAlign w:val="center"/>
          </w:tcPr>
          <w:p w14:paraId="33DE6B8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rPr>
              <w:t>套</w:t>
            </w:r>
          </w:p>
        </w:tc>
        <w:tc>
          <w:tcPr>
            <w:tcW w:w="1650" w:type="dxa"/>
            <w:shd w:val="clear" w:color="auto" w:fill="auto"/>
            <w:vAlign w:val="center"/>
          </w:tcPr>
          <w:p w14:paraId="2D9B97AA">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rPr>
              <w:t>1</w:t>
            </w:r>
          </w:p>
        </w:tc>
        <w:tc>
          <w:tcPr>
            <w:tcW w:w="1670" w:type="dxa"/>
            <w:shd w:val="clear" w:color="auto" w:fill="auto"/>
            <w:vAlign w:val="center"/>
          </w:tcPr>
          <w:p w14:paraId="5269A3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vertAlign w:val="baseline"/>
                <w:lang w:val="en-US" w:eastAsia="zh-CN" w:bidi="ar-SA"/>
              </w:rPr>
            </w:pPr>
            <w:r>
              <w:rPr>
                <w:rFonts w:hint="eastAsia" w:ascii="宋体" w:hAnsi="宋体" w:eastAsia="宋体" w:cs="宋体"/>
                <w:sz w:val="21"/>
                <w:szCs w:val="21"/>
                <w:highlight w:val="none"/>
              </w:rPr>
              <w:t>中文</w:t>
            </w:r>
          </w:p>
        </w:tc>
      </w:tr>
      <w:tr w14:paraId="360E7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84" w:type="dxa"/>
            <w:shd w:val="clear" w:color="auto" w:fill="auto"/>
            <w:vAlign w:val="center"/>
          </w:tcPr>
          <w:p w14:paraId="4166970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s="宋体"/>
                <w:kern w:val="2"/>
                <w:sz w:val="21"/>
                <w:szCs w:val="21"/>
                <w:highlight w:val="none"/>
                <w:vertAlign w:val="baseline"/>
                <w:lang w:val="en-US" w:eastAsia="zh-CN" w:bidi="ar-SA"/>
              </w:rPr>
            </w:pPr>
            <w:r>
              <w:rPr>
                <w:rFonts w:hint="eastAsia" w:ascii="宋体" w:hAnsi="宋体" w:eastAsia="宋体" w:cs="宋体"/>
                <w:kern w:val="2"/>
                <w:sz w:val="21"/>
                <w:szCs w:val="21"/>
                <w:highlight w:val="none"/>
                <w:vertAlign w:val="baseline"/>
                <w:lang w:val="en-US" w:eastAsia="zh-CN" w:bidi="ar-SA"/>
              </w:rPr>
              <w:t>20</w:t>
            </w:r>
          </w:p>
        </w:tc>
        <w:tc>
          <w:tcPr>
            <w:tcW w:w="3343" w:type="dxa"/>
            <w:shd w:val="clear" w:color="auto" w:fill="auto"/>
            <w:vAlign w:val="center"/>
          </w:tcPr>
          <w:p w14:paraId="02696B7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lang w:val="en-US" w:eastAsia="zh-CN" w:bidi="ar-SA"/>
              </w:rPr>
            </w:pPr>
            <w:r>
              <w:rPr>
                <w:rFonts w:hint="eastAsia" w:ascii="宋体" w:hAnsi="宋体" w:eastAsia="宋体" w:cs="宋体"/>
                <w:sz w:val="21"/>
                <w:szCs w:val="21"/>
                <w:highlight w:val="none"/>
                <w:lang w:val="en-US" w:eastAsia="zh-CN"/>
              </w:rPr>
              <w:t>非标工装设备数据模型</w:t>
            </w:r>
          </w:p>
        </w:tc>
        <w:tc>
          <w:tcPr>
            <w:tcW w:w="1639" w:type="dxa"/>
            <w:shd w:val="clear" w:color="auto" w:fill="auto"/>
            <w:vAlign w:val="center"/>
          </w:tcPr>
          <w:p w14:paraId="1602344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21"/>
                <w:szCs w:val="21"/>
                <w:highlight w:val="none"/>
                <w:lang w:val="en-US" w:eastAsia="zh-CN" w:bidi="ar-SA"/>
              </w:rPr>
            </w:pPr>
            <w:r>
              <w:rPr>
                <w:rFonts w:hint="eastAsia" w:ascii="宋体" w:hAnsi="宋体" w:eastAsia="宋体" w:cs="宋体"/>
                <w:b w:val="0"/>
                <w:bCs/>
                <w:sz w:val="21"/>
                <w:szCs w:val="21"/>
                <w:highlight w:val="none"/>
                <w:lang w:val="en-US" w:eastAsia="zh-CN"/>
              </w:rPr>
              <w:t>套</w:t>
            </w:r>
          </w:p>
        </w:tc>
        <w:tc>
          <w:tcPr>
            <w:tcW w:w="1650" w:type="dxa"/>
            <w:shd w:val="clear" w:color="auto" w:fill="auto"/>
            <w:vAlign w:val="center"/>
          </w:tcPr>
          <w:p w14:paraId="505E25C7">
            <w:pPr>
              <w:pStyle w:val="128"/>
              <w:keepNext w:val="0"/>
              <w:keepLines w:val="0"/>
              <w:pageBreakBefore w:val="0"/>
              <w:widowControl w:val="0"/>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b w:val="0"/>
                <w:bCs/>
                <w:kern w:val="2"/>
                <w:sz w:val="21"/>
                <w:szCs w:val="21"/>
                <w:lang w:val="en-US" w:eastAsia="zh-CN" w:bidi="ar-SA"/>
              </w:rPr>
            </w:pPr>
            <w:r>
              <w:rPr>
                <w:rFonts w:hint="eastAsia" w:ascii="宋体" w:hAnsi="宋体" w:eastAsia="宋体" w:cs="宋体"/>
                <w:b w:val="0"/>
                <w:bCs/>
                <w:sz w:val="21"/>
                <w:szCs w:val="21"/>
                <w:lang w:val="en-US" w:eastAsia="zh-CN"/>
              </w:rPr>
              <w:t>1</w:t>
            </w:r>
          </w:p>
        </w:tc>
        <w:tc>
          <w:tcPr>
            <w:tcW w:w="1670" w:type="dxa"/>
            <w:shd w:val="clear" w:color="auto" w:fill="auto"/>
            <w:vAlign w:val="center"/>
          </w:tcPr>
          <w:p w14:paraId="3B44134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kern w:val="2"/>
                <w:sz w:val="21"/>
                <w:szCs w:val="21"/>
                <w:highlight w:val="none"/>
                <w:lang w:val="en-US" w:eastAsia="zh-CN" w:bidi="ar-SA"/>
              </w:rPr>
            </w:pPr>
            <w:r>
              <w:rPr>
                <w:rFonts w:hint="eastAsia" w:ascii="宋体" w:hAnsi="宋体" w:eastAsia="宋体" w:cs="宋体"/>
                <w:sz w:val="21"/>
                <w:szCs w:val="21"/>
                <w:highlight w:val="none"/>
                <w:lang w:val="en-US" w:eastAsia="zh-CN"/>
              </w:rPr>
              <w:t>STP</w:t>
            </w:r>
          </w:p>
        </w:tc>
      </w:tr>
    </w:tbl>
    <w:p w14:paraId="7EE34EBE">
      <w:pPr>
        <w:spacing w:before="156" w:beforeLines="50" w:after="156" w:afterLines="50"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（一）一般界定</w:t>
      </w:r>
    </w:p>
    <w:p w14:paraId="043DC62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w:t>
      </w:r>
    </w:p>
    <w:p w14:paraId="45F2313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2.包括为保证货物正常安装、调试和验收完成及以前所必需的整套配件、附件及材料等。</w:t>
      </w:r>
    </w:p>
    <w:p w14:paraId="0623C93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如果终验收完成后，投标人有需要收回的配件、附件等，应当在投标文件的技术偏离条款中，予以详细说明；否则视同包括在供货范围之内。</w:t>
      </w:r>
    </w:p>
    <w:p w14:paraId="56DF3CC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3.包括货物维护维修所必需的专用工具。</w:t>
      </w:r>
    </w:p>
    <w:p w14:paraId="03F7C15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53CDAE3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5882AB3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1DF2A8AA">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（二）供货范围边界界定</w:t>
      </w:r>
    </w:p>
    <w:p w14:paraId="63F2B97C">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电源划分，控制柜仅指设备的主控柜，原则上每台设备设置一个主控柜（主控柜位置需根据实际生产情况具体设置），单台设备超过一个主控柜需在图纸会签时说明，否则招标方不负责提供多余电源点。招标方负责从插接箱中接电进投标方主控柜，线缆和桥架及母线插接箱均由招标方负责。投标方负责每条主线和分装线边小功率设备的线边配电柜（带电表及通讯上传功能），配电柜接线及柜内各元器件由投标方负责。</w:t>
      </w:r>
    </w:p>
    <w:p w14:paraId="65D71D6E">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 xml:space="preserve">投标方负责线边配电柜到线边两侧工位上的接电盒（具体图纸会签时确定），接电盒内各元器件由投标方负责。投标方负责提供输送设备、工艺设备、照明、风扇、插座用电。  </w:t>
      </w:r>
    </w:p>
    <w:p w14:paraId="32E60449">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2.照明划分，招标方负责车间照明、应急照明、疏散指示灯。投标方负责工位照明、设备照明。</w:t>
      </w:r>
    </w:p>
    <w:p w14:paraId="13D1EA85">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3.气源划分，气源一次侧与二次侧的范围界定：根据设备需要，招标方在车间主管网上预留气源接口并带有阀门；阀门后所有的气路设施由投标方负责，投标方需在提供资料时提出预留气源接口位置。</w:t>
      </w:r>
    </w:p>
    <w:p w14:paraId="74AC0D76">
      <w:pPr>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14:paraId="671BD56F">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1.招标人招标文件所指备品备件、易损件和专用耗材，是招标人为保证设备质保期之后正常运行一年所自备自用的备品备件、易损件和专用耗材；</w:t>
      </w:r>
    </w:p>
    <w:p w14:paraId="31904DFF">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14:paraId="24A7C051">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14:paraId="1B2A9278">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3投标方需提供必须的备品备件清单（备品备件明确规格、厂家、产地、价格，单独报价）；</w:t>
      </w:r>
    </w:p>
    <w:p w14:paraId="6CA63D66">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4易损件和专用耗材，其费用应分类单列，并计入投标总报价之内；</w:t>
      </w:r>
    </w:p>
    <w:p w14:paraId="2D709446">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5投标方应提供设备维修所必需的专用工具，并附详细清单（包括名称、型号、规格、单位、数量、生产厂家、单价、总价等条目，单独报价）。</w:t>
      </w:r>
    </w:p>
    <w:p w14:paraId="6C264950">
      <w:pPr>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三、技术资料供货范围</w:t>
      </w:r>
    </w:p>
    <w:p w14:paraId="576EE003">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投标方应及时提供满足施工设计的下列资料和图纸（具体清单投标方提出，招标方细化，投标方确认）：</w:t>
      </w:r>
    </w:p>
    <w:p w14:paraId="0AA65582">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1.确定中标方7天内提供工艺设备平面图、工艺设备负荷图、工艺设备基础图、公用动力需求。</w:t>
      </w:r>
    </w:p>
    <w:p w14:paraId="1149B726">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2.确定中标方7天内提供设备设计图、设备安装图。</w:t>
      </w:r>
    </w:p>
    <w:p w14:paraId="66507E34">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3.确定中标方7天内提供设备电器原理图、电器的备件清单。</w:t>
      </w:r>
    </w:p>
    <w:p w14:paraId="55BD65CE">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4.确定中标方7天内提供货物基础及相关的设计、制作所需的纸质及电子版资料；电子版文件应当能够使用常用版本软件可以阅读甚至使用，进口货物、设备应有中外文对照。</w:t>
      </w:r>
    </w:p>
    <w:p w14:paraId="523D75E2">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5.设备调试完成后提交上述所有图纸、文件的竣工资料。</w:t>
      </w:r>
    </w:p>
    <w:p w14:paraId="1AE65797">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6.设备调试完成后提供设备维护使用说明书以及零部件供应商的相关信息资料。</w:t>
      </w:r>
    </w:p>
    <w:p w14:paraId="753A5449">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7.在预验收前，提供货物各部分的功能描述文件、图片、影像等资料（进口、设备应有中外文对照）。</w:t>
      </w:r>
    </w:p>
    <w:p w14:paraId="42DC5574">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8.在终验收前，提供为保证货物后续正常运行所需的具体技术要求等资料（如果供货范围包含该部分实物）。</w:t>
      </w:r>
    </w:p>
    <w:p w14:paraId="2A0DEEEE">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9.在终验收前，提供确定的维修所需要且买方可以自行采购的外购件、外协件、电气元件及主要原材料的供货厂家明细表。</w:t>
      </w:r>
    </w:p>
    <w:p w14:paraId="554AFD02">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10.在终验收后的第一笔货款支付日之前，提供包括货物的备品备件、易损件和专用耗材的图纸及技术参数、技术要求等资料。</w:t>
      </w:r>
    </w:p>
    <w:p w14:paraId="5CAD6F5A">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11.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44E58E82">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12.本“技术资料范围”所列的技术资料、图等，投标方应各提供4套纸质资料及3套电子版资料（光盘或u盘等），图纸要求用CAD电子版本，每份技术文件应装有目录清单。</w:t>
      </w:r>
    </w:p>
    <w:p w14:paraId="2C5D8F73">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13.文件、资料确认投标方必须经招标方确认的文件、图纸、实施方案内容如下：</w:t>
      </w:r>
    </w:p>
    <w:p w14:paraId="64DC10C8">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a)平面布置图；</w:t>
      </w:r>
    </w:p>
    <w:p w14:paraId="548FEC56">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 xml:space="preserve">b)含联系电话的设备型号规格的备件清单实施计划； </w:t>
      </w:r>
    </w:p>
    <w:p w14:paraId="4B02AA10">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c)现场施工管理、方案；</w:t>
      </w:r>
    </w:p>
    <w:p w14:paraId="17D23B07">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d)其它。</w:t>
      </w:r>
    </w:p>
    <w:p w14:paraId="50123431">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14.本条款所列要求，如招标人认为投标人提供的资料不能满足要求时，有权要求投标人免费补充或增加。</w:t>
      </w:r>
    </w:p>
    <w:p w14:paraId="01D22488">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15.投标方必须提供设备模型（文件格式STP），模型文件应包含设备的全部信息；对设备结构及功能详细说明，包括设备工作流程描述、运行说明、工位节拍等信息。</w:t>
      </w:r>
    </w:p>
    <w:p w14:paraId="2F486C66">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16.维修和使用手册</w:t>
      </w:r>
    </w:p>
    <w:p w14:paraId="2391A48E">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在调试以前必须提供维修和使用手册四套和一套电子文件。这些手册应包括，但不限于下述内容：</w:t>
      </w:r>
    </w:p>
    <w:p w14:paraId="6419CCBA">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设备描述和主要设备的分项；</w:t>
      </w:r>
    </w:p>
    <w:p w14:paraId="620B9941">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润滑计划和润滑频次；</w:t>
      </w:r>
    </w:p>
    <w:p w14:paraId="7C7B8E6C">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供应商的文献和详细的元件部件；</w:t>
      </w:r>
    </w:p>
    <w:p w14:paraId="27711936">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操作程序；</w:t>
      </w:r>
    </w:p>
    <w:p w14:paraId="7DED795B">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设备布置图；</w:t>
      </w:r>
    </w:p>
    <w:p w14:paraId="51FDECCE">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详细的元件和总装图，包括分解部件总成图；</w:t>
      </w:r>
    </w:p>
    <w:p w14:paraId="390ACF83">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故障分析和解决方法；</w:t>
      </w:r>
    </w:p>
    <w:p w14:paraId="09882498">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维修功能——维护和维修细节，包括频次。</w:t>
      </w:r>
    </w:p>
    <w:p w14:paraId="6E4F5E3B">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17.图纸</w:t>
      </w:r>
    </w:p>
    <w:p w14:paraId="71BBCA66">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17.1提供机械AutoCAD（.dwg）格式，电气EPLANP8可编辑格式的文件和电子数据。</w:t>
      </w:r>
    </w:p>
    <w:p w14:paraId="1BFCA91A">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17.2提供所有设施和设备的图纸，包括总图、原理图、制造图、分解视图。</w:t>
      </w:r>
    </w:p>
    <w:p w14:paraId="27FC05BC">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17.3在签订合同后立即进行设计图纸，并提供图纸，在整个阶段连续地进行。这些图纸包括，但不限于：</w:t>
      </w:r>
    </w:p>
    <w:p w14:paraId="66F253D7">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详细的零件图；</w:t>
      </w:r>
    </w:p>
    <w:p w14:paraId="312B374D">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零件和总成图；</w:t>
      </w:r>
    </w:p>
    <w:p w14:paraId="15FB4AB8">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总的平面布置图和分图；</w:t>
      </w:r>
    </w:p>
    <w:p w14:paraId="53B4FB02">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钢结构布置图和分图；</w:t>
      </w:r>
    </w:p>
    <w:p w14:paraId="769CEAA3">
      <w:pPr>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17.4在制作开始前必须将所有平面图和分图交给本公司会签。提供二份图纸加一套电子文件。这种图纸的会签并不构成供货厂商可以不承担设计责任保证或者对设备顺利运用的责任。</w:t>
      </w:r>
    </w:p>
    <w:p w14:paraId="549FD9C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17.5在完工时要提供四套图纸和机械AutoCAD（.dwg）格式，电气EPLANP8电子版本图纸。</w:t>
      </w:r>
      <w:bookmarkStart w:id="39" w:name="_Toc169605883"/>
    </w:p>
    <w:p w14:paraId="503DEF66">
      <w:pPr>
        <w:pStyle w:val="2"/>
        <w:keepNext/>
        <w:keepLines/>
        <w:pageBreakBefore w:val="0"/>
        <w:widowControl w:val="0"/>
        <w:kinsoku/>
        <w:wordWrap/>
        <w:overflowPunct/>
        <w:topLinePunct w:val="0"/>
        <w:autoSpaceDE/>
        <w:autoSpaceDN/>
        <w:bidi w:val="0"/>
        <w:adjustRightInd/>
        <w:snapToGrid/>
        <w:ind w:firstLine="482" w:firstLineChars="200"/>
        <w:textAlignment w:val="auto"/>
        <w:rPr>
          <w:rFonts w:hint="eastAsia"/>
        </w:rPr>
      </w:pPr>
      <w:r>
        <w:rPr>
          <w:rFonts w:hint="eastAsia"/>
        </w:rPr>
        <w:t>四、供货范围特别提示</w:t>
      </w:r>
    </w:p>
    <w:p w14:paraId="1109281A">
      <w:pPr>
        <w:pStyle w:val="2"/>
        <w:keepNext/>
        <w:keepLines/>
        <w:pageBreakBefore w:val="0"/>
        <w:widowControl w:val="0"/>
        <w:kinsoku/>
        <w:wordWrap/>
        <w:overflowPunct/>
        <w:topLinePunct w:val="0"/>
        <w:autoSpaceDE/>
        <w:autoSpaceDN/>
        <w:bidi w:val="0"/>
        <w:adjustRightInd/>
        <w:snapToGrid/>
        <w:ind w:firstLine="480" w:firstLineChars="200"/>
        <w:textAlignment w:val="auto"/>
        <w:rPr>
          <w:rFonts w:hint="eastAsia"/>
          <w:b w:val="0"/>
          <w:bCs w:val="0"/>
        </w:rPr>
      </w:pPr>
      <w:r>
        <w:rPr>
          <w:rFonts w:hint="eastAsia"/>
          <w:b w:val="0"/>
          <w:bCs w:val="0"/>
        </w:rPr>
        <w:t>如果投标人认为本节所列的供货范围难以满足，则仍需要按照本要求提供，但该部分货物应当在投标报价中单独列明货物名称及品质、货值。</w:t>
      </w:r>
    </w:p>
    <w:p w14:paraId="422FE178">
      <w:pPr>
        <w:rPr>
          <w:rFonts w:hint="eastAsia"/>
          <w:b w:val="0"/>
          <w:bCs w:val="0"/>
        </w:rPr>
      </w:pPr>
      <w:r>
        <w:rPr>
          <w:rFonts w:hint="eastAsia"/>
          <w:b w:val="0"/>
          <w:bCs w:val="0"/>
        </w:rPr>
        <w:br w:type="page"/>
      </w:r>
    </w:p>
    <w:p w14:paraId="0B5586B5">
      <w:pPr>
        <w:rPr>
          <w:rFonts w:hint="eastAsia"/>
        </w:rPr>
      </w:pPr>
    </w:p>
    <w:p w14:paraId="1989C7D9">
      <w:pPr>
        <w:pStyle w:val="18"/>
        <w:spacing w:line="360" w:lineRule="auto"/>
        <w:rPr>
          <w:rFonts w:hint="eastAsia" w:hAnsi="宋体" w:eastAsia="宋体"/>
        </w:rPr>
      </w:pPr>
    </w:p>
    <w:p w14:paraId="4F4050F7">
      <w:pPr>
        <w:keepNext/>
        <w:keepLines/>
        <w:spacing w:line="360" w:lineRule="auto"/>
        <w:jc w:val="center"/>
        <w:outlineLvl w:val="2"/>
        <w:rPr>
          <w:rFonts w:hint="eastAsia" w:ascii="宋体" w:hAnsi="宋体" w:eastAsia="宋体" w:cs="宋体"/>
          <w:b/>
          <w:bCs/>
          <w:sz w:val="24"/>
          <w:szCs w:val="32"/>
        </w:rPr>
      </w:pPr>
      <w:r>
        <w:rPr>
          <w:rFonts w:hint="eastAsia" w:ascii="宋体" w:hAnsi="宋体" w:eastAsia="宋体" w:cs="宋体"/>
          <w:b/>
          <w:bCs/>
          <w:sz w:val="24"/>
          <w:szCs w:val="32"/>
        </w:rPr>
        <w:t>第二节  供货方式</w:t>
      </w:r>
      <w:bookmarkEnd w:id="39"/>
    </w:p>
    <w:p w14:paraId="60E31366">
      <w:pPr>
        <w:spacing w:line="360" w:lineRule="auto"/>
        <w:ind w:firstLine="482" w:firstLineChars="200"/>
        <w:outlineLvl w:val="3"/>
        <w:rPr>
          <w:rFonts w:hint="eastAsia" w:ascii="宋体" w:hAnsi="宋体" w:eastAsia="宋体" w:cs="宋体"/>
          <w:sz w:val="24"/>
          <w:szCs w:val="24"/>
        </w:rPr>
      </w:pPr>
      <w:r>
        <w:rPr>
          <w:rFonts w:hint="eastAsia" w:ascii="宋体" w:hAnsi="宋体" w:eastAsia="宋体" w:cs="宋体"/>
          <w:b/>
          <w:sz w:val="24"/>
          <w:szCs w:val="24"/>
        </w:rPr>
        <w:t>一、供货方式</w:t>
      </w:r>
    </w:p>
    <w:p w14:paraId="161CDE1E">
      <w:pPr>
        <w:spacing w:line="360" w:lineRule="auto"/>
        <w:ind w:firstLine="480" w:firstLineChars="200"/>
        <w:rPr>
          <w:rFonts w:hint="eastAsia"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14:paraId="21D73DC4">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二、供货地点：</w:t>
      </w:r>
      <w:r>
        <w:rPr>
          <w:rFonts w:hint="eastAsia" w:ascii="Times New Roman" w:hAnsi="Times New Roman" w:eastAsia="宋体"/>
          <w:sz w:val="24"/>
          <w:szCs w:val="24"/>
          <w:u w:val="single"/>
        </w:rPr>
        <w:t>山东省济南市市中区党家庄镇南首济南卡车制造有限公司</w:t>
      </w:r>
    </w:p>
    <w:p w14:paraId="08B84412">
      <w:pPr>
        <w:spacing w:line="360" w:lineRule="auto"/>
        <w:ind w:firstLine="482" w:firstLineChars="200"/>
        <w:jc w:val="left"/>
        <w:outlineLvl w:val="3"/>
        <w:rPr>
          <w:rFonts w:hint="eastAsia" w:ascii="宋体" w:hAnsi="宋体" w:eastAsia="宋体" w:cs="宋体"/>
          <w:b/>
          <w:bCs/>
          <w:sz w:val="24"/>
          <w:szCs w:val="24"/>
        </w:rPr>
      </w:pPr>
      <w:r>
        <w:rPr>
          <w:rFonts w:hint="eastAsia" w:ascii="宋体" w:hAnsi="宋体" w:eastAsia="宋体" w:cs="宋体"/>
          <w:b/>
          <w:bCs/>
          <w:sz w:val="24"/>
          <w:szCs w:val="24"/>
        </w:rPr>
        <w:t>三、供货时间</w:t>
      </w:r>
    </w:p>
    <w:p w14:paraId="6F285098">
      <w:pPr>
        <w:spacing w:line="360" w:lineRule="auto"/>
        <w:ind w:firstLine="480" w:firstLineChars="200"/>
        <w:jc w:val="left"/>
        <w:rPr>
          <w:rFonts w:hint="eastAsia" w:ascii="宋体" w:hAnsi="宋体" w:eastAsia="宋体"/>
          <w:sz w:val="24"/>
          <w:szCs w:val="24"/>
        </w:rPr>
      </w:pPr>
      <w:r>
        <w:rPr>
          <w:rFonts w:hint="eastAsia" w:ascii="宋体" w:hAnsi="宋体" w:eastAsia="宋体"/>
          <w:sz w:val="24"/>
          <w:szCs w:val="24"/>
        </w:rPr>
        <w:t>1.自合同签定生效之日起，70个日历日之内交货至供货地点。</w:t>
      </w:r>
    </w:p>
    <w:p w14:paraId="39937C27">
      <w:pPr>
        <w:spacing w:line="360" w:lineRule="auto"/>
        <w:ind w:firstLine="480" w:firstLineChars="200"/>
        <w:jc w:val="left"/>
        <w:rPr>
          <w:rFonts w:hint="eastAsia" w:ascii="宋体" w:hAnsi="宋体" w:eastAsia="宋体"/>
          <w:sz w:val="24"/>
          <w:szCs w:val="24"/>
        </w:rPr>
      </w:pPr>
      <w:r>
        <w:rPr>
          <w:rFonts w:hint="eastAsia" w:ascii="宋体" w:hAnsi="宋体" w:eastAsia="宋体"/>
          <w:sz w:val="24"/>
          <w:szCs w:val="24"/>
        </w:rPr>
        <w:t>2.接续30个日历日之内安装调试完毕。</w:t>
      </w:r>
    </w:p>
    <w:p w14:paraId="31804E4C">
      <w:pPr>
        <w:spacing w:line="360" w:lineRule="auto"/>
        <w:ind w:firstLine="480" w:firstLineChars="200"/>
        <w:jc w:val="left"/>
        <w:rPr>
          <w:rFonts w:hint="eastAsia" w:ascii="宋体" w:hAnsi="宋体" w:eastAsia="宋体"/>
          <w:sz w:val="24"/>
          <w:szCs w:val="24"/>
        </w:rPr>
      </w:pPr>
      <w:r>
        <w:rPr>
          <w:rFonts w:hint="eastAsia" w:ascii="宋体" w:hAnsi="宋体" w:eastAsia="宋体"/>
          <w:sz w:val="24"/>
          <w:szCs w:val="24"/>
        </w:rPr>
        <w:t>3.接续30个日历日之内完成终验收。</w:t>
      </w:r>
    </w:p>
    <w:p w14:paraId="1787321A">
      <w:pPr>
        <w:spacing w:line="360" w:lineRule="auto"/>
        <w:ind w:firstLine="480" w:firstLineChars="200"/>
        <w:jc w:val="left"/>
        <w:rPr>
          <w:rFonts w:hint="eastAsia" w:ascii="宋体" w:hAnsi="宋体" w:eastAsia="宋体"/>
          <w:sz w:val="24"/>
          <w:szCs w:val="24"/>
        </w:rPr>
      </w:pPr>
      <w:r>
        <w:rPr>
          <w:rFonts w:hint="eastAsia" w:ascii="宋体" w:hAnsi="宋体" w:eastAsia="宋体"/>
          <w:sz w:val="24"/>
          <w:szCs w:val="24"/>
        </w:rPr>
        <w:t>安装调试时间或终验收时间超过规定时间的，投标人应当随标书提供详细的工期计划。</w:t>
      </w:r>
    </w:p>
    <w:p w14:paraId="74D01356">
      <w:pPr>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四、包装</w:t>
      </w:r>
    </w:p>
    <w:p w14:paraId="4DE5197E">
      <w:pPr>
        <w:adjustRightInd w:val="0"/>
        <w:snapToGrid w:val="0"/>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0ABFCDDC">
      <w:pPr>
        <w:adjustRightInd w:val="0"/>
        <w:snapToGrid w:val="0"/>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631E1EDD">
      <w:pPr>
        <w:adjustRightInd w:val="0"/>
        <w:snapToGrid w:val="0"/>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应防止在运输过程中变形，在装运时必须按照极板宽度方向垂直于地面用专用包装箱，避免弯曲和扭曲。</w:t>
      </w:r>
    </w:p>
    <w:p w14:paraId="29F02FE5">
      <w:pPr>
        <w:adjustRightInd w:val="0"/>
        <w:snapToGrid w:val="0"/>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1869BCCC">
      <w:pPr>
        <w:adjustRightInd w:val="0"/>
        <w:snapToGrid w:val="0"/>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5.凡电器电子设备须严格包装，以确保不致在运输和保管期间损坏。</w:t>
      </w:r>
    </w:p>
    <w:p w14:paraId="3B855599">
      <w:pPr>
        <w:adjustRightInd w:val="0"/>
        <w:snapToGrid w:val="0"/>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6.设备接口和凸出薄弱部分应考虑防止碰撞损伤。</w:t>
      </w:r>
    </w:p>
    <w:p w14:paraId="28F760F3">
      <w:pPr>
        <w:adjustRightInd w:val="0"/>
        <w:snapToGrid w:val="0"/>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7.所有孔、管接头及法兰、螺纹和末端焊接的连接件，都应有保护装置，以防止在运输和保管期间发生损坏腐蚀和掉进其他物件的现象发生。</w:t>
      </w:r>
    </w:p>
    <w:p w14:paraId="58ECF9FE">
      <w:pPr>
        <w:adjustRightInd w:val="0"/>
        <w:snapToGrid w:val="0"/>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8.每个包装件应有装箱单，并至少标明名称、型号规格、数量、净重和毛重、投标人（或供货商）名称和制造日期等相关内容。包装箱内应附带下列文件，但不限于此：产品使用说明书、产品检验合格证书。</w:t>
      </w:r>
    </w:p>
    <w:p w14:paraId="1FD8C798">
      <w:pPr>
        <w:adjustRightInd w:val="0"/>
        <w:snapToGrid w:val="0"/>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9.每个包装箱应有明显标志，并具有中文书写的合同号、装运标志、发货和到货地点名称、发货人和收货人名称、货物名称和项目号、箱号和外型尺寸等内容。</w:t>
      </w:r>
    </w:p>
    <w:p w14:paraId="199611F8">
      <w:pPr>
        <w:adjustRightInd w:val="0"/>
        <w:snapToGrid w:val="0"/>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10.应按照不同的装运要求在包装箱上标明“小心轻放”、“箭头向上”、“防潮”、“防磁”、“不准平放”等标志，以及其它适用的国标通用标志。</w:t>
      </w:r>
    </w:p>
    <w:p w14:paraId="13670030">
      <w:pPr>
        <w:adjustRightInd w:val="0"/>
        <w:snapToGrid w:val="0"/>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11.包装箱应连续编号，不应出现重复编号。</w:t>
      </w:r>
    </w:p>
    <w:p w14:paraId="30F308C6">
      <w:pPr>
        <w:adjustRightInd w:val="0"/>
        <w:snapToGrid w:val="0"/>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12.在不受到外界破坏情况下，包装应保证自交货日起一年内货物（或设备）完好无损。</w:t>
      </w:r>
    </w:p>
    <w:p w14:paraId="01DA511C">
      <w:pPr>
        <w:adjustRightInd w:val="0"/>
        <w:snapToGrid w:val="0"/>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13.投标方应根据包装箱内所装物品的特性，向招标方提供安全保存方法的说明。</w:t>
      </w:r>
    </w:p>
    <w:p w14:paraId="25093AF3">
      <w:pPr>
        <w:adjustRightInd w:val="0"/>
        <w:snapToGrid w:val="0"/>
        <w:spacing w:line="360" w:lineRule="auto"/>
        <w:ind w:firstLine="480" w:firstLineChars="200"/>
        <w:outlineLvl w:val="3"/>
        <w:rPr>
          <w:rFonts w:hint="eastAsia" w:ascii="宋体" w:hAnsi="宋体" w:eastAsia="宋体" w:cs="宋体"/>
          <w:sz w:val="24"/>
          <w:szCs w:val="24"/>
        </w:rPr>
      </w:pPr>
      <w:r>
        <w:rPr>
          <w:rFonts w:hint="eastAsia" w:ascii="宋体" w:hAnsi="宋体" w:eastAsia="宋体" w:cs="宋体"/>
          <w:sz w:val="24"/>
          <w:szCs w:val="24"/>
        </w:rPr>
        <w:t>14.投标方所供的备品备件及专用工具应有安全储存方法的说明</w:t>
      </w:r>
    </w:p>
    <w:p w14:paraId="422BDBB8">
      <w:pPr>
        <w:adjustRightInd w:val="0"/>
        <w:snapToGrid w:val="0"/>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五、运输</w:t>
      </w:r>
    </w:p>
    <w:p w14:paraId="68511F7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54BB670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14:paraId="2A8F1A3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738A82B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14:paraId="464815CB">
      <w:pPr>
        <w:adjustRightInd w:val="0"/>
        <w:snapToGrid w:val="0"/>
        <w:spacing w:line="360" w:lineRule="auto"/>
        <w:ind w:firstLine="480" w:firstLineChars="200"/>
        <w:rPr>
          <w:rFonts w:hint="eastAsia" w:ascii="宋体" w:hAnsi="宋体" w:eastAsia="宋体"/>
          <w:szCs w:val="20"/>
        </w:rPr>
      </w:pPr>
      <w:r>
        <w:rPr>
          <w:rFonts w:hint="eastAsia" w:ascii="宋体" w:hAnsi="宋体" w:eastAsia="宋体" w:cs="宋体"/>
          <w:sz w:val="24"/>
          <w:szCs w:val="24"/>
        </w:rPr>
        <w:t>5.货物（或设备）运抵交货地点后，应负责货物（或设备）的卸货、搬运、保管等事宜，或按照合同约定。</w:t>
      </w:r>
    </w:p>
    <w:p w14:paraId="75D39F36">
      <w:pPr>
        <w:keepNext/>
        <w:keepLines/>
        <w:spacing w:line="360" w:lineRule="auto"/>
        <w:jc w:val="center"/>
        <w:outlineLvl w:val="1"/>
        <w:rPr>
          <w:rFonts w:hint="eastAsia" w:ascii="宋体" w:hAnsi="宋体" w:eastAsia="宋体"/>
          <w:b/>
          <w:bCs/>
          <w:kern w:val="44"/>
          <w:sz w:val="28"/>
          <w:szCs w:val="28"/>
        </w:rPr>
      </w:pPr>
      <w:bookmarkStart w:id="40" w:name="_Toc169605884"/>
      <w:r>
        <w:rPr>
          <w:rFonts w:hint="eastAsia" w:ascii="宋体" w:hAnsi="宋体" w:eastAsia="宋体"/>
          <w:b/>
          <w:bCs/>
          <w:kern w:val="44"/>
          <w:sz w:val="28"/>
          <w:szCs w:val="28"/>
        </w:rPr>
        <w:t>第四章质保期及售后服务</w:t>
      </w:r>
      <w:bookmarkEnd w:id="40"/>
    </w:p>
    <w:p w14:paraId="3111A475">
      <w:pPr>
        <w:pStyle w:val="121"/>
        <w:spacing w:line="360" w:lineRule="auto"/>
        <w:rPr>
          <w:rFonts w:hint="eastAsia" w:ascii="宋体" w:hAnsi="宋体"/>
        </w:rPr>
      </w:pPr>
      <w:r>
        <w:rPr>
          <w:rFonts w:hint="eastAsia" w:ascii="宋体" w:hAnsi="宋体"/>
        </w:rPr>
        <w:t>一、质保期及质保要求</w:t>
      </w:r>
    </w:p>
    <w:p w14:paraId="375E41E4">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1.全部供货范围内的设备、材料、零配件和工器具等，除合同特别约定外，其质保期均自终验收签字生效之日起12个月。</w:t>
      </w:r>
    </w:p>
    <w:p w14:paraId="7B9DE782">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14:paraId="6AFC92EA">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2D20F5FF">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2.质保期之内，如果货物出现设备、总成、关键零部件或者多处一般零部件的二次以上的更换或维修行为，则质保期自更换或维修行为结束、货物重新正常运行使用之日起重新计算。</w:t>
      </w:r>
    </w:p>
    <w:p w14:paraId="16F79A3A">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3.质保期内免费提供零部件和及时有效的服务。质保期内因货物本身缺陷造成的各种故障，卖方应负责免费维修和服务。</w:t>
      </w:r>
    </w:p>
    <w:p w14:paraId="09911CD9">
      <w:pPr>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4.质保期终止之日起一年内重复出现的质保期之内出现的故障，仍属质保范围而且应当免费。</w:t>
      </w:r>
    </w:p>
    <w:p w14:paraId="39A44B8C">
      <w:pPr>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rPr>
      </w:pPr>
      <w:r>
        <w:rPr>
          <w:rFonts w:hint="eastAsia" w:ascii="宋体" w:hAnsi="宋体" w:eastAsia="宋体" w:cs="宋体"/>
          <w:sz w:val="24"/>
          <w:szCs w:val="24"/>
        </w:rPr>
        <w:t>5.软件要具备升级功能，在投产后五年内中标方负责为业主方免费升级</w:t>
      </w:r>
      <w:r>
        <w:rPr>
          <w:rFonts w:hint="eastAsia" w:ascii="Times New Roman" w:hAnsi="Times New Roman" w:eastAsia="宋体"/>
          <w:sz w:val="24"/>
          <w:szCs w:val="24"/>
        </w:rPr>
        <w:t>。</w:t>
      </w:r>
    </w:p>
    <w:p w14:paraId="119C0799">
      <w:pPr>
        <w:pStyle w:val="121"/>
        <w:pageBreakBefore w:val="0"/>
        <w:widowControl w:val="0"/>
        <w:kinsoku/>
        <w:wordWrap/>
        <w:overflowPunct/>
        <w:topLinePunct w:val="0"/>
        <w:autoSpaceDE/>
        <w:autoSpaceDN/>
        <w:bidi w:val="0"/>
        <w:spacing w:line="360" w:lineRule="auto"/>
        <w:textAlignment w:val="auto"/>
        <w:rPr>
          <w:rFonts w:hint="eastAsia" w:ascii="宋体" w:hAnsi="宋体" w:cs="宋体"/>
        </w:rPr>
      </w:pPr>
      <w:r>
        <w:rPr>
          <w:rFonts w:hint="eastAsia" w:ascii="宋体" w:hAnsi="宋体" w:cs="宋体"/>
        </w:rPr>
        <w:t>二、技术</w:t>
      </w:r>
      <w:r>
        <w:rPr>
          <w:rFonts w:hint="eastAsia" w:ascii="宋体" w:hAnsi="宋体"/>
        </w:rPr>
        <w:t>指导</w:t>
      </w:r>
      <w:r>
        <w:rPr>
          <w:rFonts w:hint="eastAsia" w:ascii="宋体" w:hAnsi="宋体" w:cs="宋体"/>
        </w:rPr>
        <w:t>及培训服务</w:t>
      </w:r>
    </w:p>
    <w:p w14:paraId="00D58377">
      <w:pPr>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olor w:val="000000"/>
          <w:sz w:val="24"/>
          <w:szCs w:val="24"/>
        </w:rPr>
      </w:pPr>
      <w:r>
        <w:rPr>
          <w:rFonts w:hint="eastAsia" w:ascii="宋体" w:hAnsi="宋体" w:eastAsia="宋体"/>
          <w:color w:val="000000"/>
          <w:sz w:val="24"/>
          <w:szCs w:val="24"/>
        </w:rPr>
        <w:t>1.应负责在招标方货物使用现场，对技术、维修和操作人员提供免费的理论、技术和操作、维修等方面的技术指导和培训，并接受招标方有关人员的技术咨询。投标方要有具体的培训计划和培训内容，应分别进行理论培训和实际操作培训，其目的是保证招标方有关人员在投标方交货验收后，能独立进行操作并维修。培训时间在安装调试结束后，培训工作日不少于</w:t>
      </w:r>
      <w:r>
        <w:rPr>
          <w:rFonts w:hint="eastAsia" w:ascii="宋体" w:hAnsi="宋体" w:eastAsia="宋体"/>
          <w:color w:val="000000"/>
          <w:sz w:val="24"/>
          <w:szCs w:val="24"/>
          <w:u w:val="single"/>
        </w:rPr>
        <w:t>2</w:t>
      </w:r>
      <w:r>
        <w:rPr>
          <w:rFonts w:hint="eastAsia" w:ascii="宋体" w:hAnsi="宋体" w:eastAsia="宋体"/>
          <w:color w:val="000000"/>
          <w:sz w:val="24"/>
          <w:szCs w:val="24"/>
        </w:rPr>
        <w:t>个日历日。</w:t>
      </w:r>
    </w:p>
    <w:p w14:paraId="31CBD387">
      <w:pPr>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olor w:val="000000"/>
          <w:sz w:val="24"/>
          <w:szCs w:val="24"/>
        </w:rPr>
      </w:pPr>
      <w:r>
        <w:rPr>
          <w:rFonts w:hint="eastAsia" w:ascii="宋体" w:hAnsi="宋体" w:eastAsia="宋体"/>
          <w:color w:val="000000"/>
          <w:sz w:val="24"/>
          <w:szCs w:val="24"/>
        </w:rPr>
        <w:t>2.应免费提供一定数量的培训资料。</w:t>
      </w:r>
    </w:p>
    <w:p w14:paraId="5AC33EDD">
      <w:pPr>
        <w:spacing w:line="360" w:lineRule="auto"/>
        <w:ind w:firstLine="480" w:firstLineChars="200"/>
        <w:rPr>
          <w:rFonts w:hint="eastAsia" w:ascii="宋体" w:hAnsi="宋体" w:eastAsia="宋体"/>
          <w:sz w:val="24"/>
          <w:szCs w:val="24"/>
          <w:lang w:eastAsia="zh-CN"/>
        </w:rPr>
      </w:pPr>
      <w:r>
        <w:rPr>
          <w:rFonts w:hint="eastAsia" w:ascii="宋体" w:hAnsi="宋体" w:eastAsia="宋体"/>
          <w:sz w:val="24"/>
          <w:szCs w:val="24"/>
        </w:rPr>
        <w:t>3.投标方应按要求，免费积极协助和提供招标人和招标人所委托的工程设计单位有关人员所需要的、和设备（或材料）有关的工程设计资料、技术咨询等</w:t>
      </w:r>
      <w:r>
        <w:rPr>
          <w:rFonts w:hint="eastAsia" w:ascii="宋体" w:hAnsi="宋体" w:eastAsia="宋体"/>
          <w:sz w:val="24"/>
          <w:szCs w:val="24"/>
          <w:lang w:eastAsia="zh-CN"/>
        </w:rPr>
        <w:t>。</w:t>
      </w:r>
    </w:p>
    <w:p w14:paraId="0E95FC99">
      <w:pPr>
        <w:spacing w:line="360" w:lineRule="auto"/>
        <w:ind w:firstLine="480" w:firstLineChars="200"/>
        <w:rPr>
          <w:rFonts w:hint="eastAsia" w:ascii="宋体" w:hAnsi="宋体" w:eastAsia="宋体"/>
          <w:sz w:val="24"/>
          <w:szCs w:val="24"/>
          <w:lang w:eastAsia="zh-CN"/>
        </w:rPr>
      </w:pPr>
      <w:r>
        <w:rPr>
          <w:rFonts w:hint="eastAsia" w:ascii="宋体" w:hAnsi="宋体" w:eastAsia="宋体"/>
          <w:sz w:val="24"/>
          <w:szCs w:val="24"/>
        </w:rPr>
        <w:t>4.若投标方提供设备（或材料）的技术质量等，与投标方外购的设备（或材料）技术质量等有较大或直接关联时，投标方应能得到其外购设备（或材料）制造厂商（或供应商）的技术支持，并免费为招标人提供技术服务（包括设计文件的审查和审定）</w:t>
      </w:r>
      <w:r>
        <w:rPr>
          <w:rFonts w:hint="eastAsia" w:ascii="宋体" w:hAnsi="宋体" w:eastAsia="宋体"/>
          <w:sz w:val="24"/>
          <w:szCs w:val="24"/>
          <w:lang w:eastAsia="zh-CN"/>
        </w:rPr>
        <w:t>。</w:t>
      </w:r>
    </w:p>
    <w:p w14:paraId="775F8367">
      <w:pPr>
        <w:spacing w:line="360" w:lineRule="auto"/>
        <w:ind w:firstLine="480" w:firstLineChars="200"/>
        <w:rPr>
          <w:rFonts w:hint="eastAsia" w:ascii="宋体" w:hAnsi="宋体" w:eastAsia="宋体"/>
          <w:sz w:val="24"/>
          <w:szCs w:val="24"/>
          <w:lang w:eastAsia="zh-CN"/>
        </w:rPr>
      </w:pPr>
      <w:r>
        <w:rPr>
          <w:rFonts w:hint="eastAsia" w:ascii="宋体" w:hAnsi="宋体" w:eastAsia="宋体"/>
          <w:sz w:val="24"/>
          <w:szCs w:val="24"/>
        </w:rPr>
        <w:t>5.投标方负责制定对招标人人员在运行、维修和试验等方面的培训计划，并有专人负责实施培训计划，应进行相关安全环保注意事项的培训，并提供相关人员、设备安全作业资质的要求，负责指导招标人受培训人员正确理解设计和制造意图，认识设备的特点和特性，掌握在运行、维修和使用管理中应遵守的规则等方面的综合知识</w:t>
      </w:r>
      <w:r>
        <w:rPr>
          <w:rFonts w:hint="eastAsia" w:ascii="宋体" w:hAnsi="宋体" w:eastAsia="宋体"/>
          <w:sz w:val="24"/>
          <w:szCs w:val="24"/>
          <w:lang w:eastAsia="zh-CN"/>
        </w:rPr>
        <w:t>。</w:t>
      </w:r>
    </w:p>
    <w:p w14:paraId="40744799">
      <w:pPr>
        <w:pStyle w:val="8"/>
        <w:ind w:firstLine="480"/>
        <w:rPr>
          <w:rFonts w:hint="eastAsia" w:ascii="宋体" w:hAnsi="宋体" w:eastAsia="宋体"/>
          <w:color w:val="000000"/>
          <w:sz w:val="24"/>
          <w:szCs w:val="24"/>
        </w:rPr>
      </w:pPr>
      <w:r>
        <w:rPr>
          <w:rFonts w:hint="eastAsia" w:ascii="宋体" w:hAnsi="宋体" w:eastAsia="宋体"/>
          <w:sz w:val="24"/>
          <w:szCs w:val="24"/>
        </w:rPr>
        <w:t>6.投标方提供的改造方式、新增设备内容，建议在试用确认无误之后，再批量生产，否则因此造成的损失，由投标方承担。</w:t>
      </w:r>
    </w:p>
    <w:p w14:paraId="22212CC0">
      <w:pPr>
        <w:pStyle w:val="121"/>
        <w:spacing w:line="360" w:lineRule="auto"/>
        <w:rPr>
          <w:rFonts w:hint="eastAsia" w:ascii="宋体" w:hAnsi="宋体" w:cs="宋体"/>
        </w:rPr>
      </w:pPr>
      <w:r>
        <w:rPr>
          <w:rFonts w:hint="eastAsia" w:ascii="宋体" w:hAnsi="宋体" w:cs="宋体"/>
        </w:rPr>
        <w:t>三、安装调试及验收服务</w:t>
      </w:r>
    </w:p>
    <w:p w14:paraId="25D206C7">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1.根据设备的要求，调试可分空载和负载两个阶段进行；招标人将予以积极配合，协助投标方达到设备的各项技术要求和性能；</w:t>
      </w:r>
    </w:p>
    <w:p w14:paraId="5330890B">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2.验收时执行的标准：执行国家最新相关标准或行业标准、规范，验收时投标人（卖方）应提供设备制造、安装、验收时所采用的标准或规范的文字样本供买方参考，验收时的实际数据应满足国家标准、本标书及验收方案中的相关规定。</w:t>
      </w:r>
    </w:p>
    <w:p w14:paraId="4ADF43AD">
      <w:pPr>
        <w:spacing w:line="360" w:lineRule="auto"/>
        <w:ind w:firstLine="480" w:firstLineChars="200"/>
        <w:rPr>
          <w:rFonts w:hint="eastAsia" w:ascii="宋体" w:hAnsi="宋体" w:eastAsia="宋体"/>
          <w:sz w:val="24"/>
          <w:szCs w:val="24"/>
          <w:lang w:eastAsia="zh-CN"/>
        </w:rPr>
      </w:pPr>
      <w:r>
        <w:rPr>
          <w:rFonts w:hint="eastAsia" w:ascii="宋体" w:hAnsi="宋体" w:eastAsia="宋体"/>
          <w:sz w:val="24"/>
          <w:szCs w:val="24"/>
        </w:rPr>
        <w:t>3.安装调试与验收期间，若投标方提供设备的技术质量等，与投标方外购的设备技术质量等有较大或直接关联时，投标方应能得到其外购设备制造厂商（或供应商）的技术支持，并免费为招标人提供安装使用现场的指导与协调</w:t>
      </w:r>
      <w:r>
        <w:rPr>
          <w:rFonts w:hint="eastAsia" w:ascii="宋体" w:hAnsi="宋体" w:eastAsia="宋体"/>
          <w:sz w:val="24"/>
          <w:szCs w:val="24"/>
          <w:lang w:eastAsia="zh-CN"/>
        </w:rPr>
        <w:t>。</w:t>
      </w:r>
    </w:p>
    <w:p w14:paraId="1B417A5C">
      <w:pPr>
        <w:spacing w:line="360" w:lineRule="auto"/>
        <w:ind w:firstLine="480" w:firstLineChars="200"/>
        <w:rPr>
          <w:rFonts w:hint="eastAsia" w:ascii="宋体" w:hAnsi="宋体" w:eastAsia="宋体"/>
          <w:sz w:val="24"/>
          <w:szCs w:val="24"/>
          <w:lang w:eastAsia="zh-CN"/>
        </w:rPr>
      </w:pPr>
      <w:r>
        <w:rPr>
          <w:rFonts w:hint="eastAsia" w:ascii="宋体" w:hAnsi="宋体" w:eastAsia="宋体"/>
          <w:sz w:val="24"/>
          <w:szCs w:val="24"/>
        </w:rPr>
        <w:t>4.投标方免费负责设备的安装、调试，并接受用户的技术咨询</w:t>
      </w:r>
      <w:r>
        <w:rPr>
          <w:rFonts w:hint="eastAsia" w:ascii="宋体" w:hAnsi="宋体" w:eastAsia="宋体"/>
          <w:sz w:val="24"/>
          <w:szCs w:val="24"/>
          <w:lang w:eastAsia="zh-CN"/>
        </w:rPr>
        <w:t>。</w:t>
      </w:r>
    </w:p>
    <w:p w14:paraId="2DD72869">
      <w:pPr>
        <w:spacing w:line="360" w:lineRule="auto"/>
        <w:ind w:firstLine="480" w:firstLineChars="200"/>
        <w:rPr>
          <w:rFonts w:hint="eastAsia" w:ascii="宋体" w:hAnsi="宋体" w:eastAsia="宋体"/>
          <w:sz w:val="24"/>
          <w:szCs w:val="24"/>
          <w:lang w:eastAsia="zh-CN"/>
        </w:rPr>
      </w:pPr>
      <w:r>
        <w:rPr>
          <w:rFonts w:hint="eastAsia" w:ascii="宋体" w:hAnsi="宋体" w:eastAsia="宋体"/>
          <w:sz w:val="24"/>
          <w:szCs w:val="24"/>
        </w:rPr>
        <w:t>5.投标方是否提供有偿的还是免费的、指导安装调试还是负责安装调试，至少应在投标文件的服务章节中，予以明确说明</w:t>
      </w:r>
      <w:r>
        <w:rPr>
          <w:rFonts w:hint="eastAsia" w:ascii="宋体" w:hAnsi="宋体" w:eastAsia="宋体"/>
          <w:sz w:val="24"/>
          <w:szCs w:val="24"/>
          <w:lang w:eastAsia="zh-CN"/>
        </w:rPr>
        <w:t>。</w:t>
      </w:r>
    </w:p>
    <w:p w14:paraId="179CA9AB">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6.投标方进入招标方现场进行安装调试过程中，应进行相关安全环保注意事项的培训，并提供相关人员、设备安全作业资质的要求。</w:t>
      </w:r>
    </w:p>
    <w:p w14:paraId="48C56048">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7.设备供方配合招标方完成设备数据采集的调试工作，包括但不限于提供设备PLC程序（无密码），接口调试等工作。</w:t>
      </w:r>
    </w:p>
    <w:p w14:paraId="7AD15CF4">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8.投标人在招标人现场进行的、指导或负责的、设备（或材料）的预验收和终验收，应当是免费的，陪同生产时间不少于45天。</w:t>
      </w:r>
    </w:p>
    <w:p w14:paraId="412F2473">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9.设备（或材料）验收时，若投标人提供设备（或材料）的技术质量等，与投标人外购的设备（或材料）技术质量等有较大或直接关联时，投标人应能得到其外购设备（或材料）制造厂商（或供应商）的技术支持，并免费提供其必要的现场指导与协调。</w:t>
      </w:r>
    </w:p>
    <w:p w14:paraId="4981AC6D">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10.在投标人所提供设备需要得到招标人建设项目所在地政府或行业主管部门的查验、试验、验收时，投标人应当免费协助招标人完成所需要的工作、材料和服务等。</w:t>
      </w:r>
    </w:p>
    <w:p w14:paraId="06D608F2">
      <w:pPr>
        <w:pStyle w:val="121"/>
        <w:spacing w:line="360" w:lineRule="auto"/>
        <w:rPr>
          <w:rFonts w:hint="eastAsia" w:ascii="宋体" w:hAnsi="宋体" w:cs="宋体"/>
        </w:rPr>
      </w:pPr>
      <w:r>
        <w:rPr>
          <w:rFonts w:hint="eastAsia" w:ascii="宋体" w:hAnsi="宋体" w:cs="宋体"/>
        </w:rPr>
        <w:t>四、售后服务</w:t>
      </w:r>
    </w:p>
    <w:p w14:paraId="7B568373">
      <w:pPr>
        <w:spacing w:line="360" w:lineRule="auto"/>
        <w:ind w:firstLine="480" w:firstLineChars="200"/>
        <w:rPr>
          <w:rFonts w:hint="eastAsia" w:ascii="宋体" w:hAnsi="宋体" w:eastAsia="宋体"/>
          <w:sz w:val="24"/>
          <w:szCs w:val="24"/>
        </w:rPr>
      </w:pPr>
      <w:r>
        <w:rPr>
          <w:rFonts w:hint="eastAsia" w:ascii="宋体" w:hAnsi="宋体" w:eastAsia="宋体"/>
          <w:sz w:val="24"/>
          <w:szCs w:val="24"/>
          <w:lang w:val="en-US" w:eastAsia="zh-CN"/>
        </w:rPr>
        <w:t>1.</w:t>
      </w:r>
      <w:r>
        <w:rPr>
          <w:rFonts w:hint="eastAsia" w:ascii="宋体" w:hAnsi="宋体" w:eastAsia="宋体"/>
          <w:sz w:val="24"/>
          <w:szCs w:val="24"/>
        </w:rPr>
        <w:t>由投标方全权负责本品目所有设备售后服务，其中包括所有外购设备。</w:t>
      </w:r>
    </w:p>
    <w:p w14:paraId="5E1427E4">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2.只有持买方、卖方代表共同对整条线进行最终综合验收，并签署合格证后，设备才被视为交付使用。其质量保证期为整机二年。在质保期内，调备维护、保养、维修（非人为损坏的）。卖方（设备生产制造商）须负责免费维修和免费更换零配件。</w:t>
      </w:r>
    </w:p>
    <w:p w14:paraId="6FC82A0B">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3.如设备部件属国内生产厂家制造的，卖方应在接到通知后与买方的技术人员联系并告之其处理方法。在确认买方无法解决时，必须在接到通知的36小时内免费为买方维修或更换部件。</w:t>
      </w:r>
    </w:p>
    <w:p w14:paraId="11606ED8">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4.如设备部件属国外生产厂家制造的，卖方应储备一定数量的备品备件。</w:t>
      </w:r>
    </w:p>
    <w:p w14:paraId="40841DE6">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5.质保期内如有零件损坏，自维修好之日起重新计算质保期</w:t>
      </w:r>
    </w:p>
    <w:p w14:paraId="7A94D79F">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6.保修期内提供免费跟踪服务，每半年提供一次例行检查。</w:t>
      </w:r>
    </w:p>
    <w:p w14:paraId="49E3E4BF">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7.保修期后每年对买方进行一次回访，收集买方意见和建议，及时解决工程有关事宜。</w:t>
      </w:r>
    </w:p>
    <w:p w14:paraId="42912292">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8.保修期满后，优惠供应卖方制造的备品备件。</w:t>
      </w:r>
    </w:p>
    <w:p w14:paraId="4BE272D3">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9.为保证设备正常运行，卖方长期为买方提供本标段相关的技术咨询。</w:t>
      </w:r>
    </w:p>
    <w:p w14:paraId="5625B207">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10.在质保期之内，如发现投标人所提供的设备（或材料）存在问题，需要投标人配合解决时，投标人须在接到通知后市内2小时、省内8小时、省外24小时内派有关人员到达现场，解决问题。</w:t>
      </w:r>
    </w:p>
    <w:p w14:paraId="09690A89">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11.在质保期之后，如发现投标人所提供的设备（或材料）存在问题，需要投标人配合解决时，投标人须在接到通知后市内2小时、省内8小时、省外24小时内派有关人员到达现场，协助招标人解决问题。</w:t>
      </w:r>
    </w:p>
    <w:p w14:paraId="3AF6786D">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12.所有的售后服务均由投标人受理。如果发生问题并且收到报告，应当在2小时内予以答复。</w:t>
      </w:r>
    </w:p>
    <w:p w14:paraId="41B4E30F">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13.投标方有义务在设备整个使用寿命周期内提供优质的服务。</w:t>
      </w:r>
    </w:p>
    <w:p w14:paraId="699BF257">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14.投标方派往招标方使用现场的人员，应具有较高的业务素质；现场解决问题时，不得无故拖延或推迟，应为招标方提供最佳的服务</w:t>
      </w:r>
    </w:p>
    <w:p w14:paraId="0D0A2890">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15※ 在工具设备使用寿命内，投标人应向招标人提供充足的备品备件、易损件和专用耗材，自招标人提出采购需求至交货，周期不得长于15天，也可提供备用工具设备，提供周期不得长于3天。</w:t>
      </w:r>
    </w:p>
    <w:p w14:paraId="1B199177">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16※ 招标人若将设备接入MES，实现智能制造，投标人需要无条件的提供帮助与服务，包括但不限于提供设备程序，以及为实现某种自动化功能而需对设备程序进行的调整等。</w:t>
      </w:r>
    </w:p>
    <w:p w14:paraId="404E969E">
      <w:pPr>
        <w:spacing w:line="360" w:lineRule="auto"/>
        <w:ind w:firstLine="480" w:firstLineChars="200"/>
        <w:rPr>
          <w:rFonts w:hint="eastAsia" w:ascii="宋体" w:hAnsi="宋体" w:eastAsia="宋体"/>
          <w:sz w:val="24"/>
          <w:szCs w:val="24"/>
        </w:rPr>
      </w:pPr>
      <w:r>
        <w:rPr>
          <w:rFonts w:hint="eastAsia" w:ascii="宋体" w:hAnsi="宋体" w:eastAsia="宋体"/>
          <w:sz w:val="24"/>
          <w:szCs w:val="24"/>
        </w:rPr>
        <w:t>17※ 在工具设备使用寿命周期内，投标人每年至少开展1次工具及软件使用、工具设备维修保养等方面的培训工作</w:t>
      </w:r>
      <w:r>
        <w:rPr>
          <w:rFonts w:ascii="宋体" w:hAnsi="宋体" w:eastAsia="宋体"/>
          <w:sz w:val="24"/>
          <w:szCs w:val="24"/>
        </w:rPr>
        <w:t>。</w:t>
      </w:r>
    </w:p>
    <w:p w14:paraId="5186ECAC">
      <w:pPr>
        <w:pStyle w:val="121"/>
        <w:spacing w:line="360" w:lineRule="auto"/>
        <w:rPr>
          <w:rFonts w:hint="eastAsia" w:ascii="宋体" w:hAnsi="宋体" w:cs="宋体"/>
        </w:rPr>
      </w:pPr>
      <w:r>
        <w:rPr>
          <w:rFonts w:hint="eastAsia" w:ascii="宋体" w:hAnsi="宋体" w:cs="宋体"/>
        </w:rPr>
        <w:t>五、其它服务</w:t>
      </w:r>
    </w:p>
    <w:p w14:paraId="71DAB6E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1.若投标方所提供货物有需要进口的，投标方一般应自行、自费办理；必要时，买卖双方共同办理。</w:t>
      </w:r>
    </w:p>
    <w:p w14:paraId="68FB001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2.除招标文件、投标文件、答疑文件、技术标书、合同等约定之外，投标方应免费负责必要的或强制性的货物的检验、试验、化验等直接费用。</w:t>
      </w:r>
    </w:p>
    <w:p w14:paraId="2407721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3.运输服务，投标方负责将设备按要求运至 中国重汽集团济南卡车有限公司党家庄工厂。</w:t>
      </w:r>
    </w:p>
    <w:p w14:paraId="3348401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4.本章节条款所列“免费”，并非指定不可收费，而是指招标文件、投标文件、答疑文件、技术交流文件、技术标书和合同等范围之外，投标人不可另行收取的费用。</w:t>
      </w:r>
    </w:p>
    <w:p w14:paraId="735B5AA4">
      <w:pPr>
        <w:pStyle w:val="2"/>
      </w:pPr>
    </w:p>
    <w:p w14:paraId="4995180D">
      <w:pPr>
        <w:keepNext/>
        <w:keepLines/>
        <w:numPr>
          <w:ilvl w:val="0"/>
          <w:numId w:val="14"/>
        </w:numPr>
        <w:spacing w:line="360" w:lineRule="auto"/>
        <w:jc w:val="center"/>
        <w:outlineLvl w:val="1"/>
        <w:rPr>
          <w:rFonts w:hint="eastAsia" w:ascii="宋体" w:hAnsi="宋体" w:eastAsia="宋体"/>
          <w:b/>
          <w:bCs/>
          <w:kern w:val="44"/>
          <w:sz w:val="28"/>
          <w:szCs w:val="28"/>
        </w:rPr>
      </w:pPr>
      <w:bookmarkStart w:id="41" w:name="_Toc465187646"/>
      <w:r>
        <w:rPr>
          <w:rFonts w:hint="eastAsia" w:ascii="宋体" w:hAnsi="宋体" w:eastAsia="宋体"/>
          <w:b/>
          <w:bCs/>
          <w:kern w:val="44"/>
          <w:sz w:val="28"/>
          <w:szCs w:val="28"/>
        </w:rPr>
        <w:t xml:space="preserve"> 预验收与终验收</w:t>
      </w:r>
      <w:bookmarkEnd w:id="41"/>
    </w:p>
    <w:p w14:paraId="725008E2">
      <w:pPr>
        <w:pStyle w:val="121"/>
        <w:spacing w:line="360" w:lineRule="auto"/>
        <w:rPr>
          <w:rFonts w:hint="eastAsia" w:ascii="宋体" w:hAnsi="宋体"/>
          <w:color w:val="auto"/>
        </w:rPr>
      </w:pPr>
      <w:r>
        <w:rPr>
          <w:rFonts w:hint="eastAsia" w:ascii="宋体" w:hAnsi="宋体"/>
          <w:color w:val="auto"/>
        </w:rPr>
        <w:t>一、验收依据和验收标准</w:t>
      </w:r>
    </w:p>
    <w:p w14:paraId="5AC07376">
      <w:pPr>
        <w:pStyle w:val="121"/>
        <w:spacing w:line="360" w:lineRule="auto"/>
        <w:ind w:firstLine="480"/>
        <w:rPr>
          <w:rFonts w:hint="eastAsia" w:ascii="宋体" w:hAnsi="宋体" w:cs="宋体"/>
          <w:b w:val="0"/>
          <w:bCs w:val="0"/>
        </w:rPr>
      </w:pPr>
      <w:r>
        <w:rPr>
          <w:rFonts w:hint="eastAsia" w:ascii="宋体" w:hAnsi="宋体" w:cs="宋体"/>
          <w:b w:val="0"/>
          <w:bCs w:val="0"/>
        </w:rPr>
        <w:t>1、验收标准一般以技术协议书和合同规定验收。无论技术协议书和合同，是否全部并准确列明验收所涉及的相关标准，均作为验收标准之一。</w:t>
      </w:r>
    </w:p>
    <w:p w14:paraId="7794086D">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2、如果验收过程中，发现招标文件、投标文件、答疑文件、技术交流文件等与技术协议书、合同存在差异，原则上以涉及条款中对买方最有利条款为验收依据。</w:t>
      </w:r>
    </w:p>
    <w:p w14:paraId="35FE0697">
      <w:pPr>
        <w:pStyle w:val="121"/>
        <w:spacing w:line="360" w:lineRule="auto"/>
        <w:rPr>
          <w:rFonts w:hint="eastAsia" w:ascii="宋体" w:hAnsi="宋体"/>
          <w:color w:val="auto"/>
        </w:rPr>
      </w:pPr>
      <w:r>
        <w:rPr>
          <w:rFonts w:hint="eastAsia" w:ascii="宋体" w:hAnsi="宋体"/>
          <w:color w:val="auto"/>
        </w:rPr>
        <w:t>二、检验</w:t>
      </w:r>
    </w:p>
    <w:p w14:paraId="0C028CFE">
      <w:pPr>
        <w:pStyle w:val="121"/>
        <w:spacing w:line="360" w:lineRule="auto"/>
        <w:ind w:firstLine="480"/>
        <w:rPr>
          <w:rFonts w:hint="eastAsia" w:ascii="宋体" w:hAnsi="宋体" w:cs="宋体"/>
          <w:b w:val="0"/>
          <w:bCs w:val="0"/>
        </w:rPr>
      </w:pPr>
      <w:r>
        <w:rPr>
          <w:rFonts w:hint="eastAsia" w:ascii="宋体" w:hAnsi="宋体" w:cs="宋体"/>
          <w:b w:val="0"/>
          <w:bCs w:val="0"/>
        </w:rPr>
        <w:t>如果采购货物涉及必要的或必需的检验，投标方应当在投标文件中明确可能涉及的检验费用，并将该费用包含在投标总报价之内；不作针对性澄清或说明的，视同包含在投标总价之内。基本约定如下：</w:t>
      </w:r>
    </w:p>
    <w:p w14:paraId="41ECFE36">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14:paraId="375137E7">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2、进口货物的检验，卖方需要按照下述要求进行：</w:t>
      </w:r>
    </w:p>
    <w:p w14:paraId="34593A99">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2.1  进口货物发货前，应对货物的质量、型号、规格、性能和数量/重量作精密、全面的检验，并出具证明书，证明所供货物符合合同规定。</w:t>
      </w:r>
    </w:p>
    <w:p w14:paraId="154568A4">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  应依据合同规定的要求，提供买卖双方达成一致的货物的验收标准和装箱单，作为买方检验的依据。</w:t>
      </w:r>
    </w:p>
    <w:p w14:paraId="7BEECA90">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7A4E1B19">
      <w:pPr>
        <w:pStyle w:val="121"/>
        <w:spacing w:line="360" w:lineRule="auto"/>
        <w:rPr>
          <w:rFonts w:hint="eastAsia" w:ascii="宋体" w:hAnsi="宋体"/>
          <w:color w:val="auto"/>
        </w:rPr>
      </w:pPr>
      <w:r>
        <w:rPr>
          <w:rFonts w:hint="eastAsia" w:ascii="宋体" w:hAnsi="宋体"/>
          <w:color w:val="auto"/>
        </w:rPr>
        <w:t>三、验收基本条件</w:t>
      </w:r>
    </w:p>
    <w:p w14:paraId="0AC105BF">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验收一般分预验收和终验收两部分。预验收在安装调试完成后现场进行。但是所有的项目，包括不能预验收的项目和预验收通过的项目都在终验收时重新检验，最终只以终验收为准。</w:t>
      </w:r>
    </w:p>
    <w:p w14:paraId="28749A8E">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预验收时，设备应制造、组装完毕，并已进行了试运行、负荷试验和精度测试；预验收检查项目为：设备的技术规格和数量，设备制造加工质量，设备的机械、电气动作、综合精度、负荷试验，技术资料的完整情况。</w:t>
      </w:r>
    </w:p>
    <w:p w14:paraId="2D36DF3F">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2.终验收规程：</w:t>
      </w:r>
    </w:p>
    <w:p w14:paraId="73AC9253">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设备（或材料）允许情况下，一般连续运行30天，每天连续10小时，除用户方面因素外，必须达到以下要求：</w:t>
      </w:r>
    </w:p>
    <w:p w14:paraId="3F64263E">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a）在整个验收过程中没有维修、更换零部件或元件行为；</w:t>
      </w:r>
    </w:p>
    <w:p w14:paraId="25CA4065">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b）所有出现的调整，每次调整时间均不超过30分钟；</w:t>
      </w:r>
    </w:p>
    <w:p w14:paraId="40610E17">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c）所有调整时间的总和不超过总运行时间的10%；</w:t>
      </w:r>
    </w:p>
    <w:p w14:paraId="44CB920D">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d）累计负载运行实际性能（或生产率）达到合同规定；</w:t>
      </w:r>
    </w:p>
    <w:p w14:paraId="0DD78BDC">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e）终验收原则上要求一次完成，若一次验收不成功，最多允许两次；</w:t>
      </w:r>
    </w:p>
    <w:p w14:paraId="3709EFD3">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f）终验收通过后买卖双方共同签署终验收报告。</w:t>
      </w:r>
    </w:p>
    <w:p w14:paraId="489A29D4">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3.设备（或材料）验收的一般标准与要求：</w:t>
      </w:r>
    </w:p>
    <w:p w14:paraId="24ADF9C9">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① 预验收的一般标准与要求</w:t>
      </w:r>
    </w:p>
    <w:p w14:paraId="0BB64D66">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a.资料齐全性、完整性和有效性。按照“配套供货范围及要求”中“技术资料范围”的规定验收；</w:t>
      </w:r>
    </w:p>
    <w:p w14:paraId="1243EC95">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设备（或材料）应运行灵活、稳定、可靠、安全，无异常声音和非正常振动。设备不允许出现漏水、漏液、漏气（汽）、漏电。运动的零部件（如链条、联轴器、离合器等）应动作平稳、没有异常声音，不松动或易于调整；</w:t>
      </w:r>
    </w:p>
    <w:p w14:paraId="009A876A">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c.设备（或材料）外观应无损伤，应该涂满同种明亮清晰的油漆（特殊标志除外）。设备应该完整且所有的零部件应该安装牢固，所有的焊缝饱满、无残渣等缺陷；</w:t>
      </w:r>
    </w:p>
    <w:p w14:paraId="687B70AE">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d.设备（或材料）应有完整的标牌，且清晰易见；</w:t>
      </w:r>
    </w:p>
    <w:p w14:paraId="7D9D214B">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e.设备（或材料）的安全要求符合中国最新的相关法律、法规、标准和规范以及合同要求；</w:t>
      </w:r>
    </w:p>
    <w:p w14:paraId="40461443">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②终验收时的一般验收标准与要求：</w:t>
      </w:r>
    </w:p>
    <w:p w14:paraId="6D35D21B">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a.资料齐全性、完整性和有效性。</w:t>
      </w:r>
    </w:p>
    <w:p w14:paraId="18967279">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b.设备应运行灵活、稳定、可靠、安全，无异常声音和非正常振动。设备不允许出现漏水、漏液、漏气（汽）。运动的零部件（如链条、联轴器、离合器等）应动作平稳、没有异常声音，不松动或易于调整；</w:t>
      </w:r>
    </w:p>
    <w:p w14:paraId="7D1EE4EC">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c.设备（或材料）外观应无损伤，应该涂满同种明亮清晰的油漆（特殊标志除外）。设备应该完整且所有的零部件应该安装牢固，所有的焊缝饱满、无残渣等缺陷；</w:t>
      </w:r>
    </w:p>
    <w:p w14:paraId="085619A8">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d.所有的管道和电缆线等，应排列有序（正确、牢固、整齐）无皱褶、收缩和裂缝，电缆线在整个长度范围内，所有的接头应完全正确地连接；</w:t>
      </w:r>
    </w:p>
    <w:p w14:paraId="15AC2493">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e.设备应有完整的标牌，且清晰易见；</w:t>
      </w:r>
    </w:p>
    <w:p w14:paraId="3632D6B1">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f.设备的润滑系统工作可靠，润滑点易于到达；</w:t>
      </w:r>
    </w:p>
    <w:p w14:paraId="6FADD3A0">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g.设备的安全要求符合中国最新的相关法律、法规、标准和规范以及合同要求；</w:t>
      </w:r>
    </w:p>
    <w:p w14:paraId="6807F3C2">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h.地线连接和地极符合国际（ISO/IEC）标准规范；</w:t>
      </w:r>
    </w:p>
    <w:p w14:paraId="19E87375">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i.所有的压力容器应具备合格证（如果有压力容器）；</w:t>
      </w:r>
    </w:p>
    <w:p w14:paraId="33E8588A">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j.设备正常运行时，噪音不超过中国国家有关规定；</w:t>
      </w:r>
    </w:p>
    <w:p w14:paraId="2B4B98AF">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k.计量仪器、仪表配套合理，采用中国的法定计量单位，计量准确、灵敏可靠。保证设计指标和仪器说明书的参数的实现，要求竣工验收交付一次合格，返修更换校调不超过48小时，特殊情况除外；</w:t>
      </w:r>
    </w:p>
    <w:p w14:paraId="39B32EE5">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l.设备质量、技术性能等，按照签定的技术协议书和合同规定的终验收标准验收；</w:t>
      </w:r>
    </w:p>
    <w:p w14:paraId="11CD05D5">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③ 终验收条件</w:t>
      </w:r>
    </w:p>
    <w:p w14:paraId="2DE39898">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依据招标文件、投标文件、答疑文件、技术交流文件等形成并达成一致的技术协议书和合同规定的终验收条件验收。</w:t>
      </w:r>
    </w:p>
    <w:p w14:paraId="2CBE1F4D">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4.性能验收试验</w:t>
      </w:r>
    </w:p>
    <w:p w14:paraId="443A12E4">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 卖方负责现场安装调试。</w:t>
      </w:r>
    </w:p>
    <w:p w14:paraId="09470D94">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 卖方应按双方商定的时间进度表进行设备的安装调试等工作。</w:t>
      </w:r>
    </w:p>
    <w:p w14:paraId="382EF97D">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 卖方应在到货后根据总进度要求及时完成设备的安装调试。</w:t>
      </w:r>
    </w:p>
    <w:p w14:paraId="1B1A2F2A">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 卖方对设备进行试运行，检查是否满足使用要求。</w:t>
      </w:r>
    </w:p>
    <w:p w14:paraId="228D6145">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 系统终验收条件为：达到设计和满足质量、环保要求，稳定生产一个月。</w:t>
      </w:r>
    </w:p>
    <w:p w14:paraId="70127118">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4.6 验收报告至少包括以下各点：</w:t>
      </w:r>
    </w:p>
    <w:p w14:paraId="2D166D02">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a)性能测试报各； </w:t>
      </w:r>
    </w:p>
    <w:p w14:paraId="16B23C38">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b)满足技术规格书要求的全部合同规定的要求；</w:t>
      </w:r>
    </w:p>
    <w:p w14:paraId="7B1B24DA">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c)准备好最终所有的技术资料；</w:t>
      </w:r>
    </w:p>
    <w:p w14:paraId="2DF8B43D">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d)某些细小问题存在的情况建立残留问题，持续跟进。</w:t>
      </w:r>
    </w:p>
    <w:p w14:paraId="5313F269">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  性能验收试验的地点由合同确定，一般为买方现场。</w:t>
      </w:r>
    </w:p>
    <w:p w14:paraId="02C84FE1">
      <w:pPr>
        <w:adjustRightInd w:val="0"/>
        <w:snapToGrid w:val="0"/>
        <w:spacing w:line="360" w:lineRule="auto"/>
        <w:ind w:firstLine="482" w:firstLineChars="200"/>
        <w:rPr>
          <w:rFonts w:hint="eastAsia" w:hAnsi="宋体" w:eastAsia="宋体" w:cs="宋体"/>
          <w:b/>
          <w:bCs/>
          <w:color w:val="000000"/>
          <w:sz w:val="24"/>
          <w:szCs w:val="24"/>
        </w:rPr>
        <w:sectPr>
          <w:footerReference r:id="rId12" w:type="first"/>
          <w:footerReference r:id="rId11" w:type="default"/>
          <w:pgSz w:w="16838" w:h="11906" w:orient="landscape"/>
          <w:pgMar w:top="1417" w:right="1588" w:bottom="1417" w:left="1134" w:header="851" w:footer="992" w:gutter="0"/>
          <w:cols w:space="720" w:num="1"/>
          <w:titlePg/>
          <w:docGrid w:type="lines" w:linePitch="312" w:charSpace="0"/>
        </w:sectPr>
      </w:pPr>
    </w:p>
    <w:bookmarkEnd w:id="33"/>
    <w:p w14:paraId="35814673">
      <w:pPr>
        <w:pStyle w:val="18"/>
      </w:pPr>
    </w:p>
    <w:p w14:paraId="22D4905F">
      <w:pPr>
        <w:spacing w:line="360" w:lineRule="auto"/>
        <w:jc w:val="center"/>
        <w:outlineLvl w:val="0"/>
        <w:rPr>
          <w:rFonts w:ascii="宋体" w:hAnsi="Calibri" w:eastAsia="宋体" w:cs="Times New Roman"/>
          <w:b/>
          <w:sz w:val="36"/>
          <w:szCs w:val="36"/>
        </w:rPr>
      </w:pPr>
      <w:bookmarkStart w:id="42" w:name="_Toc28859"/>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42"/>
    </w:p>
    <w:p w14:paraId="61A9C833">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5B7D1CD8">
      <w:pPr>
        <w:wordWrap w:val="0"/>
        <w:spacing w:line="360" w:lineRule="auto"/>
        <w:jc w:val="right"/>
        <w:rPr>
          <w:rFonts w:hint="eastAsia" w:ascii="方正小标宋简体" w:hAnsi="方正小标宋简体" w:eastAsia="方正小标宋简体" w:cs="方正小标宋简体"/>
          <w:b/>
          <w:bCs/>
          <w:w w:val="90"/>
          <w:sz w:val="24"/>
          <w:szCs w:val="24"/>
          <w:u w:val="single"/>
        </w:rPr>
      </w:pPr>
      <w:bookmarkStart w:id="43" w:name="_Toc283814116"/>
      <w:bookmarkStart w:id="44" w:name="_Toc29691"/>
      <w:r>
        <w:rPr>
          <w:rFonts w:hint="eastAsia" w:ascii="仿宋_GB2312" w:hAnsi="仿宋_GB2312" w:eastAsia="仿宋_GB2312" w:cs="仿宋_GB2312"/>
          <w:w w:val="90"/>
          <w:sz w:val="24"/>
          <w:szCs w:val="24"/>
        </w:rPr>
        <w:t xml:space="preserve"> </w:t>
      </w:r>
    </w:p>
    <w:p w14:paraId="4038353A">
      <w:pPr>
        <w:spacing w:line="360" w:lineRule="auto"/>
        <w:jc w:val="center"/>
        <w:rPr>
          <w:rFonts w:hint="eastAsia" w:ascii="方正小标宋简体" w:hAnsi="方正小标宋简体" w:eastAsia="方正小标宋简体" w:cs="方正小标宋简体"/>
          <w:w w:val="90"/>
          <w:sz w:val="48"/>
          <w:szCs w:val="48"/>
        </w:rPr>
      </w:pPr>
    </w:p>
    <w:p w14:paraId="42A8E948">
      <w:pPr>
        <w:spacing w:line="360" w:lineRule="auto"/>
        <w:jc w:val="center"/>
        <w:rPr>
          <w:rFonts w:hint="eastAsia" w:ascii="方正小标宋简体" w:hAnsi="方正小标宋简体" w:eastAsia="方正小标宋简体" w:cs="方正小标宋简体"/>
          <w:w w:val="90"/>
          <w:sz w:val="48"/>
          <w:szCs w:val="48"/>
        </w:rPr>
      </w:pPr>
    </w:p>
    <w:p w14:paraId="561EC6E8">
      <w:pPr>
        <w:spacing w:line="360" w:lineRule="auto"/>
        <w:jc w:val="center"/>
        <w:rPr>
          <w:rFonts w:hint="eastAsia" w:ascii="方正小标宋简体" w:hAnsi="方正小标宋简体" w:eastAsia="方正小标宋简体" w:cs="方正小标宋简体"/>
          <w:w w:val="90"/>
          <w:sz w:val="56"/>
          <w:szCs w:val="56"/>
        </w:rPr>
      </w:pPr>
      <w:r>
        <w:rPr>
          <w:rFonts w:hint="eastAsia" w:ascii="方正小标宋简体" w:hAnsi="方正小标宋简体" w:eastAsia="方正小标宋简体" w:cs="方正小标宋简体"/>
          <w:w w:val="90"/>
          <w:sz w:val="56"/>
          <w:szCs w:val="56"/>
        </w:rPr>
        <w:t>设备采购合同</w:t>
      </w:r>
    </w:p>
    <w:p w14:paraId="68B44577">
      <w:pPr>
        <w:spacing w:line="360" w:lineRule="auto"/>
        <w:jc w:val="center"/>
        <w:rPr>
          <w:rFonts w:hint="eastAsia" w:ascii="方正小标宋简体" w:hAnsi="方正小标宋简体" w:eastAsia="方正小标宋简体" w:cs="方正小标宋简体"/>
          <w:w w:val="90"/>
          <w:sz w:val="56"/>
          <w:szCs w:val="56"/>
        </w:rPr>
      </w:pPr>
    </w:p>
    <w:p w14:paraId="28142102">
      <w:pPr>
        <w:spacing w:line="360" w:lineRule="auto"/>
        <w:jc w:val="center"/>
        <w:rPr>
          <w:rFonts w:hint="eastAsia" w:ascii="仿宋_GB2312" w:hAnsi="仿宋_GB2312" w:eastAsia="仿宋_GB2312" w:cs="仿宋_GB2312"/>
          <w:bCs/>
          <w:sz w:val="24"/>
          <w:szCs w:val="24"/>
        </w:rPr>
      </w:pPr>
    </w:p>
    <w:p w14:paraId="3F9E5219">
      <w:pPr>
        <w:spacing w:line="360" w:lineRule="auto"/>
        <w:jc w:val="center"/>
        <w:rPr>
          <w:rFonts w:hint="eastAsia" w:ascii="仿宋_GB2312" w:hAnsi="仿宋_GB2312" w:eastAsia="仿宋_GB2312" w:cs="仿宋_GB2312"/>
          <w:bCs/>
          <w:sz w:val="24"/>
          <w:szCs w:val="24"/>
        </w:rPr>
      </w:pPr>
    </w:p>
    <w:p w14:paraId="48CE873B">
      <w:pPr>
        <w:spacing w:line="360" w:lineRule="auto"/>
        <w:ind w:firstLine="2160" w:firstLineChars="900"/>
        <w:jc w:val="left"/>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 xml:space="preserve">合同项目名称： </w:t>
      </w:r>
      <w:r>
        <w:rPr>
          <w:rFonts w:hint="eastAsia" w:ascii="仿宋_GB2312" w:hAnsi="仿宋_GB2312" w:eastAsia="仿宋_GB2312" w:cs="仿宋_GB2312"/>
          <w:b/>
          <w:sz w:val="24"/>
          <w:szCs w:val="24"/>
          <w:u w:val="single"/>
        </w:rPr>
        <w:t>合同项目名称</w:t>
      </w:r>
    </w:p>
    <w:p w14:paraId="7AD5C62B">
      <w:pPr>
        <w:spacing w:line="360" w:lineRule="auto"/>
        <w:ind w:firstLine="2160" w:firstLineChars="900"/>
        <w:jc w:val="left"/>
        <w:rPr>
          <w:rFonts w:hint="eastAsia" w:ascii="仿宋_GB2312" w:hAnsi="仿宋_GB2312" w:eastAsia="仿宋_GB2312" w:cs="仿宋_GB2312"/>
          <w:bCs/>
          <w:sz w:val="24"/>
          <w:szCs w:val="24"/>
        </w:rPr>
      </w:pPr>
    </w:p>
    <w:p w14:paraId="666ED241">
      <w:pPr>
        <w:spacing w:line="360" w:lineRule="auto"/>
        <w:ind w:firstLine="2160" w:firstLineChars="9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甲方（买方）：</w:t>
      </w:r>
      <w:r>
        <w:rPr>
          <w:rFonts w:hint="eastAsia" w:ascii="仿宋_GB2312" w:hAnsi="仿宋_GB2312" w:eastAsia="仿宋_GB2312" w:cs="仿宋_GB2312"/>
          <w:b/>
          <w:sz w:val="24"/>
          <w:szCs w:val="24"/>
          <w:u w:val="single"/>
        </w:rPr>
        <w:t>甲方单位全称</w:t>
      </w:r>
    </w:p>
    <w:p w14:paraId="0275794D">
      <w:pPr>
        <w:spacing w:line="360" w:lineRule="auto"/>
        <w:ind w:firstLine="2168" w:firstLineChars="900"/>
        <w:jc w:val="left"/>
        <w:rPr>
          <w:rFonts w:hint="eastAsia" w:ascii="仿宋_GB2312" w:hAnsi="仿宋_GB2312" w:eastAsia="仿宋_GB2312" w:cs="仿宋_GB2312"/>
          <w:b/>
          <w:sz w:val="24"/>
          <w:szCs w:val="24"/>
          <w:u w:val="single"/>
        </w:rPr>
      </w:pPr>
    </w:p>
    <w:p w14:paraId="215C1701">
      <w:pPr>
        <w:spacing w:line="360" w:lineRule="auto"/>
        <w:ind w:firstLine="2160" w:firstLineChars="9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乙方（卖方）：</w:t>
      </w:r>
      <w:r>
        <w:rPr>
          <w:rFonts w:hint="eastAsia" w:ascii="仿宋_GB2312" w:hAnsi="仿宋_GB2312" w:eastAsia="仿宋_GB2312" w:cs="仿宋_GB2312"/>
          <w:b/>
          <w:sz w:val="24"/>
          <w:szCs w:val="24"/>
          <w:u w:val="single"/>
        </w:rPr>
        <w:t>乙方单位全称</w:t>
      </w:r>
    </w:p>
    <w:p w14:paraId="22DB0604">
      <w:pPr>
        <w:spacing w:line="360" w:lineRule="auto"/>
        <w:ind w:firstLine="2160" w:firstLineChars="9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合同签订地点：</w:t>
      </w:r>
      <w:r>
        <w:rPr>
          <w:rFonts w:hint="eastAsia" w:ascii="仿宋_GB2312" w:hAnsi="仿宋_GB2312" w:eastAsia="仿宋_GB2312" w:cs="仿宋_GB2312"/>
          <w:b/>
          <w:sz w:val="24"/>
          <w:szCs w:val="24"/>
          <w:u w:val="single"/>
        </w:rPr>
        <w:t>填写甲方所在县级行政区划，如“山东省济南市高新区/章丘区”等</w:t>
      </w:r>
    </w:p>
    <w:p w14:paraId="0E41C2D9">
      <w:pPr>
        <w:spacing w:line="360" w:lineRule="auto"/>
        <w:ind w:firstLine="2160" w:firstLineChars="900"/>
        <w:jc w:val="left"/>
        <w:rPr>
          <w:rFonts w:hint="eastAsia" w:ascii="仿宋_GB2312" w:hAnsi="仿宋_GB2312" w:eastAsia="仿宋_GB2312" w:cs="仿宋_GB2312"/>
          <w:bCs/>
          <w:sz w:val="24"/>
          <w:szCs w:val="24"/>
        </w:rPr>
      </w:pPr>
    </w:p>
    <w:p w14:paraId="5E1A7683">
      <w:pPr>
        <w:spacing w:line="360" w:lineRule="auto"/>
        <w:ind w:firstLine="2160" w:firstLineChars="900"/>
        <w:jc w:val="left"/>
        <w:rPr>
          <w:rFonts w:hint="eastAsia" w:ascii="仿宋_GB2312" w:hAnsi="仿宋_GB2312" w:eastAsia="仿宋_GB2312" w:cs="仿宋_GB2312"/>
          <w:b/>
          <w:sz w:val="24"/>
          <w:szCs w:val="24"/>
          <w:u w:val="single"/>
        </w:rPr>
        <w:sectPr>
          <w:headerReference r:id="rId13" w:type="default"/>
          <w:footerReference r:id="rId14" w:type="default"/>
          <w:pgSz w:w="11907" w:h="16840"/>
          <w:pgMar w:top="1304" w:right="1418" w:bottom="1304" w:left="1418" w:header="724" w:footer="851" w:gutter="0"/>
          <w:pgNumType w:start="1"/>
          <w:cols w:space="720" w:num="1"/>
          <w:docGrid w:linePitch="290" w:charSpace="-3931"/>
        </w:sectPr>
      </w:pPr>
      <w:r>
        <w:rPr>
          <w:rFonts w:hint="eastAsia" w:ascii="仿宋_GB2312" w:hAnsi="仿宋_GB2312" w:eastAsia="仿宋_GB2312" w:cs="仿宋_GB2312"/>
          <w:bCs/>
          <w:sz w:val="24"/>
          <w:szCs w:val="24"/>
        </w:rPr>
        <w:t>合同签订时间：</w:t>
      </w:r>
      <w:r>
        <w:rPr>
          <w:rFonts w:hint="eastAsia" w:ascii="仿宋_GB2312" w:hAnsi="仿宋_GB2312" w:eastAsia="仿宋_GB2312" w:cs="仿宋_GB2312"/>
          <w:b/>
          <w:sz w:val="24"/>
          <w:szCs w:val="24"/>
          <w:u w:val="single"/>
        </w:rPr>
        <w:t>按****年**月**日形式据实填写</w:t>
      </w:r>
    </w:p>
    <w:p w14:paraId="64CE9783">
      <w:pPr>
        <w:spacing w:line="360" w:lineRule="auto"/>
        <w:jc w:val="center"/>
        <w:rPr>
          <w:rFonts w:hint="eastAsia"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4DE4D178">
      <w:pPr>
        <w:spacing w:line="360" w:lineRule="auto"/>
        <w:jc w:val="center"/>
        <w:rPr>
          <w:rFonts w:hint="eastAsia"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14:paraId="60F081A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鉴于，买方向卖方购买</w:t>
      </w:r>
      <w:r>
        <w:rPr>
          <w:rFonts w:hint="eastAsia" w:ascii="仿宋_GB2312" w:hAnsi="仿宋_GB2312" w:eastAsia="仿宋_GB2312" w:cs="仿宋_GB2312"/>
          <w:b/>
          <w:bCs/>
          <w:sz w:val="24"/>
          <w:szCs w:val="24"/>
          <w:u w:val="single"/>
        </w:rPr>
        <w:t>设备名称概括</w:t>
      </w:r>
      <w:r>
        <w:rPr>
          <w:rFonts w:hint="eastAsia" w:ascii="仿宋_GB2312" w:hAnsi="仿宋_GB2312" w:eastAsia="仿宋_GB2312" w:cs="仿宋_GB2312"/>
          <w:sz w:val="24"/>
          <w:szCs w:val="24"/>
          <w:u w:val="single"/>
        </w:rPr>
        <w:t>等</w:t>
      </w:r>
      <w:r>
        <w:rPr>
          <w:rFonts w:hint="eastAsia" w:ascii="仿宋_GB2312" w:hAnsi="仿宋_GB2312" w:eastAsia="仿宋_GB2312" w:cs="仿宋_GB2312"/>
          <w:sz w:val="24"/>
          <w:szCs w:val="24"/>
        </w:rPr>
        <w:t>，就该设备的设计、制造、运输、定点卸货、安装或指导安装、调试、验收、培训及售后服务等有关问题，在自愿协商的基础上达成本合同。</w:t>
      </w:r>
    </w:p>
    <w:p w14:paraId="4C60B916">
      <w:pPr>
        <w:pStyle w:val="3"/>
        <w:tabs>
          <w:tab w:val="right" w:leader="dot" w:pos="9061"/>
        </w:tabs>
        <w:ind w:left="0" w:firstLine="480" w:firstLineChars="200"/>
        <w:jc w:val="both"/>
        <w:rPr>
          <w:rFonts w:hint="eastAsia" w:ascii="黑体" w:hAnsi="黑体" w:eastAsia="黑体" w:cs="黑体"/>
          <w:b w:val="0"/>
          <w:sz w:val="24"/>
          <w:szCs w:val="24"/>
        </w:rPr>
      </w:pPr>
      <w:r>
        <w:rPr>
          <w:rFonts w:hint="eastAsia" w:ascii="黑体" w:hAnsi="黑体" w:eastAsia="黑体" w:cs="黑体"/>
          <w:b w:val="0"/>
          <w:sz w:val="24"/>
          <w:szCs w:val="24"/>
        </w:rPr>
        <w:t>1.合同设备标的</w:t>
      </w:r>
    </w:p>
    <w:p w14:paraId="39A5A27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1.1合同总价：为共同完成</w:t>
      </w:r>
      <w:r>
        <w:rPr>
          <w:rFonts w:hint="eastAsia" w:ascii="仿宋_GB2312" w:hAnsi="仿宋_GB2312" w:eastAsia="仿宋_GB2312" w:cs="仿宋_GB2312"/>
          <w:b/>
          <w:bCs/>
          <w:sz w:val="24"/>
          <w:szCs w:val="24"/>
          <w:u w:val="single"/>
        </w:rPr>
        <w:t>合同项目名称</w:t>
      </w:r>
      <w:r>
        <w:rPr>
          <w:rFonts w:hint="eastAsia" w:ascii="仿宋_GB2312" w:hAnsi="仿宋_GB2312" w:eastAsia="仿宋_GB2312" w:cs="仿宋_GB2312"/>
          <w:sz w:val="24"/>
          <w:szCs w:val="24"/>
        </w:rPr>
        <w:t>，买方向卖方购买设备一宗，详见附件《设备清单明细表》，本合同不含税总价为</w:t>
      </w:r>
      <w:r>
        <w:rPr>
          <w:rFonts w:hint="eastAsia" w:ascii="仿宋_GB2312" w:hAnsi="仿宋_GB2312" w:eastAsia="仿宋_GB2312" w:cs="仿宋_GB2312"/>
          <w:b/>
          <w:bCs/>
          <w:sz w:val="24"/>
          <w:szCs w:val="24"/>
          <w:u w:val="single"/>
        </w:rPr>
        <w:t>不含税总价小写，数值，小数点后保留两位</w:t>
      </w:r>
      <w:r>
        <w:rPr>
          <w:rFonts w:hint="eastAsia" w:ascii="仿宋_GB2312" w:hAnsi="仿宋_GB2312" w:eastAsia="仿宋_GB2312" w:cs="仿宋_GB2312"/>
          <w:sz w:val="24"/>
          <w:szCs w:val="24"/>
        </w:rPr>
        <w:t>元，税额</w:t>
      </w:r>
      <w:r>
        <w:rPr>
          <w:rFonts w:hint="eastAsia" w:ascii="仿宋_GB2312" w:hAnsi="仿宋_GB2312" w:eastAsia="仿宋_GB2312" w:cs="仿宋_GB2312"/>
          <w:b/>
          <w:bCs/>
          <w:sz w:val="24"/>
          <w:szCs w:val="24"/>
          <w:u w:val="single"/>
        </w:rPr>
        <w:t>合计税额小写，数值，小数点后保留两位</w:t>
      </w:r>
      <w:r>
        <w:rPr>
          <w:rFonts w:hint="eastAsia" w:ascii="仿宋_GB2312" w:hAnsi="仿宋_GB2312" w:eastAsia="仿宋_GB2312" w:cs="仿宋_GB2312"/>
          <w:sz w:val="24"/>
          <w:szCs w:val="24"/>
        </w:rPr>
        <w:t>元，含税总价</w:t>
      </w:r>
      <w:r>
        <w:rPr>
          <w:rFonts w:hint="eastAsia" w:ascii="仿宋_GB2312" w:hAnsi="仿宋_GB2312" w:eastAsia="仿宋_GB2312" w:cs="仿宋_GB2312"/>
          <w:b/>
          <w:bCs/>
          <w:sz w:val="24"/>
          <w:szCs w:val="24"/>
          <w:u w:val="single"/>
        </w:rPr>
        <w:t>含税总价小写，数值，小数点后保留两位</w:t>
      </w:r>
      <w:r>
        <w:rPr>
          <w:rFonts w:hint="eastAsia" w:ascii="仿宋_GB2312" w:hAnsi="仿宋_GB2312" w:eastAsia="仿宋_GB2312" w:cs="仿宋_GB2312"/>
          <w:sz w:val="24"/>
          <w:szCs w:val="24"/>
        </w:rPr>
        <w:t>元（大写：</w:t>
      </w:r>
      <w:r>
        <w:rPr>
          <w:rFonts w:hint="eastAsia" w:ascii="仿宋_GB2312" w:hAnsi="仿宋_GB2312" w:eastAsia="仿宋_GB2312" w:cs="仿宋_GB2312"/>
          <w:b/>
          <w:bCs/>
          <w:sz w:val="24"/>
          <w:szCs w:val="24"/>
          <w:u w:val="single"/>
        </w:rPr>
        <w:t>含税总价大写</w:t>
      </w:r>
      <w:r>
        <w:rPr>
          <w:rFonts w:hint="eastAsia" w:ascii="仿宋_GB2312" w:hAnsi="仿宋_GB2312" w:eastAsia="仿宋_GB2312" w:cs="仿宋_GB2312"/>
          <w:sz w:val="24"/>
          <w:szCs w:val="24"/>
        </w:rPr>
        <w:t>）。</w:t>
      </w:r>
    </w:p>
    <w:p w14:paraId="6CD36B2F">
      <w:pPr>
        <w:spacing w:line="360" w:lineRule="auto"/>
        <w:ind w:firstLine="480" w:firstLineChars="200"/>
        <w:rPr>
          <w:rFonts w:hint="eastAsia" w:ascii="方正小标宋简体" w:hAnsi="宋体" w:eastAsia="仿宋_GB2312"/>
          <w:sz w:val="24"/>
          <w:szCs w:val="24"/>
          <w:u w:val="thick"/>
        </w:rPr>
      </w:pPr>
      <w:r>
        <w:rPr>
          <w:rFonts w:hint="eastAsia" w:ascii="仿宋_GB2312" w:eastAsia="仿宋_GB2312" w:hAnsiTheme="minorEastAsia" w:cstheme="minorEastAsia"/>
          <w:sz w:val="24"/>
          <w:szCs w:val="24"/>
        </w:rPr>
        <w:t>1.2交货方式</w:t>
      </w:r>
      <w:r>
        <w:rPr>
          <w:rFonts w:hint="eastAsia" w:ascii="仿宋_GB2312" w:eastAsia="仿宋_GB2312" w:hAnsiTheme="minorEastAsia" w:cstheme="minorEastAsia"/>
          <w:bCs/>
          <w:sz w:val="24"/>
          <w:szCs w:val="24"/>
        </w:rPr>
        <w:t>：</w:t>
      </w:r>
      <w:r>
        <w:rPr>
          <w:rFonts w:hint="eastAsia" w:ascii="仿宋_GB2312" w:hAnsi="宋体" w:eastAsia="仿宋_GB2312"/>
          <w:b/>
          <w:bCs/>
          <w:sz w:val="24"/>
          <w:szCs w:val="24"/>
          <w:u w:val="single"/>
        </w:rPr>
        <w:t>据实选择，可填写“交钥匙方式”“指定地点交货”“自提”任一方式，其他情况请据实填写。</w:t>
      </w:r>
    </w:p>
    <w:p w14:paraId="68D2638D">
      <w:pPr>
        <w:spacing w:line="360" w:lineRule="auto"/>
        <w:ind w:firstLine="480" w:firstLineChars="200"/>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1.3交货地点：</w:t>
      </w:r>
      <w:r>
        <w:rPr>
          <w:rFonts w:hint="eastAsia" w:ascii="仿宋_GB2312" w:eastAsia="仿宋_GB2312" w:hAnsiTheme="minorEastAsia" w:cstheme="minorEastAsia"/>
          <w:b/>
          <w:bCs/>
          <w:sz w:val="24"/>
          <w:szCs w:val="24"/>
          <w:u w:val="single"/>
        </w:rPr>
        <w:t>交货详细地址信息，除列明省市县/区外，应填写至不致产生歧义的具体位置指向。</w:t>
      </w:r>
      <w:r>
        <w:rPr>
          <w:rFonts w:hint="eastAsia" w:ascii="仿宋_GB2312" w:eastAsia="仿宋_GB2312" w:hAnsiTheme="minorEastAsia" w:cstheme="minorEastAsia"/>
          <w:sz w:val="24"/>
          <w:szCs w:val="24"/>
        </w:rPr>
        <w:t xml:space="preserve">    </w:t>
      </w:r>
    </w:p>
    <w:p w14:paraId="47A31527">
      <w:pPr>
        <w:spacing w:line="360" w:lineRule="auto"/>
        <w:ind w:firstLine="480" w:firstLineChars="200"/>
        <w:rPr>
          <w:rFonts w:hint="eastAsia" w:ascii="方正小标宋简体" w:hAnsi="宋体" w:eastAsia="仿宋_GB2312"/>
          <w:sz w:val="24"/>
          <w:szCs w:val="24"/>
          <w:u w:val="thick"/>
        </w:rPr>
      </w:pPr>
      <w:r>
        <w:rPr>
          <w:rFonts w:hint="eastAsia" w:ascii="仿宋_GB2312" w:eastAsia="仿宋_GB2312" w:hAnsiTheme="minorEastAsia" w:cstheme="minorEastAsia"/>
          <w:sz w:val="24"/>
          <w:szCs w:val="24"/>
        </w:rPr>
        <w:t>1.4到货时间：</w:t>
      </w:r>
      <w:r>
        <w:rPr>
          <w:rFonts w:hint="eastAsia" w:ascii="仿宋_GB2312" w:eastAsia="仿宋_GB2312" w:hAnsiTheme="minorEastAsia" w:cstheme="minorEastAsia"/>
          <w:b/>
          <w:bCs/>
          <w:sz w:val="24"/>
          <w:szCs w:val="24"/>
          <w:u w:val="single"/>
        </w:rPr>
        <w:t>填写具体年月日。存在分批次到货情形的，填写“详见特殊条款约定”，须于专用条款第4条特殊约定条款特别约定。</w:t>
      </w:r>
    </w:p>
    <w:p w14:paraId="7EB14948">
      <w:pPr>
        <w:pStyle w:val="12"/>
        <w:spacing w:line="360" w:lineRule="auto"/>
        <w:ind w:firstLine="480" w:firstLineChars="200"/>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1.5</w:t>
      </w:r>
      <w:r>
        <w:rPr>
          <w:rFonts w:ascii="仿宋_GB2312" w:eastAsia="仿宋_GB2312" w:hAnsiTheme="minorEastAsia" w:cstheme="minorEastAsia"/>
          <w:sz w:val="24"/>
          <w:szCs w:val="24"/>
        </w:rPr>
        <w:t xml:space="preserve"> </w:t>
      </w:r>
      <w:r>
        <w:rPr>
          <w:rFonts w:hint="eastAsia" w:ascii="仿宋_GB2312" w:eastAsia="仿宋_GB2312" w:hAnsiTheme="minorEastAsia" w:cstheme="minorEastAsia"/>
          <w:sz w:val="24"/>
          <w:szCs w:val="24"/>
        </w:rPr>
        <w:t>安装调试时长：</w:t>
      </w:r>
      <w:r>
        <w:rPr>
          <w:rFonts w:ascii="仿宋_GB2312" w:eastAsia="仿宋_GB2312" w:hAnsiTheme="minorEastAsia" w:cstheme="minorEastAsia"/>
          <w:sz w:val="24"/>
          <w:szCs w:val="24"/>
        </w:rPr>
        <w:t>卖方须在到货后</w:t>
      </w:r>
      <w:r>
        <w:rPr>
          <w:rFonts w:hint="eastAsia" w:ascii="仿宋_GB2312" w:eastAsia="仿宋_GB2312" w:hAnsiTheme="minorEastAsia" w:cstheme="minorEastAsia"/>
          <w:b/>
          <w:bCs/>
          <w:sz w:val="24"/>
          <w:szCs w:val="24"/>
          <w:u w:val="single"/>
        </w:rPr>
        <w:t>填写时长，单位“日历日”。存在分批次安装调试情形的，填写“详见特殊条款约定”，须于专用条款第4条特殊约定条款特别约定</w:t>
      </w:r>
      <w:r>
        <w:rPr>
          <w:rFonts w:hint="eastAsia" w:ascii="仿宋_GB2312" w:eastAsia="仿宋_GB2312" w:hAnsiTheme="minorEastAsia" w:cstheme="minorEastAsia"/>
          <w:sz w:val="24"/>
          <w:szCs w:val="24"/>
        </w:rPr>
        <w:t>个日历日内安装调试完成。</w:t>
      </w:r>
    </w:p>
    <w:p w14:paraId="7385F82A">
      <w:pPr>
        <w:spacing w:line="360" w:lineRule="auto"/>
        <w:ind w:firstLine="480" w:firstLineChars="200"/>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1.6调试消耗产品数量：</w:t>
      </w:r>
      <w:r>
        <w:rPr>
          <w:rFonts w:ascii="仿宋_GB2312" w:eastAsia="仿宋_GB2312" w:hAnsiTheme="minorEastAsia" w:cstheme="minorEastAsia"/>
          <w:sz w:val="24"/>
          <w:szCs w:val="24"/>
        </w:rPr>
        <w:t>若设备安装、调试过程中需使用买方产品的，买方提供调试所用产品数量</w:t>
      </w:r>
      <w:r>
        <w:rPr>
          <w:rFonts w:hint="eastAsia" w:ascii="仿宋_GB2312" w:eastAsia="仿宋_GB2312" w:hAnsiTheme="minorEastAsia" w:cstheme="minorEastAsia"/>
          <w:b/>
          <w:bCs/>
          <w:sz w:val="24"/>
          <w:szCs w:val="24"/>
          <w:u w:val="single"/>
        </w:rPr>
        <w:t>甲方提供调试产品的件数，不需要的，此处填写“0”</w:t>
      </w:r>
      <w:r>
        <w:rPr>
          <w:rFonts w:ascii="仿宋_GB2312" w:eastAsia="仿宋_GB2312" w:hAnsiTheme="minorEastAsia" w:cstheme="minorEastAsia"/>
          <w:sz w:val="24"/>
          <w:szCs w:val="24"/>
        </w:rPr>
        <w:t>件，超出此数量部分由卖方提供，由此产生的相关费用由卖方承担。</w:t>
      </w:r>
    </w:p>
    <w:p w14:paraId="4AB9D169">
      <w:pPr>
        <w:spacing w:line="360" w:lineRule="auto"/>
        <w:ind w:firstLine="480" w:firstLineChars="200"/>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1.7设备质量保证期：自最终验收报告签署之日（存在分批次到货安装调试情形的，以验收报告签署日期最晚者为准）起</w:t>
      </w:r>
      <w:r>
        <w:rPr>
          <w:rFonts w:hint="eastAsia" w:ascii="仿宋_GB2312" w:eastAsia="仿宋_GB2312" w:hAnsiTheme="minorEastAsia" w:cstheme="minorEastAsia"/>
          <w:b/>
          <w:bCs/>
          <w:sz w:val="24"/>
          <w:szCs w:val="24"/>
          <w:u w:val="single"/>
        </w:rPr>
        <w:t>卖方承诺的质保期月数。存在分批次设备质保期约定分批次到期情形的，填写“详见特殊条款约定”，须于专用条款第4条特殊约定条款特别约定</w:t>
      </w:r>
      <w:r>
        <w:rPr>
          <w:rFonts w:hint="eastAsia" w:ascii="仿宋_GB2312" w:eastAsia="仿宋_GB2312" w:hAnsiTheme="minorEastAsia" w:cstheme="minorEastAsia"/>
          <w:sz w:val="24"/>
          <w:szCs w:val="24"/>
        </w:rPr>
        <w:t>个月</w:t>
      </w:r>
      <w:r>
        <w:rPr>
          <w:rFonts w:hint="eastAsia" w:ascii="仿宋_GB2312" w:hAnsi="黑体" w:eastAsia="仿宋_GB2312" w:cstheme="minorEastAsia"/>
          <w:sz w:val="24"/>
          <w:szCs w:val="24"/>
        </w:rPr>
        <w:t>。</w:t>
      </w:r>
    </w:p>
    <w:p w14:paraId="3D86D98E">
      <w:pPr>
        <w:pStyle w:val="3"/>
        <w:tabs>
          <w:tab w:val="right" w:leader="dot" w:pos="9061"/>
        </w:tabs>
        <w:ind w:left="0" w:firstLine="480" w:firstLineChars="200"/>
        <w:jc w:val="both"/>
        <w:rPr>
          <w:rFonts w:hint="eastAsia" w:ascii="黑体" w:hAnsi="黑体" w:eastAsia="黑体" w:cs="黑体"/>
          <w:b w:val="0"/>
          <w:sz w:val="24"/>
          <w:szCs w:val="24"/>
        </w:rPr>
      </w:pPr>
      <w:r>
        <w:rPr>
          <w:rFonts w:hint="eastAsia" w:ascii="黑体" w:hAnsi="黑体" w:eastAsia="黑体" w:cs="黑体"/>
          <w:b w:val="0"/>
          <w:sz w:val="24"/>
          <w:szCs w:val="24"/>
        </w:rPr>
        <w:t>2.结算付款约定</w:t>
      </w:r>
    </w:p>
    <w:p w14:paraId="1F3B6CAD">
      <w:pPr>
        <w:spacing w:line="360" w:lineRule="auto"/>
        <w:ind w:firstLine="480" w:firstLineChars="200"/>
        <w:rPr>
          <w:rFonts w:hint="eastAsia" w:ascii="仿宋_GB2312" w:hAnsi="黑体" w:eastAsia="仿宋_GB2312" w:cstheme="minorEastAsia"/>
          <w:b/>
          <w:bCs/>
          <w:sz w:val="24"/>
          <w:szCs w:val="24"/>
          <w:u w:val="single"/>
        </w:rPr>
      </w:pPr>
      <w:r>
        <w:rPr>
          <w:rFonts w:hint="eastAsia" w:ascii="仿宋_GB2312" w:hAnsi="黑体" w:eastAsia="仿宋_GB2312" w:cstheme="minorEastAsia"/>
          <w:sz w:val="24"/>
          <w:szCs w:val="24"/>
        </w:rPr>
        <w:t>2.1结算方式：</w:t>
      </w:r>
      <w:r>
        <w:rPr>
          <w:rFonts w:hint="eastAsia" w:ascii="仿宋_GB2312" w:hAnsi="黑体" w:eastAsia="仿宋_GB2312" w:cstheme="minorEastAsia"/>
          <w:b/>
          <w:bCs/>
          <w:sz w:val="24"/>
          <w:szCs w:val="24"/>
          <w:u w:val="single"/>
        </w:rPr>
        <w:t>填写“</w:t>
      </w:r>
      <w:r>
        <w:rPr>
          <w:rFonts w:hint="eastAsia" w:ascii="仿宋_GB2312" w:hAnsi="宋体" w:eastAsia="仿宋_GB2312"/>
          <w:b/>
          <w:bCs/>
          <w:sz w:val="24"/>
          <w:szCs w:val="24"/>
          <w:u w:val="single"/>
        </w:rPr>
        <w:t>半年期商业汇票（包括银行承兑汇票和商业承兑汇票）</w:t>
      </w:r>
      <w:r>
        <w:rPr>
          <w:rFonts w:hint="eastAsia" w:ascii="仿宋_GB2312" w:hAnsi="黑体" w:eastAsia="仿宋_GB2312" w:cstheme="minorEastAsia"/>
          <w:b/>
          <w:bCs/>
          <w:sz w:val="24"/>
          <w:szCs w:val="24"/>
          <w:u w:val="single"/>
        </w:rPr>
        <w:t>”</w:t>
      </w:r>
      <w:r>
        <w:rPr>
          <w:rFonts w:hint="eastAsia" w:ascii="仿宋_GB2312" w:hAnsi="宋体" w:eastAsia="仿宋_GB2312"/>
          <w:b/>
          <w:bCs/>
          <w:sz w:val="24"/>
          <w:szCs w:val="24"/>
          <w:u w:val="single"/>
        </w:rPr>
        <w:t>“转账”“财司内转”三种方式</w:t>
      </w:r>
      <w:r>
        <w:rPr>
          <w:rFonts w:hint="eastAsia" w:ascii="仿宋_GB2312" w:hAnsi="黑体" w:eastAsia="仿宋_GB2312" w:cstheme="minorEastAsia"/>
          <w:b/>
          <w:bCs/>
          <w:sz w:val="24"/>
          <w:szCs w:val="24"/>
          <w:u w:val="single"/>
        </w:rPr>
        <w:t>任一种。</w:t>
      </w:r>
    </w:p>
    <w:p w14:paraId="6E59DD9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2.2结算币种：本合同使用</w:t>
      </w:r>
      <w:r>
        <w:rPr>
          <w:rFonts w:hint="eastAsia" w:ascii="仿宋_GB2312" w:hAnsi="仿宋_GB2312" w:eastAsia="仿宋_GB2312" w:cs="仿宋_GB2312"/>
          <w:b/>
          <w:bCs/>
          <w:sz w:val="24"/>
          <w:szCs w:val="24"/>
          <w:u w:val="single"/>
        </w:rPr>
        <w:t>币种</w:t>
      </w:r>
      <w:r>
        <w:rPr>
          <w:rFonts w:hint="eastAsia" w:ascii="仿宋_GB2312" w:hAnsi="仿宋_GB2312" w:eastAsia="仿宋_GB2312" w:cs="仿宋_GB2312"/>
          <w:sz w:val="24"/>
          <w:szCs w:val="24"/>
        </w:rPr>
        <w:t>进行结算。</w:t>
      </w:r>
    </w:p>
    <w:p w14:paraId="723E2F61">
      <w:pPr>
        <w:spacing w:line="360" w:lineRule="auto"/>
        <w:ind w:firstLine="480" w:firstLineChars="200"/>
        <w:rPr>
          <w:rFonts w:hint="eastAsia" w:ascii="仿宋_GB2312" w:hAnsi="黑体" w:eastAsia="仿宋_GB2312" w:cstheme="minorEastAsia"/>
          <w:sz w:val="24"/>
          <w:szCs w:val="24"/>
        </w:rPr>
      </w:pPr>
      <w:r>
        <w:rPr>
          <w:rFonts w:hint="eastAsia" w:ascii="仿宋_GB2312" w:hAnsi="黑体" w:eastAsia="仿宋_GB2312" w:cstheme="minorEastAsia"/>
          <w:sz w:val="24"/>
          <w:szCs w:val="24"/>
        </w:rPr>
        <w:t>2.3合同价款支付：</w:t>
      </w:r>
    </w:p>
    <w:p w14:paraId="7BF19FDE">
      <w:pPr>
        <w:spacing w:line="360" w:lineRule="auto"/>
        <w:ind w:firstLine="480" w:firstLineChars="200"/>
        <w:rPr>
          <w:rFonts w:hint="eastAsia" w:ascii="仿宋_GB2312" w:hAnsi="黑体" w:eastAsia="仿宋_GB2312" w:cstheme="minorEastAsia"/>
          <w:sz w:val="24"/>
          <w:szCs w:val="24"/>
        </w:rPr>
      </w:pPr>
      <w:r>
        <w:rPr>
          <w:rFonts w:hint="eastAsia" w:ascii="仿宋_GB2312" w:hAnsi="黑体" w:eastAsia="仿宋_GB2312" w:cstheme="minorEastAsia"/>
          <w:sz w:val="24"/>
          <w:szCs w:val="24"/>
        </w:rPr>
        <w:t>2.3.1</w:t>
      </w:r>
      <w:r>
        <w:rPr>
          <w:rFonts w:hint="eastAsia" w:ascii="仿宋_GB2312" w:hAnsi="黑体" w:eastAsia="仿宋_GB2312" w:cstheme="minorEastAsia"/>
          <w:b/>
          <w:bCs/>
          <w:sz w:val="24"/>
          <w:szCs w:val="24"/>
          <w:u w:val="single"/>
        </w:rPr>
        <w:t>填写第一笔付款的满足要件，如“设备全部到齐无质量问题”。若存在价款支付的收据、发票及财务审核条件与本条格式条款存有变动调整的，须在</w:t>
      </w:r>
      <w:r>
        <w:rPr>
          <w:rFonts w:hint="eastAsia" w:ascii="仿宋_GB2312" w:eastAsia="仿宋_GB2312" w:hAnsiTheme="minorEastAsia" w:cstheme="minorEastAsia"/>
          <w:b/>
          <w:bCs/>
          <w:sz w:val="24"/>
          <w:szCs w:val="24"/>
          <w:u w:val="single"/>
        </w:rPr>
        <w:t>专用条款第4条</w:t>
      </w:r>
      <w:r>
        <w:rPr>
          <w:rFonts w:hint="eastAsia" w:ascii="仿宋_GB2312" w:hAnsi="黑体" w:eastAsia="仿宋_GB2312" w:cstheme="minorEastAsia"/>
          <w:b/>
          <w:bCs/>
          <w:sz w:val="24"/>
          <w:szCs w:val="24"/>
          <w:u w:val="single"/>
        </w:rPr>
        <w:t>特殊约定条款中特别约定</w:t>
      </w:r>
      <w:r>
        <w:rPr>
          <w:rFonts w:hint="eastAsia" w:ascii="仿宋_GB2312" w:hAnsi="黑体" w:eastAsia="仿宋_GB2312" w:cstheme="minorEastAsia"/>
          <w:sz w:val="24"/>
          <w:szCs w:val="24"/>
        </w:rPr>
        <w:t>, 卖方提交金额为合同含税总价款</w:t>
      </w:r>
      <w:r>
        <w:rPr>
          <w:rFonts w:hint="eastAsia" w:ascii="仿宋_GB2312" w:hAnsi="黑体" w:eastAsia="仿宋_GB2312" w:cstheme="minorEastAsia"/>
          <w:b/>
          <w:bCs/>
          <w:sz w:val="24"/>
          <w:szCs w:val="24"/>
          <w:u w:val="single"/>
        </w:rPr>
        <w:t>第一笔付款的比例，数值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第一笔付款金额</w:t>
      </w:r>
      <w:r>
        <w:rPr>
          <w:rFonts w:hint="eastAsia" w:ascii="仿宋_GB2312" w:hAnsi="黑体" w:eastAsia="仿宋_GB2312" w:cstheme="minorEastAsia"/>
          <w:sz w:val="24"/>
          <w:szCs w:val="24"/>
        </w:rPr>
        <w:t>元的收据及对应金额的增值税专用发票，经买方财务审核无误后按照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71EBE4D4">
      <w:pPr>
        <w:spacing w:line="360" w:lineRule="auto"/>
        <w:ind w:firstLine="480" w:firstLineChars="200"/>
        <w:rPr>
          <w:rFonts w:hint="eastAsia" w:ascii="仿宋_GB2312" w:hAnsi="黑体" w:eastAsia="仿宋_GB2312" w:cstheme="minorEastAsia"/>
          <w:sz w:val="24"/>
          <w:szCs w:val="24"/>
        </w:rPr>
      </w:pPr>
      <w:r>
        <w:rPr>
          <w:rFonts w:hint="eastAsia" w:ascii="仿宋_GB2312" w:hAnsi="黑体" w:eastAsia="仿宋_GB2312" w:cstheme="minorEastAsia"/>
          <w:sz w:val="24"/>
          <w:szCs w:val="24"/>
        </w:rPr>
        <w:t>2.3.3</w:t>
      </w:r>
      <w:r>
        <w:rPr>
          <w:rFonts w:hint="eastAsia" w:ascii="仿宋_GB2312" w:hAnsi="黑体" w:eastAsia="仿宋_GB2312" w:cstheme="minorEastAsia"/>
          <w:b/>
          <w:bCs/>
          <w:sz w:val="24"/>
          <w:szCs w:val="24"/>
          <w:u w:val="single"/>
        </w:rPr>
        <w:t>填写第二笔付款的满足要件，如“设备全部到齐无质量问题，经安装、调试最终验收合格后”。若存在价款支付的收据、发票及财务审核条件与本条格式条款存有变动调整的，须在</w:t>
      </w:r>
      <w:r>
        <w:rPr>
          <w:rFonts w:hint="eastAsia" w:ascii="仿宋_GB2312" w:eastAsia="仿宋_GB2312" w:hAnsiTheme="minorEastAsia" w:cstheme="minorEastAsia"/>
          <w:b/>
          <w:bCs/>
          <w:sz w:val="24"/>
          <w:szCs w:val="24"/>
          <w:u w:val="single"/>
        </w:rPr>
        <w:t>专用条款第4条</w:t>
      </w:r>
      <w:r>
        <w:rPr>
          <w:rFonts w:hint="eastAsia" w:ascii="仿宋_GB2312" w:hAnsi="黑体" w:eastAsia="仿宋_GB2312" w:cstheme="minorEastAsia"/>
          <w:b/>
          <w:bCs/>
          <w:sz w:val="24"/>
          <w:szCs w:val="24"/>
          <w:u w:val="single"/>
        </w:rPr>
        <w:t>特殊约定条款中特别约定</w:t>
      </w:r>
      <w:r>
        <w:rPr>
          <w:rFonts w:hint="eastAsia" w:ascii="仿宋_GB2312" w:hAnsi="黑体" w:eastAsia="仿宋_GB2312" w:cstheme="minorEastAsia"/>
          <w:sz w:val="24"/>
          <w:szCs w:val="24"/>
        </w:rPr>
        <w:t>，卖方提交金额为合同含税总价款</w:t>
      </w:r>
      <w:r>
        <w:rPr>
          <w:rFonts w:hint="eastAsia" w:ascii="仿宋_GB2312" w:hAnsi="黑体" w:eastAsia="仿宋_GB2312" w:cstheme="minorEastAsia"/>
          <w:b/>
          <w:bCs/>
          <w:sz w:val="24"/>
          <w:szCs w:val="24"/>
          <w:u w:val="single"/>
        </w:rPr>
        <w:t>第二笔付款的比例，数值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第二笔付款金额</w:t>
      </w:r>
      <w:r>
        <w:rPr>
          <w:rFonts w:hint="eastAsia" w:ascii="仿宋_GB2312" w:hAnsi="黑体" w:eastAsia="仿宋_GB2312" w:cstheme="minorEastAsia"/>
          <w:sz w:val="24"/>
          <w:szCs w:val="24"/>
        </w:rPr>
        <w:t>元的收据及合同含税总价款未付金额的增值税专用发票并附带合同设备最终验收报告，经买方财务审核无误后按照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4B085410">
      <w:pPr>
        <w:spacing w:line="360" w:lineRule="auto"/>
        <w:ind w:firstLine="480" w:firstLineChars="200"/>
        <w:rPr>
          <w:rFonts w:hint="eastAsia" w:ascii="仿宋_GB2312" w:hAnsi="黑体" w:eastAsia="仿宋_GB2312" w:cstheme="minorEastAsia"/>
          <w:sz w:val="24"/>
          <w:szCs w:val="24"/>
        </w:rPr>
      </w:pPr>
      <w:r>
        <w:rPr>
          <w:rFonts w:hint="eastAsia" w:ascii="仿宋_GB2312" w:hAnsi="黑体" w:eastAsia="仿宋_GB2312" w:cstheme="minorEastAsia"/>
          <w:sz w:val="24"/>
          <w:szCs w:val="24"/>
        </w:rPr>
        <w:t>2.3.4合同含税总价款的</w:t>
      </w:r>
      <w:r>
        <w:rPr>
          <w:rFonts w:hint="eastAsia" w:ascii="仿宋_GB2312" w:hAnsi="黑体" w:eastAsia="仿宋_GB2312" w:cstheme="minorEastAsia"/>
          <w:b/>
          <w:bCs/>
          <w:sz w:val="24"/>
          <w:szCs w:val="24"/>
          <w:u w:val="single"/>
        </w:rPr>
        <w:t>第三笔付款的比例，数值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第三笔付款金额</w:t>
      </w:r>
      <w:r>
        <w:rPr>
          <w:rFonts w:hint="eastAsia" w:ascii="仿宋_GB2312" w:hAnsi="黑体" w:eastAsia="仿宋_GB2312" w:cstheme="minorEastAsia"/>
          <w:sz w:val="24"/>
          <w:szCs w:val="24"/>
        </w:rPr>
        <w:t>元作为本合同约定设备的质量保证金，质量保证金在质量保证期内不计利息。待合同设备质量保证期满后，卖方向买方提交质量保证金收据及设备使用单位的使用情况说明，经买方财务审核无误后按照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执行。如有质量问题，质量保证金予以相应扣除。</w:t>
      </w:r>
    </w:p>
    <w:p w14:paraId="08CD10BA">
      <w:pPr>
        <w:spacing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2.4甲乙双方基本信息</w:t>
      </w:r>
    </w:p>
    <w:tbl>
      <w:tblPr>
        <w:tblStyle w:val="4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7"/>
        <w:gridCol w:w="3690"/>
        <w:gridCol w:w="3690"/>
      </w:tblGrid>
      <w:tr w14:paraId="250C3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2A1FD79">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信息名目</w:t>
            </w:r>
          </w:p>
        </w:tc>
        <w:tc>
          <w:tcPr>
            <w:tcW w:w="3690" w:type="dxa"/>
            <w:vAlign w:val="bottom"/>
          </w:tcPr>
          <w:p w14:paraId="694C78C5">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甲方基本信息</w:t>
            </w:r>
          </w:p>
        </w:tc>
        <w:tc>
          <w:tcPr>
            <w:tcW w:w="3690" w:type="dxa"/>
            <w:vAlign w:val="bottom"/>
          </w:tcPr>
          <w:p w14:paraId="55C1AAD9">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乙方基本信息</w:t>
            </w:r>
          </w:p>
        </w:tc>
      </w:tr>
      <w:tr w14:paraId="405B1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9B3321F">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企业名称</w:t>
            </w:r>
          </w:p>
        </w:tc>
        <w:tc>
          <w:tcPr>
            <w:tcW w:w="3690" w:type="dxa"/>
            <w:vAlign w:val="bottom"/>
          </w:tcPr>
          <w:p w14:paraId="4A96DA49">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甲方单位全称</w:t>
            </w:r>
          </w:p>
        </w:tc>
        <w:tc>
          <w:tcPr>
            <w:tcW w:w="3690" w:type="dxa"/>
            <w:vAlign w:val="bottom"/>
          </w:tcPr>
          <w:p w14:paraId="7B4AB583">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乙方单位全称</w:t>
            </w:r>
          </w:p>
        </w:tc>
      </w:tr>
      <w:tr w14:paraId="1A5DA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E39BC95">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注册地址</w:t>
            </w:r>
          </w:p>
        </w:tc>
        <w:tc>
          <w:tcPr>
            <w:tcW w:w="3690" w:type="dxa"/>
            <w:vAlign w:val="bottom"/>
          </w:tcPr>
          <w:p w14:paraId="12A6D70D">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甲方注册地址，营业执照住所地</w:t>
            </w:r>
          </w:p>
        </w:tc>
        <w:tc>
          <w:tcPr>
            <w:tcW w:w="3690" w:type="dxa"/>
            <w:vAlign w:val="bottom"/>
          </w:tcPr>
          <w:p w14:paraId="07866A79">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乙方注册地址，营业执照住所地</w:t>
            </w:r>
          </w:p>
        </w:tc>
      </w:tr>
      <w:tr w14:paraId="2500E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CD97525">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通讯地址</w:t>
            </w:r>
          </w:p>
        </w:tc>
        <w:tc>
          <w:tcPr>
            <w:tcW w:w="3690" w:type="dxa"/>
            <w:vAlign w:val="bottom"/>
          </w:tcPr>
          <w:p w14:paraId="56283BFD">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甲方通讯地址，实际联系地址</w:t>
            </w:r>
          </w:p>
        </w:tc>
        <w:tc>
          <w:tcPr>
            <w:tcW w:w="3690" w:type="dxa"/>
            <w:vAlign w:val="bottom"/>
          </w:tcPr>
          <w:p w14:paraId="6DC4E4FC">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乙方通讯地址，实际联系地址</w:t>
            </w:r>
          </w:p>
        </w:tc>
      </w:tr>
      <w:tr w14:paraId="0CF91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9D14644">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法定代表人</w:t>
            </w:r>
          </w:p>
        </w:tc>
        <w:tc>
          <w:tcPr>
            <w:tcW w:w="3690" w:type="dxa"/>
            <w:vAlign w:val="bottom"/>
          </w:tcPr>
          <w:p w14:paraId="4E6D84FB">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甲方法定代表人姓名</w:t>
            </w:r>
          </w:p>
        </w:tc>
        <w:tc>
          <w:tcPr>
            <w:tcW w:w="3690" w:type="dxa"/>
            <w:vAlign w:val="bottom"/>
          </w:tcPr>
          <w:p w14:paraId="07481404">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乙方法定代表人姓名</w:t>
            </w:r>
          </w:p>
        </w:tc>
      </w:tr>
      <w:tr w14:paraId="46EC0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CE60A29">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授权代表</w:t>
            </w:r>
          </w:p>
        </w:tc>
        <w:tc>
          <w:tcPr>
            <w:tcW w:w="3690" w:type="dxa"/>
            <w:vAlign w:val="bottom"/>
          </w:tcPr>
          <w:p w14:paraId="3A017F52">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甲方授权代表姓名</w:t>
            </w:r>
          </w:p>
        </w:tc>
        <w:tc>
          <w:tcPr>
            <w:tcW w:w="3690" w:type="dxa"/>
            <w:vAlign w:val="bottom"/>
          </w:tcPr>
          <w:p w14:paraId="01A8454E">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乙方授权代表姓名</w:t>
            </w:r>
          </w:p>
        </w:tc>
      </w:tr>
      <w:tr w14:paraId="21D50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756B68A">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联系电话</w:t>
            </w:r>
          </w:p>
        </w:tc>
        <w:tc>
          <w:tcPr>
            <w:tcW w:w="3690" w:type="dxa"/>
            <w:vAlign w:val="bottom"/>
          </w:tcPr>
          <w:p w14:paraId="3C530FD8">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甲方授权代表手机号码</w:t>
            </w:r>
          </w:p>
        </w:tc>
        <w:tc>
          <w:tcPr>
            <w:tcW w:w="3690" w:type="dxa"/>
            <w:vAlign w:val="bottom"/>
          </w:tcPr>
          <w:p w14:paraId="6E46EAC6">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乙方授权代表手机号码</w:t>
            </w:r>
          </w:p>
        </w:tc>
      </w:tr>
      <w:tr w14:paraId="6A834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43E4960">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联系邮箱</w:t>
            </w:r>
          </w:p>
        </w:tc>
        <w:tc>
          <w:tcPr>
            <w:tcW w:w="3690" w:type="dxa"/>
            <w:vAlign w:val="bottom"/>
          </w:tcPr>
          <w:p w14:paraId="320DA5FB">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甲方授权代表联系邮箱（非必填）</w:t>
            </w:r>
          </w:p>
        </w:tc>
        <w:tc>
          <w:tcPr>
            <w:tcW w:w="3690" w:type="dxa"/>
            <w:vAlign w:val="bottom"/>
          </w:tcPr>
          <w:p w14:paraId="4D90F4C9">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乙方授权代表联系邮箱（非必填）</w:t>
            </w:r>
          </w:p>
        </w:tc>
      </w:tr>
      <w:tr w14:paraId="67C72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C2B7065">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开户银行</w:t>
            </w:r>
          </w:p>
        </w:tc>
        <w:tc>
          <w:tcPr>
            <w:tcW w:w="3690" w:type="dxa"/>
            <w:vAlign w:val="bottom"/>
          </w:tcPr>
          <w:p w14:paraId="10D1A1A1">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甲方开户银行规范全称（非必填）</w:t>
            </w:r>
          </w:p>
        </w:tc>
        <w:tc>
          <w:tcPr>
            <w:tcW w:w="3690" w:type="dxa"/>
            <w:vAlign w:val="bottom"/>
          </w:tcPr>
          <w:p w14:paraId="16782340">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乙方开户银行规范全称</w:t>
            </w:r>
          </w:p>
        </w:tc>
      </w:tr>
      <w:tr w14:paraId="363B4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63F0EA7">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开户行联行号</w:t>
            </w:r>
          </w:p>
        </w:tc>
        <w:tc>
          <w:tcPr>
            <w:tcW w:w="3690" w:type="dxa"/>
            <w:vAlign w:val="bottom"/>
          </w:tcPr>
          <w:p w14:paraId="34FFD90A">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甲方开户银行联行号（非必填）</w:t>
            </w:r>
          </w:p>
        </w:tc>
        <w:tc>
          <w:tcPr>
            <w:tcW w:w="3690" w:type="dxa"/>
            <w:vAlign w:val="bottom"/>
          </w:tcPr>
          <w:p w14:paraId="31140D40">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乙方开户银行联行号</w:t>
            </w:r>
          </w:p>
        </w:tc>
      </w:tr>
      <w:tr w14:paraId="64001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1D88CAE7">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开户账号</w:t>
            </w:r>
          </w:p>
        </w:tc>
        <w:tc>
          <w:tcPr>
            <w:tcW w:w="3690" w:type="dxa"/>
            <w:vAlign w:val="bottom"/>
          </w:tcPr>
          <w:p w14:paraId="1E571911">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甲方银行账号（非必填）</w:t>
            </w:r>
          </w:p>
        </w:tc>
        <w:tc>
          <w:tcPr>
            <w:tcW w:w="3690" w:type="dxa"/>
            <w:vAlign w:val="bottom"/>
          </w:tcPr>
          <w:p w14:paraId="6BEF2680">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乙方银行账号</w:t>
            </w:r>
          </w:p>
        </w:tc>
      </w:tr>
      <w:tr w14:paraId="31168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52F45CB4">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其他信息</w:t>
            </w:r>
          </w:p>
        </w:tc>
        <w:tc>
          <w:tcPr>
            <w:tcW w:w="3690" w:type="dxa"/>
            <w:vAlign w:val="bottom"/>
          </w:tcPr>
          <w:p w14:paraId="44F6F659">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甲方其他需列明企业信息（非必填）</w:t>
            </w:r>
          </w:p>
        </w:tc>
        <w:tc>
          <w:tcPr>
            <w:tcW w:w="3690" w:type="dxa"/>
            <w:vAlign w:val="bottom"/>
          </w:tcPr>
          <w:p w14:paraId="4FF55545">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乙方其他需列明企业信息（非必填）</w:t>
            </w:r>
          </w:p>
        </w:tc>
      </w:tr>
    </w:tbl>
    <w:p w14:paraId="0A387FF7">
      <w:pPr>
        <w:spacing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合同履行过程中，如甲乙双方基本信息发生变更，应及时以书面形式告知对方并就付款账户信息变更签署相关补充协议。</w:t>
      </w:r>
    </w:p>
    <w:p w14:paraId="4D5C4763">
      <w:pPr>
        <w:pStyle w:val="3"/>
        <w:tabs>
          <w:tab w:val="right" w:leader="dot" w:pos="9061"/>
        </w:tabs>
        <w:ind w:left="0" w:firstLine="480" w:firstLineChars="200"/>
        <w:jc w:val="both"/>
        <w:rPr>
          <w:rFonts w:hint="eastAsia" w:ascii="黑体" w:hAnsi="黑体" w:eastAsia="黑体" w:cs="黑体"/>
          <w:b w:val="0"/>
          <w:sz w:val="24"/>
          <w:szCs w:val="24"/>
        </w:rPr>
      </w:pPr>
      <w:r>
        <w:rPr>
          <w:rFonts w:hint="eastAsia" w:ascii="黑体" w:hAnsi="黑体" w:eastAsia="黑体" w:cs="黑体"/>
          <w:b w:val="0"/>
          <w:sz w:val="24"/>
          <w:szCs w:val="24"/>
        </w:rPr>
        <w:t>3.生效条款</w:t>
      </w:r>
    </w:p>
    <w:p w14:paraId="306FE0B9">
      <w:pPr>
        <w:spacing w:line="360" w:lineRule="auto"/>
        <w:ind w:firstLine="480" w:firstLineChars="200"/>
        <w:rPr>
          <w:rFonts w:hint="eastAsia" w:ascii="仿宋_GB2312" w:hAnsi="黑体" w:eastAsia="仿宋_GB2312" w:cstheme="minorEastAsia"/>
          <w:sz w:val="24"/>
          <w:szCs w:val="24"/>
          <w:u w:val="single"/>
        </w:rPr>
      </w:pPr>
      <w:r>
        <w:rPr>
          <w:rFonts w:hint="eastAsia" w:ascii="仿宋_GB2312" w:hAnsi="黑体" w:eastAsia="仿宋_GB2312" w:cstheme="minorEastAsia"/>
          <w:sz w:val="24"/>
          <w:szCs w:val="24"/>
        </w:rPr>
        <w:t>3.1本合同经双方签署后生效。</w:t>
      </w:r>
    </w:p>
    <w:p w14:paraId="567F5585">
      <w:pPr>
        <w:spacing w:line="360" w:lineRule="auto"/>
        <w:ind w:firstLine="480" w:firstLineChars="200"/>
        <w:rPr>
          <w:rFonts w:hint="eastAsia" w:ascii="仿宋_GB2312" w:hAnsi="黑体" w:eastAsia="仿宋_GB2312" w:cstheme="minorEastAsia"/>
          <w:sz w:val="24"/>
          <w:szCs w:val="24"/>
        </w:rPr>
      </w:pPr>
      <w:r>
        <w:rPr>
          <w:rFonts w:hint="eastAsia" w:ascii="仿宋_GB2312" w:hAnsi="黑体" w:eastAsia="仿宋_GB2312" w:cstheme="minorEastAsia"/>
          <w:sz w:val="24"/>
          <w:szCs w:val="24"/>
        </w:rPr>
        <w:t>3.2本合同一式四份，甲乙双方各执两份，具有同等法律效力。</w:t>
      </w:r>
    </w:p>
    <w:p w14:paraId="779AAEA2">
      <w:pPr>
        <w:pStyle w:val="3"/>
        <w:tabs>
          <w:tab w:val="right" w:leader="dot" w:pos="9061"/>
        </w:tabs>
        <w:ind w:left="0" w:firstLine="480" w:firstLineChars="200"/>
        <w:jc w:val="both"/>
        <w:rPr>
          <w:rFonts w:hint="eastAsia" w:ascii="黑体" w:hAnsi="黑体" w:eastAsia="黑体" w:cs="黑体"/>
          <w:b w:val="0"/>
          <w:sz w:val="24"/>
          <w:szCs w:val="24"/>
        </w:rPr>
      </w:pPr>
      <w:r>
        <w:rPr>
          <w:rFonts w:hint="eastAsia" w:ascii="黑体" w:hAnsi="黑体" w:eastAsia="黑体" w:cs="黑体"/>
          <w:b w:val="0"/>
          <w:sz w:val="24"/>
          <w:szCs w:val="24"/>
        </w:rPr>
        <w:t>4.特殊约定</w:t>
      </w:r>
    </w:p>
    <w:p w14:paraId="76C03823">
      <w:pPr>
        <w:spacing w:line="360" w:lineRule="auto"/>
        <w:ind w:firstLine="434" w:firstLineChars="200"/>
        <w:rPr>
          <w:rFonts w:hint="eastAsia" w:ascii="仿宋_GB2312" w:hAnsi="黑体" w:eastAsia="仿宋_GB2312" w:cstheme="minorEastAsia"/>
          <w:sz w:val="24"/>
          <w:szCs w:val="24"/>
        </w:rPr>
      </w:pPr>
      <w:r>
        <w:rPr>
          <w:rFonts w:hint="eastAsia" w:ascii="仿宋_GB2312" w:hAnsi="仿宋_GB2312" w:eastAsia="仿宋_GB2312" w:cs="仿宋_GB2312"/>
          <w:b/>
          <w:bCs/>
          <w:w w:val="90"/>
          <w:sz w:val="24"/>
          <w:szCs w:val="24"/>
          <w:u w:val="single"/>
        </w:rPr>
        <w:t>特殊约定事项，据实填写：4.1                ;4.2               ;……。若无，</w:t>
      </w:r>
      <w:r>
        <w:rPr>
          <w:rFonts w:hint="eastAsia" w:ascii="仿宋_GB2312" w:eastAsia="仿宋_GB2312" w:hAnsiTheme="minorEastAsia" w:cstheme="minorEastAsia"/>
          <w:b/>
          <w:bCs/>
          <w:sz w:val="24"/>
          <w:szCs w:val="24"/>
          <w:u w:val="single"/>
        </w:rPr>
        <w:t>填写“无”。专用条款、通用条款中需进行修改的部分应在此处予以体现。</w:t>
      </w:r>
    </w:p>
    <w:p w14:paraId="333352CE">
      <w:pPr>
        <w:spacing w:line="360" w:lineRule="auto"/>
        <w:rPr>
          <w:rFonts w:hint="eastAsia" w:ascii="宋体" w:hAnsi="宋体"/>
          <w:snapToGrid w:val="0"/>
          <w:kern w:val="0"/>
          <w:sz w:val="20"/>
          <w:szCs w:val="20"/>
          <w:lang w:eastAsia="zh-Hans"/>
        </w:rPr>
      </w:pPr>
    </w:p>
    <w:p w14:paraId="4249F36A">
      <w:pPr>
        <w:spacing w:line="360" w:lineRule="auto"/>
        <w:rPr>
          <w:rFonts w:hint="eastAsia" w:ascii="宋体" w:hAnsi="宋体"/>
          <w:snapToGrid w:val="0"/>
          <w:kern w:val="0"/>
          <w:sz w:val="20"/>
          <w:szCs w:val="20"/>
          <w:lang w:eastAsia="zh-Hans"/>
        </w:rPr>
      </w:pPr>
    </w:p>
    <w:p w14:paraId="4374579B">
      <w:pPr>
        <w:spacing w:line="360" w:lineRule="auto"/>
        <w:rPr>
          <w:rFonts w:hint="eastAsia" w:ascii="宋体" w:hAnsi="宋体"/>
          <w:snapToGrid w:val="0"/>
          <w:kern w:val="0"/>
          <w:sz w:val="20"/>
          <w:szCs w:val="20"/>
          <w:lang w:eastAsia="zh-Hans"/>
        </w:rPr>
      </w:pPr>
    </w:p>
    <w:p w14:paraId="219828DF">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rPr>
        <w:t>甲方单位全称</w:t>
      </w:r>
    </w:p>
    <w:p w14:paraId="140E83B8">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30BFD5CF">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rPr>
        <w:t>甲方代表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662DC467">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4D40F20A">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p>
    <w:p w14:paraId="437C0DBC">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571C7434">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rPr>
        <w:t>乙方单位全称</w:t>
      </w:r>
    </w:p>
    <w:p w14:paraId="71F2A6CD">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296CE1E2">
      <w:pPr>
        <w:ind w:firstLine="480" w:firstLineChars="200"/>
        <w:rPr>
          <w:rFonts w:hint="eastAsia" w:ascii="仿宋_GB2312" w:hAnsi="宋体" w:eastAsia="仿宋_GB2312"/>
          <w:snapToGrid w:val="0"/>
          <w:color w:val="000000"/>
          <w:kern w:val="0"/>
          <w:sz w:val="24"/>
          <w:szCs w:val="24"/>
          <w:lang w:eastAsia="zh-Hans"/>
        </w:rPr>
        <w:sectPr>
          <w:footerReference r:id="rId15" w:type="default"/>
          <w:pgSz w:w="11907" w:h="16840"/>
          <w:pgMar w:top="1304" w:right="1418" w:bottom="1304" w:left="1418" w:header="724" w:footer="851" w:gutter="0"/>
          <w:cols w:space="720" w:num="1"/>
          <w:docGrid w:linePitch="290" w:charSpace="-3931"/>
        </w:sectPr>
      </w:pPr>
      <w:r>
        <w:rPr>
          <w:rFonts w:hint="eastAsia" w:ascii="仿宋_GB2312" w:hAnsi="宋体" w:eastAsia="仿宋_GB2312"/>
          <w:snapToGrid w:val="0"/>
          <w:color w:val="000000"/>
          <w:kern w:val="0"/>
          <w:sz w:val="24"/>
          <w:szCs w:val="24"/>
        </w:rPr>
        <w:t>乙方代表</w:t>
      </w:r>
      <w:r>
        <w:rPr>
          <w:rFonts w:hint="eastAsia" w:ascii="仿宋_GB2312" w:hAnsi="宋体" w:eastAsia="仿宋_GB2312"/>
          <w:snapToGrid w:val="0"/>
          <w:color w:val="000000"/>
          <w:kern w:val="0"/>
          <w:sz w:val="24"/>
          <w:szCs w:val="24"/>
          <w:lang w:eastAsia="zh-Hans"/>
        </w:rPr>
        <w:t xml:space="preserve">（签字）：  </w:t>
      </w:r>
    </w:p>
    <w:p w14:paraId="61EB4C40">
      <w:pPr>
        <w:ind w:firstLine="480" w:firstLineChars="200"/>
        <w:rPr>
          <w:rFonts w:hint="eastAsia"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37224A17">
      <w:pPr>
        <w:jc w:val="center"/>
        <w:rPr>
          <w:rFonts w:hint="eastAsia"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4A1A0D1C">
      <w:pPr>
        <w:spacing w:line="360" w:lineRule="auto"/>
        <w:jc w:val="center"/>
        <w:rPr>
          <w:rFonts w:hint="eastAsia"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14:paraId="02CFC7F0">
      <w:pPr>
        <w:pStyle w:val="3"/>
        <w:tabs>
          <w:tab w:val="right" w:leader="dot" w:pos="9061"/>
        </w:tabs>
        <w:ind w:left="0" w:firstLine="480" w:firstLineChars="200"/>
        <w:jc w:val="both"/>
        <w:rPr>
          <w:rFonts w:hint="eastAsia" w:ascii="黑体" w:hAnsi="黑体" w:eastAsia="黑体" w:cs="黑体"/>
          <w:b w:val="0"/>
          <w:sz w:val="24"/>
          <w:szCs w:val="24"/>
        </w:rPr>
      </w:pPr>
      <w:bookmarkStart w:id="45" w:name="_Toc17619"/>
      <w:bookmarkStart w:id="46" w:name="_Toc11823"/>
      <w:bookmarkStart w:id="47" w:name="_Toc16330018"/>
      <w:bookmarkStart w:id="48" w:name="_Toc11930"/>
      <w:r>
        <w:rPr>
          <w:rFonts w:hint="eastAsia" w:ascii="黑体" w:hAnsi="黑体" w:eastAsia="黑体" w:cs="黑体"/>
          <w:b w:val="0"/>
          <w:sz w:val="24"/>
          <w:szCs w:val="24"/>
        </w:rPr>
        <w:t>1 合同设备</w:t>
      </w:r>
      <w:bookmarkEnd w:id="45"/>
      <w:bookmarkEnd w:id="46"/>
      <w:bookmarkEnd w:id="47"/>
      <w:bookmarkEnd w:id="48"/>
    </w:p>
    <w:p w14:paraId="6CCA0CA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bookmarkStart w:id="49" w:name="_Toc32510"/>
      <w:bookmarkStart w:id="50" w:name="_Toc29026"/>
      <w:bookmarkStart w:id="51" w:name="_Toc22800"/>
      <w:r>
        <w:rPr>
          <w:rFonts w:hint="eastAsia" w:ascii="仿宋_GB2312" w:hAnsi="仿宋_GB2312" w:eastAsia="仿宋_GB2312" w:cs="仿宋_GB2312"/>
          <w:sz w:val="24"/>
          <w:szCs w:val="24"/>
        </w:rPr>
        <w:t>本合同约定设备的技术规格详见附件二《技术协议书》。</w:t>
      </w:r>
    </w:p>
    <w:p w14:paraId="76037CE0">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7DB5EE4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1.3在设备所有权转移到买方之前，有关设备的保险由卖方负责办理并承担保险费用。</w:t>
      </w:r>
    </w:p>
    <w:p w14:paraId="58A0B2A0">
      <w:pPr>
        <w:pStyle w:val="3"/>
        <w:tabs>
          <w:tab w:val="right" w:leader="dot" w:pos="9061"/>
        </w:tabs>
        <w:ind w:left="0" w:firstLine="480" w:firstLineChars="200"/>
        <w:jc w:val="both"/>
        <w:rPr>
          <w:rFonts w:hint="eastAsia" w:ascii="黑体" w:hAnsi="黑体" w:eastAsia="黑体" w:cs="黑体"/>
          <w:b w:val="0"/>
          <w:sz w:val="24"/>
          <w:szCs w:val="24"/>
        </w:rPr>
      </w:pPr>
      <w:bookmarkStart w:id="52" w:name="_Toc16330019"/>
      <w:r>
        <w:rPr>
          <w:rFonts w:hint="eastAsia" w:ascii="黑体" w:hAnsi="黑体" w:eastAsia="黑体" w:cs="黑体"/>
          <w:b w:val="0"/>
          <w:sz w:val="24"/>
          <w:szCs w:val="24"/>
        </w:rPr>
        <w:t>2 包装</w:t>
      </w:r>
      <w:bookmarkEnd w:id="49"/>
      <w:bookmarkEnd w:id="50"/>
      <w:bookmarkEnd w:id="51"/>
      <w:bookmarkEnd w:id="52"/>
    </w:p>
    <w:p w14:paraId="3DA4CEA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72883AE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2.2每件包装应附有详细的装箱单和质量证书各两套，一套在包装箱里，一套在包装箱外。</w:t>
      </w:r>
    </w:p>
    <w:p w14:paraId="53008C9D">
      <w:pPr>
        <w:pStyle w:val="3"/>
        <w:tabs>
          <w:tab w:val="right" w:leader="dot" w:pos="9061"/>
        </w:tabs>
        <w:ind w:left="0" w:firstLine="480" w:firstLineChars="200"/>
        <w:jc w:val="both"/>
        <w:rPr>
          <w:rFonts w:hint="eastAsia" w:ascii="黑体" w:hAnsi="黑体" w:eastAsia="黑体" w:cs="黑体"/>
          <w:b w:val="0"/>
          <w:sz w:val="24"/>
          <w:szCs w:val="24"/>
        </w:rPr>
      </w:pPr>
      <w:bookmarkStart w:id="53" w:name="_Toc2833"/>
      <w:bookmarkStart w:id="54" w:name="_Toc27144"/>
      <w:bookmarkStart w:id="55" w:name="_Toc27453"/>
      <w:bookmarkStart w:id="56" w:name="_Toc16330020"/>
      <w:r>
        <w:rPr>
          <w:rFonts w:hint="eastAsia" w:ascii="黑体" w:hAnsi="黑体" w:eastAsia="黑体" w:cs="黑体"/>
          <w:b w:val="0"/>
          <w:sz w:val="24"/>
          <w:szCs w:val="24"/>
        </w:rPr>
        <w:t>3 运输标记</w:t>
      </w:r>
      <w:bookmarkEnd w:id="53"/>
      <w:bookmarkEnd w:id="54"/>
      <w:bookmarkEnd w:id="55"/>
      <w:bookmarkEnd w:id="56"/>
    </w:p>
    <w:p w14:paraId="02539F2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3.1卖方应在每一包装箱邻近的四个侧面用不易褪色的油漆以醒目的中文印刷字体标明以下各项：</w:t>
      </w:r>
    </w:p>
    <w:p w14:paraId="16FE9E3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3.1.1收货人</w:t>
      </w:r>
    </w:p>
    <w:p w14:paraId="40C9B2B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3.1.2合同号</w:t>
      </w:r>
    </w:p>
    <w:p w14:paraId="3EDF8B1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3.1.3发货标记（唛头）</w:t>
      </w:r>
    </w:p>
    <w:p w14:paraId="1CA9BA06">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3.1.4设备的名称、品目号、箱号</w:t>
      </w:r>
    </w:p>
    <w:p w14:paraId="2E600B6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3.1.5毛重/净重（公斤）</w:t>
      </w:r>
    </w:p>
    <w:p w14:paraId="37202C0D">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3.1.6尺寸（长×宽×高，以厘米计）</w:t>
      </w:r>
    </w:p>
    <w:p w14:paraId="7C8A153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4EE3F293">
      <w:pPr>
        <w:pStyle w:val="3"/>
        <w:tabs>
          <w:tab w:val="right" w:leader="dot" w:pos="9061"/>
        </w:tabs>
        <w:ind w:left="0" w:firstLine="480" w:firstLineChars="200"/>
        <w:jc w:val="both"/>
        <w:rPr>
          <w:rFonts w:hint="eastAsia" w:ascii="黑体" w:hAnsi="黑体" w:eastAsia="黑体" w:cs="黑体"/>
          <w:b w:val="0"/>
          <w:sz w:val="24"/>
          <w:szCs w:val="24"/>
        </w:rPr>
      </w:pPr>
      <w:bookmarkStart w:id="57" w:name="_Toc7431"/>
      <w:bookmarkStart w:id="58" w:name="_Toc10630"/>
      <w:bookmarkStart w:id="59" w:name="_Toc16330021"/>
      <w:bookmarkStart w:id="60" w:name="_Toc16133"/>
      <w:r>
        <w:rPr>
          <w:rFonts w:hint="eastAsia" w:ascii="黑体" w:hAnsi="黑体" w:eastAsia="黑体" w:cs="黑体"/>
          <w:b w:val="0"/>
          <w:sz w:val="24"/>
          <w:szCs w:val="24"/>
        </w:rPr>
        <w:t>4 检验</w:t>
      </w:r>
      <w:bookmarkEnd w:id="57"/>
      <w:bookmarkEnd w:id="58"/>
      <w:bookmarkEnd w:id="59"/>
      <w:bookmarkEnd w:id="60"/>
    </w:p>
    <w:p w14:paraId="047E904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41801C0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4.2国家强制检验检测的设备，需要经过国家有关部门进行检验检测，卖方保证提供的设备通过其检验并承担费用。</w:t>
      </w:r>
    </w:p>
    <w:p w14:paraId="73A34E0E">
      <w:pPr>
        <w:pStyle w:val="3"/>
        <w:tabs>
          <w:tab w:val="right" w:leader="dot" w:pos="9061"/>
        </w:tabs>
        <w:ind w:left="0" w:firstLine="480" w:firstLineChars="200"/>
        <w:jc w:val="both"/>
        <w:rPr>
          <w:rFonts w:hint="eastAsia" w:ascii="黑体" w:hAnsi="黑体" w:eastAsia="黑体" w:cs="黑体"/>
          <w:b w:val="0"/>
          <w:sz w:val="24"/>
          <w:szCs w:val="24"/>
        </w:rPr>
      </w:pPr>
      <w:bookmarkStart w:id="61" w:name="_Toc19850"/>
      <w:bookmarkStart w:id="62" w:name="_Toc16330022"/>
      <w:bookmarkStart w:id="63" w:name="_Toc11217"/>
      <w:bookmarkStart w:id="64" w:name="_Toc24467"/>
      <w:r>
        <w:rPr>
          <w:rFonts w:hint="eastAsia" w:ascii="黑体" w:hAnsi="黑体" w:eastAsia="黑体" w:cs="黑体"/>
          <w:b w:val="0"/>
          <w:sz w:val="24"/>
          <w:szCs w:val="24"/>
        </w:rPr>
        <w:t>5 权利担保</w:t>
      </w:r>
      <w:bookmarkEnd w:id="61"/>
      <w:bookmarkEnd w:id="62"/>
      <w:bookmarkEnd w:id="63"/>
      <w:bookmarkEnd w:id="64"/>
    </w:p>
    <w:p w14:paraId="149209E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7B6B5726">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5.2卖方应保证第三方对其提交的设备不得以侵权或其他类似理由提出合法要求，如侵犯知识产权等。</w:t>
      </w:r>
    </w:p>
    <w:p w14:paraId="7BB97C7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5.3任何第三方如果提出侵权指控，卖方应与第三方交涉，并承担由此引起的一切法律责任和费用以及给买方所造成的损失。</w:t>
      </w:r>
    </w:p>
    <w:p w14:paraId="6B3E7BA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5.4买方应在已知道第三方的权利或要求后的一段合理时间内，将此权利或要求的性质通知卖方。</w:t>
      </w:r>
    </w:p>
    <w:p w14:paraId="17369F1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6F613049">
      <w:pPr>
        <w:pStyle w:val="3"/>
        <w:tabs>
          <w:tab w:val="right" w:leader="dot" w:pos="9061"/>
        </w:tabs>
        <w:ind w:left="0" w:firstLine="480" w:firstLineChars="200"/>
        <w:jc w:val="both"/>
        <w:rPr>
          <w:rFonts w:hint="eastAsia" w:ascii="黑体" w:hAnsi="黑体" w:eastAsia="黑体" w:cs="黑体"/>
          <w:b w:val="0"/>
          <w:sz w:val="24"/>
          <w:szCs w:val="24"/>
        </w:rPr>
      </w:pPr>
      <w:bookmarkStart w:id="65" w:name="_Toc14809"/>
      <w:bookmarkStart w:id="66" w:name="_Toc11759"/>
      <w:bookmarkStart w:id="67" w:name="_Toc16330023"/>
      <w:bookmarkStart w:id="68" w:name="_Toc27500"/>
      <w:r>
        <w:rPr>
          <w:rFonts w:hint="eastAsia" w:ascii="黑体" w:hAnsi="黑体" w:eastAsia="黑体" w:cs="黑体"/>
          <w:b w:val="0"/>
          <w:sz w:val="24"/>
          <w:szCs w:val="24"/>
        </w:rPr>
        <w:t>6 交货</w:t>
      </w:r>
      <w:bookmarkEnd w:id="65"/>
      <w:bookmarkEnd w:id="66"/>
      <w:bookmarkEnd w:id="67"/>
      <w:bookmarkEnd w:id="68"/>
    </w:p>
    <w:p w14:paraId="15B26220">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6E5E11F0">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6.2卖方应在设备装运完成后当天以传真、邮件等的形式通知买方合同号、设备名称、数量、毛重、体积（立方米）、发票金额、启运日期、预计到达日期。</w:t>
      </w:r>
    </w:p>
    <w:p w14:paraId="2C76442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15E6961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6.4交货方式的释义</w:t>
      </w:r>
    </w:p>
    <w:p w14:paraId="11DC69F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6.4.1交钥匙方式：卖方负责合同设备的设计、制造、运输、定点卸货、安装、调试、培训及售后服务等所有内容，直至买方验收合格并交付使用。</w:t>
      </w:r>
    </w:p>
    <w:p w14:paraId="4E6F958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7FEC841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6.4.3自提：买方依照合同约定到卖方所在地提取合同设备，经买方根据合同所约定的数量、型号及配置等内容逐一确认无误后，双方完成交付手续。</w:t>
      </w:r>
    </w:p>
    <w:p w14:paraId="198B2C6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6.5到货后，买卖双方代表办理移交手续，此时的移交不代表卖方合同设备所有权的转移，合同设备的保管责任仍然由卖方承担。移交内容包括：合同设备、硬件、软件、图纸、资料、质量证明文件等。</w:t>
      </w:r>
    </w:p>
    <w:p w14:paraId="045CE3C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6.6卖方在交付设备前需通知买方。</w:t>
      </w:r>
    </w:p>
    <w:p w14:paraId="0ED9732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6.7风险的转移：</w:t>
      </w:r>
    </w:p>
    <w:p w14:paraId="19763E3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54403344">
      <w:pPr>
        <w:pStyle w:val="3"/>
        <w:tabs>
          <w:tab w:val="right" w:leader="dot" w:pos="9061"/>
        </w:tabs>
        <w:ind w:left="0" w:firstLine="480" w:firstLineChars="200"/>
        <w:jc w:val="both"/>
        <w:rPr>
          <w:rFonts w:hint="eastAsia" w:ascii="黑体" w:hAnsi="黑体" w:eastAsia="黑体" w:cs="黑体"/>
          <w:b w:val="0"/>
          <w:sz w:val="24"/>
          <w:szCs w:val="24"/>
        </w:rPr>
      </w:pPr>
      <w:bookmarkStart w:id="69" w:name="_Toc8024"/>
      <w:bookmarkStart w:id="70" w:name="_Toc16330024"/>
      <w:bookmarkStart w:id="71" w:name="_Toc25510"/>
      <w:bookmarkStart w:id="72" w:name="_Toc2984"/>
      <w:r>
        <w:rPr>
          <w:rFonts w:hint="eastAsia" w:ascii="黑体" w:hAnsi="黑体" w:eastAsia="黑体" w:cs="黑体"/>
          <w:b w:val="0"/>
          <w:sz w:val="24"/>
          <w:szCs w:val="24"/>
        </w:rPr>
        <w:t>7 安装、调试</w:t>
      </w:r>
      <w:bookmarkEnd w:id="69"/>
      <w:bookmarkEnd w:id="70"/>
      <w:bookmarkEnd w:id="71"/>
      <w:bookmarkEnd w:id="72"/>
    </w:p>
    <w:p w14:paraId="088E1B3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 卖方应自带用以安装、调试过程中所需的各种工具、仪器、仪表及易损件。在安装、调试过程中，卖方应自负其工作人员的食宿、交通等费用。</w:t>
      </w:r>
    </w:p>
    <w:p w14:paraId="62B39BC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7.2在安装、调试过程中，安装场地及施工人员安全，由卖方负责。由于安装、调试等原因造成买方或他人人身损害或财产损失的，由卖方承担赔偿责任。</w:t>
      </w:r>
    </w:p>
    <w:p w14:paraId="73BBBC5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sz w:val="24"/>
          <w:szCs w:val="24"/>
        </w:rPr>
        <w:t>卖方须对安装、调试过程中造成的买方或他人人身损害或财产损失承担赔偿责任。</w:t>
      </w:r>
    </w:p>
    <w:p w14:paraId="799C9EF2">
      <w:pPr>
        <w:pStyle w:val="3"/>
        <w:tabs>
          <w:tab w:val="right" w:leader="dot" w:pos="9061"/>
        </w:tabs>
        <w:ind w:left="0" w:firstLine="480" w:firstLineChars="200"/>
        <w:jc w:val="both"/>
        <w:rPr>
          <w:rFonts w:hint="eastAsia" w:ascii="黑体" w:hAnsi="黑体" w:eastAsia="黑体" w:cs="黑体"/>
          <w:b w:val="0"/>
          <w:sz w:val="24"/>
          <w:szCs w:val="24"/>
        </w:rPr>
      </w:pPr>
      <w:bookmarkStart w:id="73" w:name="_Toc14098"/>
      <w:bookmarkStart w:id="74" w:name="_Toc14260"/>
      <w:bookmarkStart w:id="75" w:name="_Toc16330025"/>
      <w:bookmarkStart w:id="76" w:name="_Toc6350"/>
      <w:r>
        <w:rPr>
          <w:rFonts w:hint="eastAsia" w:ascii="黑体" w:hAnsi="黑体" w:eastAsia="黑体" w:cs="黑体"/>
          <w:b w:val="0"/>
          <w:sz w:val="24"/>
          <w:szCs w:val="24"/>
        </w:rPr>
        <w:t>8 价款与支付</w:t>
      </w:r>
      <w:bookmarkEnd w:id="73"/>
      <w:bookmarkEnd w:id="74"/>
      <w:bookmarkEnd w:id="75"/>
      <w:bookmarkEnd w:id="76"/>
    </w:p>
    <w:p w14:paraId="2469E33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8.1合同价格以不含税价格为准。若因国家税收法律法规或政策调整对本合同业务的税目、税率等产生影响，双方确定本合同约定的各项业务的不含税价格不做调整，各项业务的含税价格依法依规进行调整。</w:t>
      </w:r>
    </w:p>
    <w:p w14:paraId="134E416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本合同约定的含税总价包括但不限于全部（全新）产品价、备品备件价、专用工具价、运杂费（包括现场卸车费）、设计、制造、安装（或指导安装）、调试、验收、培训、技术及售后服务费、技术资料费等所有费用的总和。</w:t>
      </w:r>
    </w:p>
    <w:p w14:paraId="3B135A4C">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8.3双方约定的付款条件执行中，满足付款条件后甲方在30日内完成付款不被视为付款延迟；若甲方在满足付款条件30日后尚未完成付款的，付款延迟违约计算从满足付款条件第31日起开始计算。</w:t>
      </w:r>
    </w:p>
    <w:p w14:paraId="76BA13F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8.4乙方结算时，必须使用合法有效并经甲方认可的增值税专用发票，否则不予结算。因发票违规给甲方造成的增值税、所得税等损失，由乙方承担相关责任，包括但不限于税款、滞纳金、罚款及其它相关损失。</w:t>
      </w:r>
    </w:p>
    <w:p w14:paraId="1A1688CD">
      <w:pPr>
        <w:pStyle w:val="3"/>
        <w:tabs>
          <w:tab w:val="right" w:leader="dot" w:pos="9061"/>
        </w:tabs>
        <w:ind w:left="0" w:firstLine="480" w:firstLineChars="200"/>
        <w:jc w:val="both"/>
        <w:rPr>
          <w:rFonts w:hint="eastAsia" w:ascii="黑体" w:hAnsi="黑体" w:eastAsia="黑体" w:cs="黑体"/>
          <w:b w:val="0"/>
          <w:sz w:val="24"/>
          <w:szCs w:val="24"/>
        </w:rPr>
      </w:pPr>
      <w:bookmarkStart w:id="77" w:name="_Toc16330026"/>
      <w:bookmarkStart w:id="78" w:name="_Toc24085"/>
      <w:bookmarkStart w:id="79" w:name="_Toc6726"/>
      <w:bookmarkStart w:id="80" w:name="_Toc25708"/>
      <w:r>
        <w:rPr>
          <w:rFonts w:hint="eastAsia" w:ascii="黑体" w:hAnsi="黑体" w:eastAsia="黑体" w:cs="黑体"/>
          <w:b w:val="0"/>
          <w:sz w:val="24"/>
          <w:szCs w:val="24"/>
        </w:rPr>
        <w:t>9 质量保证及售后服务</w:t>
      </w:r>
      <w:bookmarkEnd w:id="77"/>
      <w:bookmarkEnd w:id="78"/>
      <w:bookmarkEnd w:id="79"/>
      <w:bookmarkEnd w:id="80"/>
    </w:p>
    <w:p w14:paraId="046CC930">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1B6FDD0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9.2卖方承诺其提供的设备不存在任何产品缺陷，否则因卖方提供的设备存在产品缺陷而给买方造成的一切后果和损失由卖方承担。</w:t>
      </w:r>
    </w:p>
    <w:p w14:paraId="74F234E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1DF8C38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44B33DA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9.5卖方负责在买方指定的地点免费为买方培训操作及维修人员，培训内容包括：基本原理、操作使用、安全操作注意事项以及维修保养等内容。</w:t>
      </w:r>
    </w:p>
    <w:p w14:paraId="698010AD">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9.6质量保证期满后，卖方保证向买方提供及时的、质优的、价格优惠的技术服务和备品备件供应。</w:t>
      </w:r>
    </w:p>
    <w:p w14:paraId="0D6F6AC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9.7质量保证期满后，如出现质量问题，卖方也应及时修复和更换，且只收取成本费，费用由买方承担，卖方对设备质量问题所负的责任直到设备使用寿命周期结束。</w:t>
      </w:r>
    </w:p>
    <w:p w14:paraId="7CBED881">
      <w:pPr>
        <w:pStyle w:val="3"/>
        <w:tabs>
          <w:tab w:val="right" w:leader="dot" w:pos="9061"/>
        </w:tabs>
        <w:ind w:left="0" w:firstLine="480" w:firstLineChars="200"/>
        <w:jc w:val="both"/>
        <w:rPr>
          <w:rFonts w:hint="eastAsia" w:ascii="黑体" w:hAnsi="黑体" w:eastAsia="黑体" w:cs="黑体"/>
          <w:b w:val="0"/>
          <w:sz w:val="24"/>
          <w:szCs w:val="24"/>
        </w:rPr>
      </w:pPr>
      <w:bookmarkStart w:id="81" w:name="_Toc12927"/>
      <w:bookmarkStart w:id="82" w:name="_Toc15570"/>
      <w:bookmarkStart w:id="83" w:name="_Toc16330027"/>
      <w:bookmarkStart w:id="84" w:name="_Toc10359"/>
      <w:r>
        <w:rPr>
          <w:rFonts w:hint="eastAsia" w:ascii="黑体" w:hAnsi="黑体" w:eastAsia="黑体" w:cs="黑体"/>
          <w:b w:val="0"/>
          <w:sz w:val="24"/>
          <w:szCs w:val="24"/>
        </w:rPr>
        <w:t>10法定责任</w:t>
      </w:r>
      <w:bookmarkEnd w:id="81"/>
      <w:bookmarkEnd w:id="82"/>
      <w:bookmarkEnd w:id="83"/>
      <w:bookmarkEnd w:id="84"/>
      <w:r>
        <w:rPr>
          <w:rFonts w:hint="eastAsia" w:ascii="黑体" w:hAnsi="黑体" w:eastAsia="黑体" w:cs="黑体"/>
          <w:b w:val="0"/>
          <w:sz w:val="24"/>
          <w:szCs w:val="24"/>
        </w:rPr>
        <w:t>及合规责任</w:t>
      </w:r>
    </w:p>
    <w:p w14:paraId="72FCA6D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10.1卖方需遵从国家有关的法律、法规，缴纳有关的法定费用和税项。若卖方未按期交纳法定费用、税项，则卖方须补偿买方由此造成的所有费用及损失。</w:t>
      </w:r>
    </w:p>
    <w:p w14:paraId="4240C2F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10.2除非本合同中另有规定或买方同意，卖方不得全部或部分转让本合同项下的权利义务。</w:t>
      </w:r>
    </w:p>
    <w:p w14:paraId="13EE033C">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736679E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10.4除对方预先书面同意外，任何一方在本合同签订和履行期间或本合同终止后不得向第三方披露在本合同履行过程中知悉的与对方有关的任何商业秘密。</w:t>
      </w:r>
    </w:p>
    <w:p w14:paraId="5823D9A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10.5卖方保证截至本合同签署之日，卖方及其子公司和关联公司未被列入任何国家或者地区的政府机构或者相关国际组织等发布的限制、制裁或反制清单，未隐瞒任何阻碍及可能阻碍此次交易的相关信息。如在本合同签署后发生上述情形，卖方应当在获知被列入清单后24小时之内以书面形式通知买方。</w:t>
      </w:r>
    </w:p>
    <w:p w14:paraId="272BADF4">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10.6卖方已经充分了解并确保会严格遵守开展业务所需适用国家或者地区的出口管制、经济制裁和反制裁相关法律法规（简称“出口管制与制裁法律法规”）。卖方确认不存在任何因违反所需适用国家或者地区出口管制与制裁法律或其他因卖方原因导致本合同无法履行或者延迟履行的情形。如果卖方在本合同履行过程中发生或者预见到可能发生该等情形，应当及时以书面形式告知买方。如由于卖方未履行前述义务或其他可归责于卖方的原因导致延迟履行供货或无法按照本合同约定履行供货义务，卖方应承担违约责任，并承担买方因此受到的全部损失。</w:t>
      </w:r>
    </w:p>
    <w:p w14:paraId="6A69556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10.7如本合同项下卖方所销售或者提供的任何产品、零部件、软件、技术和服务（以下统称“物项”）有可能受任何国家或者地区出口管制与制裁法律法规管辖，卖方承诺遵守全部所需适用的有关规定，并确保向买方提供该等物项的合法性与合规性。对于受到出口管制管辖的物项，卖方应当书面告知买方受控物项的全部管制信息，包括但不限于原产国、发运国、ECCN、USML编码等方面的特殊限制、物项管控要求等。</w:t>
      </w:r>
    </w:p>
    <w:p w14:paraId="6DAD9BA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10.8如因卖方不遵守销售物项所需适用国家或地区的出口管制与制裁法律法规及监管政策而使买方遭受任何损失、费用、索赔、处罚、诉讼因由、损害、责任和费用（包括但不限于律师费，所有诉讼和/或和解费用以及法院费用），卖方应当就此承担全部赔偿责任。买方有权视情况暂停或终止其对相关合同的履行。在该等情况下，买方不构成对相关合同的违约、且不免除卖方履行合同的义务。</w:t>
      </w:r>
    </w:p>
    <w:p w14:paraId="21993A8D">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4063C98D">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1）卖方</w:t>
      </w:r>
      <w:r>
        <w:rPr>
          <w:rFonts w:ascii="仿宋_GB2312" w:hAnsi="仿宋_GB2312" w:eastAsia="仿宋_GB2312" w:cs="仿宋_GB2312"/>
          <w:sz w:val="24"/>
          <w:szCs w:val="24"/>
        </w:rPr>
        <w:t>仅能将</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提供的保密信息用于本协议所约定的项目并承担保密义务。</w:t>
      </w:r>
    </w:p>
    <w:p w14:paraId="53B2ECB4">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2）卖方</w:t>
      </w:r>
      <w:r>
        <w:rPr>
          <w:rFonts w:ascii="仿宋_GB2312" w:hAnsi="仿宋_GB2312" w:eastAsia="仿宋_GB2312" w:cs="仿宋_GB2312"/>
          <w:sz w:val="24"/>
          <w:szCs w:val="24"/>
        </w:rPr>
        <w:t>将采取有效措施使用</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提供的保密信息，只将该等保密信息提供给本方负责决策或实施合作事项的具体参与人员，</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及其相关人员不得以任何方式或形式散布、披露或传播给该范围以外的人（包括</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关联机构），也不得允许任何保密信息被泄漏、被披露、被交流。</w:t>
      </w:r>
    </w:p>
    <w:p w14:paraId="474AE6D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w:t>
      </w:r>
      <w:r>
        <w:rPr>
          <w:rFonts w:ascii="仿宋_GB2312" w:hAnsi="仿宋_GB2312" w:eastAsia="仿宋_GB2312" w:cs="仿宋_GB2312"/>
          <w:sz w:val="24"/>
          <w:szCs w:val="24"/>
        </w:rPr>
        <w:t>如果</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为项目需要，而不得不向该第三方披露保密信息，则</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应事先从</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得到书面同意。</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应与该第三方承担连带责任。</w:t>
      </w:r>
    </w:p>
    <w:p w14:paraId="3998F13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w:t>
      </w:r>
      <w:r>
        <w:rPr>
          <w:rFonts w:ascii="仿宋_GB2312" w:hAnsi="仿宋_GB2312" w:eastAsia="仿宋_GB2312" w:cs="仿宋_GB2312"/>
          <w:sz w:val="24"/>
          <w:szCs w:val="24"/>
        </w:rPr>
        <w:t>如</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得悉</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的任何保密信息遭侵犯或疑似侵权，</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应立即通知</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。如果</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决定就侵权行为进行起诉，或以其他方式停止或阻止该实际或可能发生的侵权行为，</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 xml:space="preserve">尽最大限度予以协助。 </w:t>
      </w:r>
    </w:p>
    <w:p w14:paraId="2B8F06E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5）卖方</w:t>
      </w:r>
      <w:r>
        <w:rPr>
          <w:rFonts w:ascii="仿宋_GB2312" w:hAnsi="仿宋_GB2312" w:eastAsia="仿宋_GB2312" w:cs="仿宋_GB2312"/>
          <w:sz w:val="24"/>
          <w:szCs w:val="24"/>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4D449FB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6）卖方</w:t>
      </w:r>
      <w:r>
        <w:rPr>
          <w:rFonts w:ascii="仿宋_GB2312" w:hAnsi="仿宋_GB2312" w:eastAsia="仿宋_GB2312" w:cs="仿宋_GB2312"/>
          <w:sz w:val="24"/>
          <w:szCs w:val="24"/>
        </w:rPr>
        <w:t>应遵从</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不时发出的有关使用、处理和保管保密信息的任何指令或政策，并按照</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的要求将本协议项下保密信息的使用情况向</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 xml:space="preserve">汇报。 </w:t>
      </w:r>
    </w:p>
    <w:p w14:paraId="69DCCEA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7）卖方</w:t>
      </w:r>
      <w:r>
        <w:rPr>
          <w:rFonts w:ascii="仿宋_GB2312" w:hAnsi="仿宋_GB2312" w:eastAsia="仿宋_GB2312" w:cs="仿宋_GB2312"/>
          <w:sz w:val="24"/>
          <w:szCs w:val="24"/>
        </w:rPr>
        <w:t>不得为第三方利益使用保密信息，不得非为实现双方合作目的使用保密信息，不得对保密信息采取任何反向工程、反向编译或反向分解等行为。</w:t>
      </w:r>
    </w:p>
    <w:p w14:paraId="49C4AA24">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w:t>
      </w:r>
      <w:r>
        <w:rPr>
          <w:rFonts w:ascii="仿宋_GB2312" w:hAnsi="仿宋_GB2312" w:eastAsia="仿宋_GB2312" w:cs="仿宋_GB2312"/>
          <w:sz w:val="24"/>
          <w:szCs w:val="24"/>
        </w:rPr>
        <w:t>双方合作期间形成的与本协议有关的任何信息和数据受本协议约束。</w:t>
      </w:r>
    </w:p>
    <w:p w14:paraId="6BFEC0A6">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5973EA8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w:t>
      </w:r>
      <w:r>
        <w:rPr>
          <w:rFonts w:ascii="仿宋_GB2312" w:hAnsi="仿宋_GB2312" w:eastAsia="仿宋_GB2312" w:cs="仿宋_GB2312"/>
          <w:sz w:val="24"/>
          <w:szCs w:val="24"/>
        </w:rPr>
        <w:t>数据收集必须基于合法授权，</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需向数据主体明确告知数据用途，并获得明确同意</w:t>
      </w:r>
      <w:r>
        <w:rPr>
          <w:rFonts w:hint="eastAsia" w:ascii="仿宋_GB2312" w:hAnsi="仿宋_GB2312" w:eastAsia="仿宋_GB2312" w:cs="仿宋_GB2312"/>
          <w:sz w:val="24"/>
          <w:szCs w:val="24"/>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6FFF312D">
      <w:pPr>
        <w:spacing w:line="360" w:lineRule="auto"/>
        <w:ind w:firstLine="480" w:firstLineChars="200"/>
        <w:rPr>
          <w:rFonts w:hint="eastAsia" w:ascii="仿宋_GB2312" w:hAnsi="仿宋_GB2312" w:eastAsia="仿宋_GB2312" w:cs="仿宋_GB2312"/>
          <w:sz w:val="24"/>
          <w:szCs w:val="24"/>
        </w:rPr>
      </w:pPr>
      <w:r>
        <w:rPr>
          <w:rFonts w:ascii="仿宋_GB2312" w:hAnsi="仿宋_GB2312" w:eastAsia="仿宋_GB2312" w:cs="仿宋_GB2312"/>
          <w:sz w:val="24"/>
          <w:szCs w:val="24"/>
        </w:rPr>
        <w:t>2）</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在存储数据时需采取严格的安全措施，</w:t>
      </w:r>
      <w:r>
        <w:rPr>
          <w:rFonts w:hint="eastAsia" w:ascii="仿宋_GB2312" w:hAnsi="仿宋_GB2312" w:eastAsia="仿宋_GB2312" w:cs="仿宋_GB2312"/>
          <w:sz w:val="24"/>
          <w:szCs w:val="24"/>
        </w:rPr>
        <w:t>通过</w:t>
      </w:r>
      <w:r>
        <w:rPr>
          <w:rFonts w:ascii="仿宋_GB2312" w:hAnsi="仿宋_GB2312" w:eastAsia="仿宋_GB2312" w:cs="仿宋_GB2312"/>
          <w:sz w:val="24"/>
          <w:szCs w:val="24"/>
        </w:rPr>
        <w:t>加密、访问控制等措施确保数据的完整性和机密性</w:t>
      </w:r>
      <w:r>
        <w:rPr>
          <w:rFonts w:hint="eastAsia" w:ascii="仿宋_GB2312" w:hAnsi="仿宋_GB2312" w:eastAsia="仿宋_GB2312" w:cs="仿宋_GB2312"/>
          <w:sz w:val="24"/>
          <w:szCs w:val="24"/>
        </w:rPr>
        <w:t>；</w:t>
      </w:r>
      <w:r>
        <w:rPr>
          <w:rFonts w:ascii="仿宋_GB2312" w:hAnsi="仿宋_GB2312" w:eastAsia="仿宋_GB2312" w:cs="仿宋_GB2312"/>
          <w:sz w:val="24"/>
          <w:szCs w:val="24"/>
        </w:rPr>
        <w:t>在使用和传输数据时，</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需确保数据使用符合收集时的声明，不得超出必要范围</w:t>
      </w:r>
      <w:r>
        <w:rPr>
          <w:rFonts w:hint="eastAsia" w:ascii="仿宋_GB2312" w:hAnsi="仿宋_GB2312" w:eastAsia="仿宋_GB2312" w:cs="仿宋_GB2312"/>
          <w:sz w:val="24"/>
          <w:szCs w:val="24"/>
        </w:rPr>
        <w:t>；</w:t>
      </w:r>
      <w:r>
        <w:rPr>
          <w:rFonts w:ascii="仿宋_GB2312" w:hAnsi="仿宋_GB2312" w:eastAsia="仿宋_GB2312" w:cs="仿宋_GB2312"/>
          <w:sz w:val="24"/>
          <w:szCs w:val="24"/>
        </w:rPr>
        <w:t>跨境数据传输时，需符合法律规定的合规要求。</w:t>
      </w:r>
      <w:r>
        <w:rPr>
          <w:rFonts w:hint="eastAsia" w:ascii="仿宋_GB2312" w:hAnsi="仿宋_GB2312" w:eastAsia="仿宋_GB2312" w:cs="仿宋_GB2312"/>
          <w:sz w:val="24"/>
          <w:szCs w:val="24"/>
        </w:rPr>
        <w:t>卖方需</w:t>
      </w:r>
      <w:r>
        <w:rPr>
          <w:rFonts w:ascii="仿宋_GB2312" w:hAnsi="仿宋_GB2312" w:eastAsia="仿宋_GB2312" w:cs="仿宋_GB2312"/>
          <w:sz w:val="24"/>
          <w:szCs w:val="24"/>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sz w:val="24"/>
          <w:szCs w:val="24"/>
        </w:rPr>
        <w:t>。</w:t>
      </w:r>
      <w:r>
        <w:rPr>
          <w:rFonts w:ascii="仿宋_GB2312" w:hAnsi="仿宋_GB2312" w:eastAsia="仿宋_GB2312" w:cs="仿宋_GB2312"/>
          <w:sz w:val="24"/>
          <w:szCs w:val="24"/>
        </w:rPr>
        <w:t>‌</w:t>
      </w:r>
    </w:p>
    <w:p w14:paraId="1252DC9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w:t>
      </w:r>
      <w:r>
        <w:rPr>
          <w:rFonts w:ascii="仿宋_GB2312" w:hAnsi="仿宋_GB2312" w:eastAsia="仿宋_GB2312" w:cs="仿宋_GB2312"/>
          <w:sz w:val="24"/>
          <w:szCs w:val="24"/>
        </w:rPr>
        <w:t>）</w:t>
      </w:r>
      <w:r>
        <w:rPr>
          <w:rFonts w:hint="eastAsia" w:ascii="仿宋_GB2312" w:hAnsi="仿宋_GB2312" w:eastAsia="仿宋_GB2312" w:cs="仿宋_GB2312"/>
          <w:sz w:val="24"/>
          <w:szCs w:val="24"/>
        </w:rPr>
        <w:t>如需要</w:t>
      </w:r>
      <w:r>
        <w:rPr>
          <w:rFonts w:ascii="仿宋_GB2312" w:hAnsi="仿宋_GB2312" w:eastAsia="仿宋_GB2312" w:cs="仿宋_GB2312"/>
          <w:sz w:val="24"/>
          <w:szCs w:val="24"/>
        </w:rPr>
        <w:t>数据共享</w:t>
      </w:r>
      <w:r>
        <w:rPr>
          <w:rFonts w:hint="eastAsia" w:ascii="仿宋_GB2312" w:hAnsi="仿宋_GB2312" w:eastAsia="仿宋_GB2312" w:cs="仿宋_GB2312"/>
          <w:sz w:val="24"/>
          <w:szCs w:val="24"/>
        </w:rPr>
        <w:t>时</w:t>
      </w:r>
      <w:r>
        <w:rPr>
          <w:rFonts w:ascii="仿宋_GB2312" w:hAnsi="仿宋_GB2312" w:eastAsia="仿宋_GB2312" w:cs="仿宋_GB2312"/>
          <w:sz w:val="24"/>
          <w:szCs w:val="24"/>
        </w:rPr>
        <w:t>需</w:t>
      </w:r>
      <w:r>
        <w:rPr>
          <w:rFonts w:hint="eastAsia" w:ascii="仿宋_GB2312" w:hAnsi="仿宋_GB2312" w:eastAsia="仿宋_GB2312" w:cs="仿宋_GB2312"/>
          <w:sz w:val="24"/>
          <w:szCs w:val="24"/>
        </w:rPr>
        <w:t>取得买方的书面同意并</w:t>
      </w:r>
      <w:r>
        <w:rPr>
          <w:rFonts w:ascii="仿宋_GB2312" w:hAnsi="仿宋_GB2312" w:eastAsia="仿宋_GB2312" w:cs="仿宋_GB2312"/>
          <w:sz w:val="24"/>
          <w:szCs w:val="24"/>
        </w:rPr>
        <w:t>确保各方在使用数据时符合合规要求</w:t>
      </w:r>
      <w:r>
        <w:rPr>
          <w:rFonts w:hint="eastAsia" w:ascii="仿宋_GB2312" w:hAnsi="仿宋_GB2312" w:eastAsia="仿宋_GB2312" w:cs="仿宋_GB2312"/>
          <w:sz w:val="24"/>
          <w:szCs w:val="24"/>
        </w:rPr>
        <w:t>；</w:t>
      </w:r>
      <w:r>
        <w:rPr>
          <w:rFonts w:ascii="仿宋_GB2312" w:hAnsi="仿宋_GB2312" w:eastAsia="仿宋_GB2312" w:cs="仿宋_GB2312"/>
          <w:sz w:val="24"/>
          <w:szCs w:val="24"/>
        </w:rPr>
        <w:t>当数据不再需要时，</w:t>
      </w:r>
      <w:r>
        <w:rPr>
          <w:rFonts w:hint="eastAsia" w:ascii="仿宋_GB2312" w:hAnsi="仿宋_GB2312" w:eastAsia="仿宋_GB2312" w:cs="仿宋_GB2312"/>
          <w:sz w:val="24"/>
          <w:szCs w:val="24"/>
        </w:rPr>
        <w:t>卖方需</w:t>
      </w:r>
      <w:r>
        <w:rPr>
          <w:rFonts w:ascii="仿宋_GB2312" w:hAnsi="仿宋_GB2312" w:eastAsia="仿宋_GB2312" w:cs="仿宋_GB2312"/>
          <w:sz w:val="24"/>
          <w:szCs w:val="24"/>
        </w:rPr>
        <w:t>采取适当的措施彻底销毁数据，防止其被恢复和滥用。</w:t>
      </w:r>
    </w:p>
    <w:p w14:paraId="438C50E5">
      <w:pPr>
        <w:pStyle w:val="3"/>
        <w:tabs>
          <w:tab w:val="right" w:leader="dot" w:pos="9061"/>
        </w:tabs>
        <w:ind w:left="0" w:firstLine="480" w:firstLineChars="200"/>
        <w:jc w:val="both"/>
        <w:rPr>
          <w:rFonts w:hint="eastAsia" w:ascii="黑体" w:hAnsi="黑体" w:eastAsia="黑体" w:cs="黑体"/>
          <w:b w:val="0"/>
          <w:sz w:val="24"/>
          <w:szCs w:val="24"/>
        </w:rPr>
      </w:pPr>
      <w:bookmarkStart w:id="85" w:name="_Toc30381"/>
      <w:bookmarkStart w:id="86" w:name="_Toc9708"/>
      <w:bookmarkStart w:id="87" w:name="_Toc27314"/>
      <w:bookmarkStart w:id="88" w:name="_Toc16330028"/>
      <w:r>
        <w:rPr>
          <w:rFonts w:hint="eastAsia" w:ascii="黑体" w:hAnsi="黑体" w:eastAsia="黑体" w:cs="黑体"/>
          <w:b w:val="0"/>
          <w:sz w:val="24"/>
          <w:szCs w:val="24"/>
        </w:rPr>
        <w:t>11 违约责任</w:t>
      </w:r>
      <w:bookmarkEnd w:id="85"/>
      <w:bookmarkEnd w:id="86"/>
      <w:bookmarkEnd w:id="87"/>
      <w:bookmarkEnd w:id="88"/>
    </w:p>
    <w:p w14:paraId="55133F86">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37641F3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2A1B578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11.1.2根据设备的瑕疵和受损程度以及买方遭受损失的金额，经买方同意降低设备价格。</w:t>
      </w:r>
    </w:p>
    <w:p w14:paraId="4C50362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41ACEF2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61F2CDC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 xml:space="preserve">   11.4如卖方未按合同专用条款2.3、2.4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1667FAD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11.5买方延期付款时（有正当拒付理由者除外），每日按延付金额的3‰向卖方偿付延期付款违约金，但违约金总额不超过延付金额的50‰。</w:t>
      </w:r>
    </w:p>
    <w:p w14:paraId="64D9FB2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2C3C40B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11.7因发票违规给买方造成的增值税、所得税等损失，由卖方承担相关责任，包括但不限于税款、滞纳金、罚款及其它相关损失。</w:t>
      </w:r>
    </w:p>
    <w:p w14:paraId="21330C8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11.8如果卖方违反本合同其他约定（包括本合同及所有附件）应赔偿因此给买方造成的一切损失。</w:t>
      </w:r>
    </w:p>
    <w:p w14:paraId="4D9E50F5">
      <w:pPr>
        <w:pStyle w:val="3"/>
        <w:tabs>
          <w:tab w:val="right" w:leader="dot" w:pos="9061"/>
        </w:tabs>
        <w:ind w:left="0" w:firstLine="480" w:firstLineChars="200"/>
        <w:jc w:val="both"/>
        <w:rPr>
          <w:rFonts w:hint="eastAsia" w:ascii="黑体" w:hAnsi="黑体" w:eastAsia="黑体" w:cs="黑体"/>
          <w:b w:val="0"/>
          <w:sz w:val="24"/>
          <w:szCs w:val="24"/>
        </w:rPr>
      </w:pPr>
      <w:bookmarkStart w:id="89" w:name="_Toc1827"/>
      <w:bookmarkStart w:id="90" w:name="_Toc31554"/>
      <w:bookmarkStart w:id="91" w:name="_Toc16330029"/>
      <w:bookmarkStart w:id="92" w:name="_Toc9172"/>
      <w:r>
        <w:rPr>
          <w:rFonts w:hint="eastAsia" w:ascii="黑体" w:hAnsi="黑体" w:eastAsia="黑体" w:cs="黑体"/>
          <w:b w:val="0"/>
          <w:sz w:val="24"/>
          <w:szCs w:val="24"/>
        </w:rPr>
        <w:t>12 合同的终止与解除</w:t>
      </w:r>
      <w:bookmarkEnd w:id="89"/>
      <w:bookmarkEnd w:id="90"/>
      <w:bookmarkEnd w:id="91"/>
      <w:bookmarkEnd w:id="92"/>
    </w:p>
    <w:p w14:paraId="7E006A74">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12.1本合同订立后，卖方由于履行义务的能力或信用有严重缺陷，买方可以终止履行本合同，要求卖方返还已支付的款项并不承担违约责任。</w:t>
      </w:r>
    </w:p>
    <w:p w14:paraId="76E12CC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12.2经双方协商一致，可以解除本合同。</w:t>
      </w:r>
    </w:p>
    <w:p w14:paraId="5C8B46C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12.3有下列情形之一的，买方可以解除本合同：</w:t>
      </w:r>
    </w:p>
    <w:p w14:paraId="379C56A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12.3.1卖方明确表示或者以自己的行为表明不履行主要义务的；</w:t>
      </w:r>
    </w:p>
    <w:p w14:paraId="2F12A67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12.3.2卖方所提交的设备不符合本合同的规定；</w:t>
      </w:r>
    </w:p>
    <w:p w14:paraId="3748050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12.3.3卖方发生本合同约定的解除情形的；</w:t>
      </w:r>
    </w:p>
    <w:p w14:paraId="7778958C">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12.3.4卖方有其他违约行为。</w:t>
      </w:r>
    </w:p>
    <w:p w14:paraId="0BFF314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12.4卖方分批交付设备的，卖方对其中一批设备不交付或者交付不符合约定，致使该批设备不能实现本合同目的的，买方可以就该批设备解除合同。</w:t>
      </w:r>
    </w:p>
    <w:p w14:paraId="4D9158E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12.5卖方不交付其中一批设备或者交付不符合约定，致使今后其他各批设备的交付不能实现本合同目的的，买方可以就该批以及今后其他各批设备解除合同。</w:t>
      </w:r>
    </w:p>
    <w:p w14:paraId="494C8F7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12.6买方如果就其中一批设备解除合同，该批设备与其他各批设备相互依存的，可以就已经交付和未交付的各批设备解除合同。</w:t>
      </w:r>
    </w:p>
    <w:p w14:paraId="49ACA6C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12.7因为卖方违约导致买方解除合同的，卖方应赔偿买方因此所遭受的一切损失。</w:t>
      </w:r>
    </w:p>
    <w:p w14:paraId="1153E7CF">
      <w:pPr>
        <w:pStyle w:val="3"/>
        <w:tabs>
          <w:tab w:val="right" w:leader="dot" w:pos="9061"/>
        </w:tabs>
        <w:ind w:left="0" w:firstLine="480" w:firstLineChars="200"/>
        <w:jc w:val="both"/>
        <w:rPr>
          <w:rFonts w:hint="eastAsia" w:ascii="黑体" w:hAnsi="黑体" w:eastAsia="黑体" w:cs="黑体"/>
          <w:b w:val="0"/>
          <w:sz w:val="24"/>
          <w:szCs w:val="24"/>
        </w:rPr>
      </w:pPr>
      <w:bookmarkStart w:id="93" w:name="_Toc31945"/>
      <w:bookmarkStart w:id="94" w:name="_Toc16330030"/>
      <w:bookmarkStart w:id="95" w:name="_Toc8620"/>
      <w:bookmarkStart w:id="96" w:name="_Toc13671"/>
      <w:r>
        <w:rPr>
          <w:rFonts w:hint="eastAsia" w:ascii="黑体" w:hAnsi="黑体" w:eastAsia="黑体" w:cs="黑体"/>
          <w:b w:val="0"/>
          <w:sz w:val="24"/>
          <w:szCs w:val="24"/>
        </w:rPr>
        <w:t>13 不可抗力</w:t>
      </w:r>
      <w:bookmarkEnd w:id="93"/>
      <w:bookmarkEnd w:id="94"/>
      <w:bookmarkEnd w:id="95"/>
      <w:bookmarkEnd w:id="96"/>
    </w:p>
    <w:p w14:paraId="6B30668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2E3BD644">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13.2各方应该通过协商决定是否终止本合同，或推迟全部或部分本合同的履行或免除对方全部或部分相关履行义务。</w:t>
      </w:r>
    </w:p>
    <w:p w14:paraId="7C1800D0">
      <w:pPr>
        <w:pStyle w:val="3"/>
        <w:tabs>
          <w:tab w:val="right" w:leader="dot" w:pos="9061"/>
        </w:tabs>
        <w:ind w:left="0" w:firstLine="480" w:firstLineChars="200"/>
        <w:jc w:val="both"/>
        <w:rPr>
          <w:rFonts w:hint="eastAsia" w:ascii="黑体" w:hAnsi="黑体" w:eastAsia="黑体" w:cs="黑体"/>
          <w:b w:val="0"/>
          <w:sz w:val="24"/>
          <w:szCs w:val="24"/>
        </w:rPr>
      </w:pPr>
      <w:bookmarkStart w:id="97" w:name="_Toc30389"/>
      <w:bookmarkStart w:id="98" w:name="_Toc16330031"/>
      <w:bookmarkStart w:id="99" w:name="_Toc637"/>
      <w:bookmarkStart w:id="100" w:name="_Toc31243"/>
      <w:r>
        <w:rPr>
          <w:rFonts w:hint="eastAsia" w:ascii="黑体" w:hAnsi="黑体" w:eastAsia="黑体" w:cs="黑体"/>
          <w:b w:val="0"/>
          <w:sz w:val="24"/>
          <w:szCs w:val="24"/>
        </w:rPr>
        <w:t>14 通讯</w:t>
      </w:r>
      <w:bookmarkEnd w:id="97"/>
      <w:bookmarkEnd w:id="98"/>
      <w:bookmarkEnd w:id="99"/>
      <w:bookmarkEnd w:id="100"/>
    </w:p>
    <w:p w14:paraId="779D4C6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14.1通讯地址：</w:t>
      </w:r>
    </w:p>
    <w:p w14:paraId="4DC56EC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本合同下的任何通讯按照本合同双方提供的信息，以书信、传真、电子通讯方式或电话作出。</w:t>
      </w:r>
    </w:p>
    <w:p w14:paraId="65DFBCD6">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14.2生效</w:t>
      </w:r>
    </w:p>
    <w:p w14:paraId="0C5A428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14.2.1书信。书信为送达时生效；</w:t>
      </w:r>
    </w:p>
    <w:p w14:paraId="0AD73AE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14.2.2传真。发送人取得成功传输的信息时生效；</w:t>
      </w:r>
    </w:p>
    <w:p w14:paraId="47B77B9C">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14.2.3电子邮件。电子邮件于发送之时生效，前提是寄件者于该邮件发送后24小时内没有收到发送失败通知；</w:t>
      </w:r>
    </w:p>
    <w:p w14:paraId="3583C08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14.2.4电话。电话于打出时生效，以电话作出的任何通讯必须以书信、传真或电子邮件确认，如果没有发送或者接收该确认不会使原有通讯失效。</w:t>
      </w:r>
    </w:p>
    <w:p w14:paraId="4314AA7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14.3书面法律证据。根据本合同以书信、传真或电子邮件方式送达任何订约方的任何通讯，将作为书面法律证据。</w:t>
      </w:r>
    </w:p>
    <w:p w14:paraId="7D2AE6E3">
      <w:pPr>
        <w:pStyle w:val="3"/>
        <w:tabs>
          <w:tab w:val="right" w:leader="dot" w:pos="9061"/>
        </w:tabs>
        <w:ind w:left="0" w:firstLine="480" w:firstLineChars="200"/>
        <w:jc w:val="both"/>
        <w:rPr>
          <w:rFonts w:hint="eastAsia" w:ascii="黑体" w:hAnsi="黑体" w:eastAsia="黑体" w:cs="黑体"/>
          <w:b w:val="0"/>
          <w:sz w:val="24"/>
          <w:szCs w:val="24"/>
        </w:rPr>
      </w:pPr>
      <w:bookmarkStart w:id="101" w:name="_Toc12984"/>
      <w:bookmarkStart w:id="102" w:name="_Toc11290"/>
      <w:bookmarkStart w:id="103" w:name="_Toc9915"/>
      <w:bookmarkStart w:id="104" w:name="_Toc16330032"/>
      <w:r>
        <w:rPr>
          <w:rFonts w:hint="eastAsia" w:ascii="黑体" w:hAnsi="黑体" w:eastAsia="黑体" w:cs="黑体"/>
          <w:b w:val="0"/>
          <w:sz w:val="24"/>
          <w:szCs w:val="24"/>
        </w:rPr>
        <w:t>15 适用法律及争议解决</w:t>
      </w:r>
      <w:bookmarkEnd w:id="101"/>
      <w:bookmarkEnd w:id="102"/>
      <w:bookmarkEnd w:id="103"/>
      <w:bookmarkEnd w:id="104"/>
    </w:p>
    <w:p w14:paraId="517E096C">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15.1本合同条款的效力和解释适用中华人民共和国法律。</w:t>
      </w:r>
    </w:p>
    <w:p w14:paraId="346773F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0403D7F9">
      <w:pPr>
        <w:pStyle w:val="3"/>
        <w:tabs>
          <w:tab w:val="right" w:leader="dot" w:pos="9061"/>
        </w:tabs>
        <w:ind w:left="0" w:firstLine="480" w:firstLineChars="200"/>
        <w:jc w:val="both"/>
        <w:rPr>
          <w:rFonts w:hint="eastAsia" w:ascii="黑体" w:hAnsi="黑体" w:eastAsia="黑体" w:cs="黑体"/>
          <w:b w:val="0"/>
          <w:sz w:val="24"/>
          <w:szCs w:val="24"/>
        </w:rPr>
      </w:pPr>
      <w:bookmarkStart w:id="105" w:name="_Toc23906"/>
      <w:bookmarkStart w:id="106" w:name="_Toc18207"/>
      <w:bookmarkStart w:id="107" w:name="_Toc16330033"/>
      <w:bookmarkStart w:id="108" w:name="_Toc23765"/>
      <w:r>
        <w:rPr>
          <w:rFonts w:hint="eastAsia" w:ascii="黑体" w:hAnsi="黑体" w:eastAsia="黑体" w:cs="黑体"/>
          <w:b w:val="0"/>
          <w:sz w:val="24"/>
          <w:szCs w:val="24"/>
        </w:rPr>
        <w:t>16 附件</w:t>
      </w:r>
      <w:bookmarkEnd w:id="105"/>
      <w:bookmarkEnd w:id="106"/>
      <w:bookmarkEnd w:id="107"/>
      <w:bookmarkEnd w:id="108"/>
    </w:p>
    <w:p w14:paraId="18E3779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本合同及其附件构成双方关于本合同标的之全部协议，包括但不限于下列文件：</w:t>
      </w:r>
    </w:p>
    <w:p w14:paraId="231A091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16.1技术协议书；</w:t>
      </w:r>
    </w:p>
    <w:p w14:paraId="4475D004">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16.2合同设备一览表；</w:t>
      </w:r>
    </w:p>
    <w:p w14:paraId="5D8384D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16.3卖方中标的设备投标书以及一切书面承诺；</w:t>
      </w:r>
    </w:p>
    <w:p w14:paraId="2768E7A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16.4招标文件。</w:t>
      </w:r>
    </w:p>
    <w:p w14:paraId="78FE47C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上述附件内容与本合同约定有冲突的，以本合同约定为准。</w:t>
      </w:r>
    </w:p>
    <w:p w14:paraId="5680354D">
      <w:pPr>
        <w:pStyle w:val="3"/>
        <w:tabs>
          <w:tab w:val="right" w:leader="dot" w:pos="9061"/>
        </w:tabs>
        <w:ind w:left="0" w:firstLine="480" w:firstLineChars="200"/>
        <w:jc w:val="both"/>
        <w:rPr>
          <w:rFonts w:hint="eastAsia" w:ascii="黑体" w:hAnsi="黑体" w:eastAsia="黑体" w:cs="黑体"/>
          <w:b w:val="0"/>
          <w:sz w:val="24"/>
          <w:szCs w:val="24"/>
        </w:rPr>
      </w:pPr>
      <w:bookmarkStart w:id="109" w:name="_Toc27202"/>
      <w:bookmarkStart w:id="110" w:name="_Toc31331"/>
      <w:bookmarkStart w:id="111" w:name="_Toc17656"/>
      <w:bookmarkStart w:id="112" w:name="_Toc16330034"/>
      <w:r>
        <w:rPr>
          <w:rFonts w:hint="eastAsia" w:ascii="黑体" w:hAnsi="黑体" w:eastAsia="黑体" w:cs="黑体"/>
          <w:b w:val="0"/>
          <w:sz w:val="24"/>
          <w:szCs w:val="24"/>
        </w:rPr>
        <w:t>17 其他规定</w:t>
      </w:r>
      <w:bookmarkEnd w:id="109"/>
      <w:bookmarkEnd w:id="110"/>
      <w:bookmarkEnd w:id="111"/>
      <w:bookmarkEnd w:id="112"/>
    </w:p>
    <w:p w14:paraId="64FD65D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17.1本合同及其附件构成了双方就本合同所含交易而达成的全部合同，并取代双方先前与该等交易有关的全部口头和书面合同。</w:t>
      </w:r>
    </w:p>
    <w:p w14:paraId="5B72FAE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17.2如果本合同的任何条款和条件在任何时间成为非法、无效或不可强制执行的，则其他条款不应受其影响。</w:t>
      </w:r>
    </w:p>
    <w:p w14:paraId="40EC9FF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18A12605">
      <w:pPr>
        <w:spacing w:line="360" w:lineRule="auto"/>
        <w:ind w:firstLine="480" w:firstLineChars="200"/>
        <w:rPr>
          <w:rFonts w:hint="eastAsia" w:ascii="仿宋_GB2312" w:hAnsi="仿宋_GB2312" w:eastAsia="仿宋_GB2312" w:cs="仿宋_GB2312"/>
          <w:sz w:val="24"/>
          <w:szCs w:val="24"/>
        </w:rPr>
      </w:pPr>
      <w:bookmarkStart w:id="113" w:name="_Toc19077"/>
      <w:bookmarkStart w:id="114" w:name="_Toc29136"/>
      <w:bookmarkStart w:id="115" w:name="_Toc16330035"/>
      <w:bookmarkStart w:id="116" w:name="_Toc17952"/>
      <w:r>
        <w:rPr>
          <w:rFonts w:hint="eastAsia" w:ascii="仿宋_GB2312" w:hAnsi="仿宋_GB2312" w:eastAsia="仿宋_GB2312" w:cs="仿宋_GB2312"/>
          <w:sz w:val="24"/>
          <w:szCs w:val="24"/>
        </w:rPr>
        <w:t>17.4监造，在合同设备的制造过程中，买方有权派出代表对合同设备制造过程中的关键工序进行质量监督，卖方有配合买方监造的义务。</w:t>
      </w:r>
    </w:p>
    <w:p w14:paraId="15FA505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6A2A3AE1">
      <w:pPr>
        <w:pStyle w:val="3"/>
        <w:tabs>
          <w:tab w:val="right" w:leader="dot" w:pos="9061"/>
        </w:tabs>
        <w:ind w:left="0" w:firstLine="480" w:firstLineChars="200"/>
        <w:jc w:val="both"/>
        <w:rPr>
          <w:rFonts w:hint="eastAsia" w:ascii="黑体" w:hAnsi="黑体" w:eastAsia="黑体" w:cs="黑体"/>
          <w:b w:val="0"/>
          <w:sz w:val="24"/>
          <w:szCs w:val="24"/>
        </w:rPr>
      </w:pPr>
      <w:r>
        <w:rPr>
          <w:rFonts w:hint="eastAsia" w:ascii="黑体" w:hAnsi="黑体" w:eastAsia="黑体" w:cs="黑体"/>
          <w:b w:val="0"/>
          <w:sz w:val="24"/>
          <w:szCs w:val="24"/>
        </w:rPr>
        <w:t>18 签署事项</w:t>
      </w:r>
      <w:bookmarkEnd w:id="113"/>
      <w:bookmarkEnd w:id="114"/>
      <w:bookmarkEnd w:id="115"/>
      <w:bookmarkEnd w:id="116"/>
    </w:p>
    <w:p w14:paraId="4DFAC30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合同或协议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w:t>
      </w:r>
      <w:r>
        <w:rPr>
          <w:rFonts w:hint="eastAsia" w:ascii="仿宋_GB2312" w:hAnsi="仿宋_GB2312" w:eastAsia="仿宋_GB2312" w:cs="仿宋_GB2312"/>
          <w:sz w:val="24"/>
        </w:rPr>
        <w:t>所有的手写涂改、一方擅自增加、删改、篡改部分无效（电子签名除外）</w:t>
      </w:r>
      <w:r>
        <w:rPr>
          <w:rFonts w:hint="eastAsia" w:ascii="仿宋_GB2312" w:hAnsi="仿宋_GB2312" w:eastAsia="仿宋_GB2312" w:cs="仿宋_GB2312"/>
          <w:sz w:val="24"/>
          <w:szCs w:val="24"/>
        </w:rPr>
        <w:t>。</w:t>
      </w:r>
    </w:p>
    <w:p w14:paraId="1160A89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301C1D8B">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1E518BAE">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72768FF5">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3742E865">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rPr>
        <w:t>甲方单位全称</w:t>
      </w:r>
    </w:p>
    <w:p w14:paraId="688CF9C3">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425B5BAA">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rPr>
        <w:t>甲方代表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26226EEA">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0C18B4A4">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p>
    <w:p w14:paraId="51D976AB">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rPr>
      </w:pPr>
      <w:r>
        <w:rPr>
          <w:rFonts w:hint="eastAsia" w:ascii="仿宋_GB2312" w:hAnsi="宋体" w:eastAsia="仿宋_GB2312"/>
          <w:snapToGrid w:val="0"/>
          <w:kern w:val="0"/>
          <w:sz w:val="24"/>
          <w:szCs w:val="24"/>
          <w:lang w:eastAsia="zh-Hans"/>
        </w:rPr>
        <w:t xml:space="preserve">     </w:t>
      </w:r>
    </w:p>
    <w:p w14:paraId="5285F3E6">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rPr>
        <w:t>乙方单位全称</w:t>
      </w:r>
    </w:p>
    <w:p w14:paraId="0F5D4579">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6937DA6B">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宋体" w:eastAsia="仿宋_GB2312"/>
          <w:snapToGrid w:val="0"/>
          <w:color w:val="000000"/>
          <w:kern w:val="0"/>
          <w:sz w:val="24"/>
          <w:szCs w:val="24"/>
        </w:rPr>
        <w:t>乙方代表</w:t>
      </w:r>
      <w:r>
        <w:rPr>
          <w:rFonts w:hint="eastAsia" w:ascii="仿宋_GB2312" w:hAnsi="宋体" w:eastAsia="仿宋_GB2312"/>
          <w:snapToGrid w:val="0"/>
          <w:color w:val="000000"/>
          <w:kern w:val="0"/>
          <w:sz w:val="24"/>
          <w:szCs w:val="24"/>
          <w:lang w:eastAsia="zh-Hans"/>
        </w:rPr>
        <w:t xml:space="preserve">（签字）：   </w:t>
      </w:r>
    </w:p>
    <w:p w14:paraId="3957F0BB">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p>
    <w:p w14:paraId="3556FC45">
      <w:pPr>
        <w:rPr>
          <w:rFonts w:hint="eastAsia" w:ascii="黑体" w:hAnsi="黑体" w:eastAsia="黑体" w:cstheme="minorEastAsia"/>
          <w:sz w:val="28"/>
          <w:szCs w:val="28"/>
        </w:rPr>
        <w:sectPr>
          <w:pgSz w:w="11907" w:h="16840"/>
          <w:pgMar w:top="1304" w:right="1418" w:bottom="1304" w:left="1418" w:header="724" w:footer="851" w:gutter="0"/>
          <w:cols w:space="720" w:num="1"/>
          <w:docGrid w:linePitch="290" w:charSpace="-3931"/>
        </w:sectPr>
      </w:pPr>
    </w:p>
    <w:p w14:paraId="4379F313">
      <w:pPr>
        <w:rPr>
          <w:rFonts w:hint="eastAsia"/>
          <w:highlight w:val="yellow"/>
        </w:rPr>
      </w:pPr>
      <w:r>
        <w:rPr>
          <w:rFonts w:hint="eastAsia" w:ascii="黑体" w:hAnsi="黑体" w:eastAsia="黑体" w:cstheme="minorEastAsia"/>
          <w:sz w:val="28"/>
          <w:szCs w:val="28"/>
        </w:rPr>
        <w:t>附件一：设备清单明细表【作为附件另附】</w:t>
      </w:r>
    </w:p>
    <w:tbl>
      <w:tblPr>
        <w:tblStyle w:val="39"/>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4"/>
        <w:gridCol w:w="756"/>
        <w:gridCol w:w="790"/>
        <w:gridCol w:w="702"/>
        <w:gridCol w:w="1064"/>
        <w:gridCol w:w="1043"/>
        <w:gridCol w:w="976"/>
        <w:gridCol w:w="880"/>
        <w:gridCol w:w="995"/>
        <w:gridCol w:w="679"/>
        <w:gridCol w:w="679"/>
      </w:tblGrid>
      <w:tr w14:paraId="7344B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12" w:type="dxa"/>
            <w:vAlign w:val="center"/>
          </w:tcPr>
          <w:p w14:paraId="558C86B1">
            <w:pPr>
              <w:pStyle w:val="28"/>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序号</w:t>
            </w:r>
          </w:p>
        </w:tc>
        <w:tc>
          <w:tcPr>
            <w:tcW w:w="756" w:type="dxa"/>
            <w:vAlign w:val="center"/>
          </w:tcPr>
          <w:p w14:paraId="37925E3C">
            <w:pPr>
              <w:pStyle w:val="28"/>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产品及部件名称</w:t>
            </w:r>
          </w:p>
        </w:tc>
        <w:tc>
          <w:tcPr>
            <w:tcW w:w="790" w:type="dxa"/>
            <w:vAlign w:val="center"/>
          </w:tcPr>
          <w:p w14:paraId="7F3CB6E9">
            <w:pPr>
              <w:pStyle w:val="28"/>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规格型号及技术参数</w:t>
            </w:r>
          </w:p>
        </w:tc>
        <w:tc>
          <w:tcPr>
            <w:tcW w:w="701" w:type="dxa"/>
            <w:vAlign w:val="center"/>
          </w:tcPr>
          <w:p w14:paraId="19A5F5A7">
            <w:pPr>
              <w:pStyle w:val="28"/>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单位</w:t>
            </w:r>
          </w:p>
        </w:tc>
        <w:tc>
          <w:tcPr>
            <w:tcW w:w="1066" w:type="dxa"/>
            <w:vAlign w:val="center"/>
          </w:tcPr>
          <w:p w14:paraId="666AC8A6">
            <w:pPr>
              <w:pStyle w:val="28"/>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数量</w:t>
            </w:r>
          </w:p>
        </w:tc>
        <w:tc>
          <w:tcPr>
            <w:tcW w:w="1046" w:type="dxa"/>
            <w:vAlign w:val="center"/>
          </w:tcPr>
          <w:p w14:paraId="5D2C0B3B">
            <w:pPr>
              <w:pStyle w:val="28"/>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不含税</w:t>
            </w:r>
          </w:p>
          <w:p w14:paraId="52FE8F9A">
            <w:pPr>
              <w:pStyle w:val="28"/>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单价</w:t>
            </w:r>
          </w:p>
        </w:tc>
        <w:tc>
          <w:tcPr>
            <w:tcW w:w="977" w:type="dxa"/>
            <w:vAlign w:val="center"/>
          </w:tcPr>
          <w:p w14:paraId="4CA9A397">
            <w:pPr>
              <w:pStyle w:val="28"/>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税率</w:t>
            </w:r>
          </w:p>
        </w:tc>
        <w:tc>
          <w:tcPr>
            <w:tcW w:w="881" w:type="dxa"/>
            <w:vAlign w:val="center"/>
          </w:tcPr>
          <w:p w14:paraId="71820C79">
            <w:pPr>
              <w:pStyle w:val="28"/>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税额</w:t>
            </w:r>
          </w:p>
        </w:tc>
        <w:tc>
          <w:tcPr>
            <w:tcW w:w="997" w:type="dxa"/>
            <w:vAlign w:val="center"/>
          </w:tcPr>
          <w:p w14:paraId="272210B8">
            <w:pPr>
              <w:pStyle w:val="28"/>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含税</w:t>
            </w:r>
          </w:p>
          <w:p w14:paraId="78D309B1">
            <w:pPr>
              <w:pStyle w:val="28"/>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单价</w:t>
            </w:r>
          </w:p>
        </w:tc>
        <w:tc>
          <w:tcPr>
            <w:tcW w:w="677" w:type="dxa"/>
            <w:vAlign w:val="center"/>
          </w:tcPr>
          <w:p w14:paraId="720730D1">
            <w:pPr>
              <w:pStyle w:val="28"/>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品牌</w:t>
            </w:r>
          </w:p>
        </w:tc>
        <w:tc>
          <w:tcPr>
            <w:tcW w:w="677" w:type="dxa"/>
            <w:vAlign w:val="center"/>
          </w:tcPr>
          <w:p w14:paraId="33150FF4">
            <w:pPr>
              <w:pStyle w:val="28"/>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其他</w:t>
            </w:r>
          </w:p>
        </w:tc>
      </w:tr>
      <w:tr w14:paraId="189CC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2681829C">
            <w:pPr>
              <w:pStyle w:val="28"/>
              <w:spacing w:line="360" w:lineRule="auto"/>
              <w:jc w:val="center"/>
              <w:rPr>
                <w:rFonts w:hint="eastAsia" w:ascii="仿宋_GB2312" w:eastAsia="仿宋_GB2312" w:hAnsiTheme="minorEastAsia" w:cstheme="minorEastAsia"/>
              </w:rPr>
            </w:pPr>
            <w:r>
              <w:rPr>
                <w:rFonts w:hint="eastAsia" w:ascii="仿宋_GB2312" w:eastAsia="仿宋_GB2312" w:hAnsiTheme="minorEastAsia" w:cstheme="minorEastAsia"/>
              </w:rPr>
              <w:t>1</w:t>
            </w:r>
          </w:p>
        </w:tc>
        <w:tc>
          <w:tcPr>
            <w:tcW w:w="756" w:type="dxa"/>
            <w:vAlign w:val="center"/>
          </w:tcPr>
          <w:p w14:paraId="5861522D">
            <w:pPr>
              <w:pStyle w:val="28"/>
              <w:spacing w:line="360" w:lineRule="auto"/>
              <w:ind w:left="0" w:firstLine="0"/>
              <w:jc w:val="center"/>
              <w:rPr>
                <w:rFonts w:hint="eastAsia" w:ascii="仿宋_GB2312" w:eastAsia="仿宋_GB2312" w:hAnsiTheme="minorEastAsia" w:cstheme="minorEastAsia"/>
              </w:rPr>
            </w:pPr>
          </w:p>
        </w:tc>
        <w:tc>
          <w:tcPr>
            <w:tcW w:w="790" w:type="dxa"/>
            <w:vAlign w:val="center"/>
          </w:tcPr>
          <w:p w14:paraId="432FD360">
            <w:pPr>
              <w:pStyle w:val="28"/>
              <w:spacing w:line="360" w:lineRule="auto"/>
              <w:ind w:left="0" w:firstLine="0"/>
              <w:jc w:val="center"/>
              <w:rPr>
                <w:rFonts w:hint="eastAsia" w:ascii="仿宋_GB2312" w:eastAsia="仿宋_GB2312" w:hAnsiTheme="minorEastAsia" w:cstheme="minorEastAsia"/>
              </w:rPr>
            </w:pPr>
          </w:p>
        </w:tc>
        <w:tc>
          <w:tcPr>
            <w:tcW w:w="701" w:type="dxa"/>
            <w:vAlign w:val="center"/>
          </w:tcPr>
          <w:p w14:paraId="146C95AE">
            <w:pPr>
              <w:pStyle w:val="28"/>
              <w:spacing w:line="360" w:lineRule="auto"/>
              <w:ind w:left="0" w:firstLine="0"/>
              <w:jc w:val="center"/>
              <w:rPr>
                <w:rFonts w:hint="eastAsia" w:ascii="仿宋_GB2312" w:eastAsia="仿宋_GB2312" w:hAnsiTheme="minorEastAsia" w:cstheme="minorEastAsia"/>
              </w:rPr>
            </w:pPr>
          </w:p>
        </w:tc>
        <w:tc>
          <w:tcPr>
            <w:tcW w:w="1066" w:type="dxa"/>
            <w:vAlign w:val="center"/>
          </w:tcPr>
          <w:p w14:paraId="01BE89AE">
            <w:pPr>
              <w:pStyle w:val="28"/>
              <w:spacing w:line="360" w:lineRule="auto"/>
              <w:ind w:left="0" w:firstLine="0"/>
              <w:jc w:val="center"/>
              <w:rPr>
                <w:rFonts w:hint="eastAsia" w:ascii="仿宋_GB2312" w:eastAsia="仿宋_GB2312" w:hAnsiTheme="minorEastAsia" w:cstheme="minorEastAsia"/>
              </w:rPr>
            </w:pPr>
          </w:p>
        </w:tc>
        <w:tc>
          <w:tcPr>
            <w:tcW w:w="1046" w:type="dxa"/>
            <w:vAlign w:val="center"/>
          </w:tcPr>
          <w:p w14:paraId="7631F54F">
            <w:pPr>
              <w:pStyle w:val="28"/>
              <w:spacing w:line="360" w:lineRule="auto"/>
              <w:ind w:left="0" w:firstLine="0"/>
              <w:jc w:val="center"/>
              <w:rPr>
                <w:rFonts w:hint="eastAsia" w:ascii="仿宋_GB2312" w:eastAsia="仿宋_GB2312" w:hAnsiTheme="minorEastAsia" w:cstheme="minorEastAsia"/>
              </w:rPr>
            </w:pPr>
          </w:p>
        </w:tc>
        <w:tc>
          <w:tcPr>
            <w:tcW w:w="977" w:type="dxa"/>
            <w:vAlign w:val="center"/>
          </w:tcPr>
          <w:p w14:paraId="60494C1E">
            <w:pPr>
              <w:pStyle w:val="28"/>
              <w:spacing w:line="360" w:lineRule="auto"/>
              <w:ind w:left="0" w:firstLine="0"/>
              <w:jc w:val="center"/>
              <w:rPr>
                <w:rFonts w:hint="eastAsia" w:ascii="仿宋_GB2312" w:eastAsia="仿宋_GB2312" w:hAnsiTheme="minorEastAsia" w:cstheme="minorEastAsia"/>
              </w:rPr>
            </w:pPr>
          </w:p>
        </w:tc>
        <w:tc>
          <w:tcPr>
            <w:tcW w:w="881" w:type="dxa"/>
            <w:vAlign w:val="center"/>
          </w:tcPr>
          <w:p w14:paraId="651A417C">
            <w:pPr>
              <w:pStyle w:val="28"/>
              <w:spacing w:line="360" w:lineRule="auto"/>
              <w:ind w:left="0" w:firstLine="0"/>
              <w:jc w:val="center"/>
              <w:rPr>
                <w:rFonts w:hint="eastAsia" w:ascii="仿宋_GB2312" w:eastAsia="仿宋_GB2312" w:hAnsiTheme="minorEastAsia" w:cstheme="minorEastAsia"/>
              </w:rPr>
            </w:pPr>
          </w:p>
        </w:tc>
        <w:tc>
          <w:tcPr>
            <w:tcW w:w="997" w:type="dxa"/>
            <w:vAlign w:val="center"/>
          </w:tcPr>
          <w:p w14:paraId="6D17B0DA">
            <w:pPr>
              <w:pStyle w:val="28"/>
              <w:spacing w:line="360" w:lineRule="auto"/>
              <w:ind w:left="0" w:firstLine="0"/>
              <w:jc w:val="center"/>
              <w:rPr>
                <w:rFonts w:hint="eastAsia" w:ascii="仿宋_GB2312" w:eastAsia="仿宋_GB2312" w:hAnsiTheme="minorEastAsia" w:cstheme="minorEastAsia"/>
              </w:rPr>
            </w:pPr>
          </w:p>
        </w:tc>
        <w:tc>
          <w:tcPr>
            <w:tcW w:w="677" w:type="dxa"/>
            <w:vAlign w:val="center"/>
          </w:tcPr>
          <w:p w14:paraId="02E1459D">
            <w:pPr>
              <w:pStyle w:val="28"/>
              <w:spacing w:line="360" w:lineRule="auto"/>
              <w:ind w:left="0" w:firstLine="0"/>
              <w:jc w:val="center"/>
              <w:rPr>
                <w:rFonts w:hint="eastAsia" w:ascii="仿宋_GB2312" w:eastAsia="仿宋_GB2312" w:hAnsiTheme="minorEastAsia" w:cstheme="minorEastAsia"/>
              </w:rPr>
            </w:pPr>
          </w:p>
        </w:tc>
        <w:tc>
          <w:tcPr>
            <w:tcW w:w="677" w:type="dxa"/>
            <w:vAlign w:val="center"/>
          </w:tcPr>
          <w:p w14:paraId="6CD74D60">
            <w:pPr>
              <w:pStyle w:val="28"/>
              <w:spacing w:line="360" w:lineRule="auto"/>
              <w:ind w:left="0" w:firstLine="0"/>
              <w:jc w:val="center"/>
              <w:rPr>
                <w:rFonts w:hint="eastAsia" w:ascii="仿宋_GB2312" w:eastAsia="仿宋_GB2312" w:hAnsiTheme="minorEastAsia" w:cstheme="minorEastAsia"/>
              </w:rPr>
            </w:pPr>
          </w:p>
        </w:tc>
      </w:tr>
      <w:tr w14:paraId="5A5A5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0AB0E884">
            <w:pPr>
              <w:pStyle w:val="28"/>
              <w:spacing w:line="360" w:lineRule="auto"/>
              <w:jc w:val="center"/>
              <w:rPr>
                <w:rFonts w:hint="eastAsia" w:ascii="仿宋_GB2312" w:eastAsia="仿宋_GB2312" w:hAnsiTheme="minorEastAsia" w:cstheme="minorEastAsia"/>
              </w:rPr>
            </w:pPr>
            <w:r>
              <w:rPr>
                <w:rFonts w:hint="eastAsia" w:ascii="仿宋_GB2312" w:eastAsia="仿宋_GB2312" w:hAnsiTheme="minorEastAsia" w:cstheme="minorEastAsia"/>
              </w:rPr>
              <w:t>2</w:t>
            </w:r>
          </w:p>
        </w:tc>
        <w:tc>
          <w:tcPr>
            <w:tcW w:w="756" w:type="dxa"/>
            <w:vAlign w:val="center"/>
          </w:tcPr>
          <w:p w14:paraId="4F0FF587">
            <w:pPr>
              <w:pStyle w:val="28"/>
              <w:spacing w:line="360" w:lineRule="auto"/>
              <w:ind w:left="0" w:firstLine="0"/>
              <w:jc w:val="center"/>
              <w:rPr>
                <w:rFonts w:hint="eastAsia" w:ascii="仿宋_GB2312" w:eastAsia="仿宋_GB2312" w:hAnsiTheme="minorEastAsia" w:cstheme="minorEastAsia"/>
              </w:rPr>
            </w:pPr>
          </w:p>
        </w:tc>
        <w:tc>
          <w:tcPr>
            <w:tcW w:w="790" w:type="dxa"/>
            <w:vAlign w:val="center"/>
          </w:tcPr>
          <w:p w14:paraId="3AD0A02D">
            <w:pPr>
              <w:pStyle w:val="28"/>
              <w:spacing w:line="360" w:lineRule="auto"/>
              <w:ind w:left="0" w:firstLine="0"/>
              <w:jc w:val="center"/>
              <w:rPr>
                <w:rFonts w:hint="eastAsia" w:ascii="仿宋_GB2312" w:eastAsia="仿宋_GB2312" w:hAnsiTheme="minorEastAsia" w:cstheme="minorEastAsia"/>
              </w:rPr>
            </w:pPr>
          </w:p>
        </w:tc>
        <w:tc>
          <w:tcPr>
            <w:tcW w:w="701" w:type="dxa"/>
            <w:vAlign w:val="center"/>
          </w:tcPr>
          <w:p w14:paraId="4185991C">
            <w:pPr>
              <w:pStyle w:val="28"/>
              <w:spacing w:line="360" w:lineRule="auto"/>
              <w:ind w:left="0" w:firstLine="0"/>
              <w:jc w:val="center"/>
              <w:rPr>
                <w:rFonts w:hint="eastAsia" w:ascii="仿宋_GB2312" w:eastAsia="仿宋_GB2312" w:hAnsiTheme="minorEastAsia" w:cstheme="minorEastAsia"/>
              </w:rPr>
            </w:pPr>
          </w:p>
        </w:tc>
        <w:tc>
          <w:tcPr>
            <w:tcW w:w="1066" w:type="dxa"/>
            <w:vAlign w:val="center"/>
          </w:tcPr>
          <w:p w14:paraId="1FE5F0EE">
            <w:pPr>
              <w:pStyle w:val="28"/>
              <w:spacing w:line="360" w:lineRule="auto"/>
              <w:ind w:left="0" w:firstLine="0"/>
              <w:jc w:val="center"/>
              <w:rPr>
                <w:rFonts w:hint="eastAsia" w:ascii="仿宋_GB2312" w:eastAsia="仿宋_GB2312" w:hAnsiTheme="minorEastAsia" w:cstheme="minorEastAsia"/>
              </w:rPr>
            </w:pPr>
          </w:p>
        </w:tc>
        <w:tc>
          <w:tcPr>
            <w:tcW w:w="1046" w:type="dxa"/>
            <w:vAlign w:val="center"/>
          </w:tcPr>
          <w:p w14:paraId="4B5B222D">
            <w:pPr>
              <w:pStyle w:val="28"/>
              <w:spacing w:line="360" w:lineRule="auto"/>
              <w:ind w:left="0" w:firstLine="0"/>
              <w:jc w:val="center"/>
              <w:rPr>
                <w:rFonts w:hint="eastAsia" w:ascii="仿宋_GB2312" w:eastAsia="仿宋_GB2312" w:hAnsiTheme="minorEastAsia" w:cstheme="minorEastAsia"/>
              </w:rPr>
            </w:pPr>
          </w:p>
        </w:tc>
        <w:tc>
          <w:tcPr>
            <w:tcW w:w="977" w:type="dxa"/>
            <w:vAlign w:val="center"/>
          </w:tcPr>
          <w:p w14:paraId="54E7352A">
            <w:pPr>
              <w:pStyle w:val="28"/>
              <w:spacing w:line="360" w:lineRule="auto"/>
              <w:ind w:left="0" w:firstLine="0"/>
              <w:jc w:val="center"/>
              <w:rPr>
                <w:rFonts w:hint="eastAsia" w:ascii="仿宋_GB2312" w:eastAsia="仿宋_GB2312" w:hAnsiTheme="minorEastAsia" w:cstheme="minorEastAsia"/>
              </w:rPr>
            </w:pPr>
          </w:p>
        </w:tc>
        <w:tc>
          <w:tcPr>
            <w:tcW w:w="881" w:type="dxa"/>
            <w:vAlign w:val="center"/>
          </w:tcPr>
          <w:p w14:paraId="2CF5BE82">
            <w:pPr>
              <w:pStyle w:val="28"/>
              <w:spacing w:line="360" w:lineRule="auto"/>
              <w:ind w:left="0" w:firstLine="0"/>
              <w:jc w:val="center"/>
              <w:rPr>
                <w:rFonts w:hint="eastAsia" w:ascii="仿宋_GB2312" w:eastAsia="仿宋_GB2312" w:hAnsiTheme="minorEastAsia" w:cstheme="minorEastAsia"/>
              </w:rPr>
            </w:pPr>
          </w:p>
        </w:tc>
        <w:tc>
          <w:tcPr>
            <w:tcW w:w="997" w:type="dxa"/>
            <w:vAlign w:val="center"/>
          </w:tcPr>
          <w:p w14:paraId="0226F892">
            <w:pPr>
              <w:pStyle w:val="28"/>
              <w:spacing w:line="360" w:lineRule="auto"/>
              <w:ind w:left="0" w:firstLine="0"/>
              <w:jc w:val="center"/>
              <w:rPr>
                <w:rFonts w:hint="eastAsia" w:ascii="仿宋_GB2312" w:eastAsia="仿宋_GB2312" w:hAnsiTheme="minorEastAsia" w:cstheme="minorEastAsia"/>
              </w:rPr>
            </w:pPr>
          </w:p>
        </w:tc>
        <w:tc>
          <w:tcPr>
            <w:tcW w:w="677" w:type="dxa"/>
            <w:vAlign w:val="center"/>
          </w:tcPr>
          <w:p w14:paraId="74D715AE">
            <w:pPr>
              <w:pStyle w:val="28"/>
              <w:spacing w:line="360" w:lineRule="auto"/>
              <w:ind w:left="0" w:firstLine="0"/>
              <w:jc w:val="center"/>
              <w:rPr>
                <w:rFonts w:hint="eastAsia" w:ascii="仿宋_GB2312" w:eastAsia="仿宋_GB2312" w:hAnsiTheme="minorEastAsia" w:cstheme="minorEastAsia"/>
              </w:rPr>
            </w:pPr>
          </w:p>
        </w:tc>
        <w:tc>
          <w:tcPr>
            <w:tcW w:w="677" w:type="dxa"/>
            <w:vAlign w:val="center"/>
          </w:tcPr>
          <w:p w14:paraId="1810672F">
            <w:pPr>
              <w:pStyle w:val="28"/>
              <w:spacing w:line="360" w:lineRule="auto"/>
              <w:ind w:left="0" w:firstLine="0"/>
              <w:jc w:val="center"/>
              <w:rPr>
                <w:rFonts w:hint="eastAsia" w:ascii="仿宋_GB2312" w:eastAsia="仿宋_GB2312" w:hAnsiTheme="minorEastAsia" w:cstheme="minorEastAsia"/>
              </w:rPr>
            </w:pPr>
          </w:p>
        </w:tc>
      </w:tr>
      <w:tr w14:paraId="30318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7E495144">
            <w:pPr>
              <w:pStyle w:val="28"/>
              <w:spacing w:line="360" w:lineRule="auto"/>
              <w:jc w:val="center"/>
              <w:rPr>
                <w:rFonts w:hint="eastAsia" w:ascii="仿宋_GB2312" w:eastAsia="仿宋_GB2312" w:hAnsiTheme="minorEastAsia" w:cstheme="minorEastAsia"/>
              </w:rPr>
            </w:pPr>
            <w:r>
              <w:rPr>
                <w:rFonts w:hint="eastAsia" w:ascii="仿宋_GB2312" w:eastAsia="仿宋_GB2312" w:hAnsiTheme="minorEastAsia" w:cstheme="minorEastAsia"/>
              </w:rPr>
              <w:t>…</w:t>
            </w:r>
          </w:p>
        </w:tc>
        <w:tc>
          <w:tcPr>
            <w:tcW w:w="756" w:type="dxa"/>
            <w:vAlign w:val="center"/>
          </w:tcPr>
          <w:p w14:paraId="19771EC6">
            <w:pPr>
              <w:pStyle w:val="28"/>
              <w:spacing w:line="360" w:lineRule="auto"/>
              <w:ind w:left="0" w:firstLine="0"/>
              <w:jc w:val="center"/>
              <w:rPr>
                <w:rFonts w:hint="eastAsia" w:ascii="仿宋_GB2312" w:eastAsia="仿宋_GB2312" w:hAnsiTheme="minorEastAsia" w:cstheme="minorEastAsia"/>
              </w:rPr>
            </w:pPr>
          </w:p>
        </w:tc>
        <w:tc>
          <w:tcPr>
            <w:tcW w:w="790" w:type="dxa"/>
            <w:vAlign w:val="center"/>
          </w:tcPr>
          <w:p w14:paraId="390EE2C9">
            <w:pPr>
              <w:pStyle w:val="28"/>
              <w:spacing w:line="360" w:lineRule="auto"/>
              <w:ind w:left="0" w:firstLine="0"/>
              <w:jc w:val="center"/>
              <w:rPr>
                <w:rFonts w:hint="eastAsia" w:ascii="仿宋_GB2312" w:eastAsia="仿宋_GB2312" w:hAnsiTheme="minorEastAsia" w:cstheme="minorEastAsia"/>
              </w:rPr>
            </w:pPr>
          </w:p>
        </w:tc>
        <w:tc>
          <w:tcPr>
            <w:tcW w:w="701" w:type="dxa"/>
            <w:vAlign w:val="center"/>
          </w:tcPr>
          <w:p w14:paraId="743E0BA4">
            <w:pPr>
              <w:pStyle w:val="28"/>
              <w:spacing w:line="360" w:lineRule="auto"/>
              <w:ind w:left="0" w:firstLine="0"/>
              <w:jc w:val="center"/>
              <w:rPr>
                <w:rFonts w:hint="eastAsia" w:ascii="仿宋_GB2312" w:eastAsia="仿宋_GB2312" w:hAnsiTheme="minorEastAsia" w:cstheme="minorEastAsia"/>
              </w:rPr>
            </w:pPr>
          </w:p>
        </w:tc>
        <w:tc>
          <w:tcPr>
            <w:tcW w:w="1066" w:type="dxa"/>
            <w:vAlign w:val="center"/>
          </w:tcPr>
          <w:p w14:paraId="12FD734F">
            <w:pPr>
              <w:pStyle w:val="28"/>
              <w:spacing w:line="360" w:lineRule="auto"/>
              <w:ind w:left="0" w:firstLine="0"/>
              <w:jc w:val="center"/>
              <w:rPr>
                <w:rFonts w:hint="eastAsia" w:ascii="仿宋_GB2312" w:eastAsia="仿宋_GB2312" w:hAnsiTheme="minorEastAsia" w:cstheme="minorEastAsia"/>
              </w:rPr>
            </w:pPr>
          </w:p>
        </w:tc>
        <w:tc>
          <w:tcPr>
            <w:tcW w:w="1046" w:type="dxa"/>
            <w:vAlign w:val="center"/>
          </w:tcPr>
          <w:p w14:paraId="155AC08C">
            <w:pPr>
              <w:pStyle w:val="28"/>
              <w:spacing w:line="360" w:lineRule="auto"/>
              <w:ind w:left="0" w:firstLine="0"/>
              <w:jc w:val="center"/>
              <w:rPr>
                <w:rFonts w:hint="eastAsia" w:ascii="仿宋_GB2312" w:eastAsia="仿宋_GB2312" w:hAnsiTheme="minorEastAsia" w:cstheme="minorEastAsia"/>
              </w:rPr>
            </w:pPr>
          </w:p>
        </w:tc>
        <w:tc>
          <w:tcPr>
            <w:tcW w:w="977" w:type="dxa"/>
            <w:vAlign w:val="center"/>
          </w:tcPr>
          <w:p w14:paraId="20C68821">
            <w:pPr>
              <w:pStyle w:val="28"/>
              <w:spacing w:line="360" w:lineRule="auto"/>
              <w:ind w:left="0" w:firstLine="0"/>
              <w:jc w:val="center"/>
              <w:rPr>
                <w:rFonts w:hint="eastAsia" w:ascii="仿宋_GB2312" w:eastAsia="仿宋_GB2312" w:hAnsiTheme="minorEastAsia" w:cstheme="minorEastAsia"/>
              </w:rPr>
            </w:pPr>
          </w:p>
        </w:tc>
        <w:tc>
          <w:tcPr>
            <w:tcW w:w="881" w:type="dxa"/>
            <w:vAlign w:val="center"/>
          </w:tcPr>
          <w:p w14:paraId="2AC0C3FD">
            <w:pPr>
              <w:pStyle w:val="28"/>
              <w:spacing w:line="360" w:lineRule="auto"/>
              <w:ind w:left="0" w:firstLine="0"/>
              <w:jc w:val="center"/>
              <w:rPr>
                <w:rFonts w:hint="eastAsia" w:ascii="仿宋_GB2312" w:eastAsia="仿宋_GB2312" w:hAnsiTheme="minorEastAsia" w:cstheme="minorEastAsia"/>
              </w:rPr>
            </w:pPr>
          </w:p>
        </w:tc>
        <w:tc>
          <w:tcPr>
            <w:tcW w:w="997" w:type="dxa"/>
            <w:vAlign w:val="center"/>
          </w:tcPr>
          <w:p w14:paraId="0DAA1F36">
            <w:pPr>
              <w:pStyle w:val="28"/>
              <w:spacing w:line="360" w:lineRule="auto"/>
              <w:ind w:left="0" w:firstLine="0"/>
              <w:jc w:val="center"/>
              <w:rPr>
                <w:rFonts w:hint="eastAsia" w:ascii="仿宋_GB2312" w:eastAsia="仿宋_GB2312" w:hAnsiTheme="minorEastAsia" w:cstheme="minorEastAsia"/>
              </w:rPr>
            </w:pPr>
          </w:p>
        </w:tc>
        <w:tc>
          <w:tcPr>
            <w:tcW w:w="677" w:type="dxa"/>
            <w:vAlign w:val="center"/>
          </w:tcPr>
          <w:p w14:paraId="1A05BFD2">
            <w:pPr>
              <w:pStyle w:val="28"/>
              <w:spacing w:line="360" w:lineRule="auto"/>
              <w:ind w:left="0" w:firstLine="0"/>
              <w:jc w:val="center"/>
              <w:rPr>
                <w:rFonts w:hint="eastAsia" w:ascii="仿宋_GB2312" w:eastAsia="仿宋_GB2312" w:hAnsiTheme="minorEastAsia" w:cstheme="minorEastAsia"/>
              </w:rPr>
            </w:pPr>
          </w:p>
        </w:tc>
        <w:tc>
          <w:tcPr>
            <w:tcW w:w="677" w:type="dxa"/>
            <w:vAlign w:val="center"/>
          </w:tcPr>
          <w:p w14:paraId="64BACAA1">
            <w:pPr>
              <w:pStyle w:val="28"/>
              <w:spacing w:line="360" w:lineRule="auto"/>
              <w:ind w:left="0" w:firstLine="0"/>
              <w:jc w:val="center"/>
              <w:rPr>
                <w:rFonts w:hint="eastAsia" w:ascii="仿宋_GB2312" w:eastAsia="仿宋_GB2312" w:hAnsiTheme="minorEastAsia" w:cstheme="minorEastAsia"/>
              </w:rPr>
            </w:pPr>
          </w:p>
        </w:tc>
      </w:tr>
      <w:tr w14:paraId="1795F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08FC20C2">
            <w:pPr>
              <w:pStyle w:val="28"/>
              <w:spacing w:line="360" w:lineRule="auto"/>
              <w:jc w:val="center"/>
              <w:rPr>
                <w:rFonts w:hint="eastAsia" w:ascii="仿宋_GB2312" w:eastAsia="仿宋_GB2312" w:hAnsiTheme="minorEastAsia" w:cstheme="minorEastAsia"/>
              </w:rPr>
            </w:pPr>
            <w:r>
              <w:rPr>
                <w:rFonts w:hint="eastAsia" w:ascii="仿宋_GB2312" w:eastAsia="仿宋_GB2312" w:hAnsiTheme="minorEastAsia" w:cstheme="minorEastAsia"/>
              </w:rPr>
              <w:t>合计</w:t>
            </w:r>
          </w:p>
        </w:tc>
        <w:tc>
          <w:tcPr>
            <w:tcW w:w="756" w:type="dxa"/>
            <w:vAlign w:val="center"/>
          </w:tcPr>
          <w:p w14:paraId="16AD0C14">
            <w:pPr>
              <w:pStyle w:val="28"/>
              <w:spacing w:line="360" w:lineRule="auto"/>
              <w:ind w:left="0" w:firstLine="0"/>
              <w:jc w:val="center"/>
              <w:rPr>
                <w:rFonts w:hint="eastAsia" w:ascii="仿宋_GB2312" w:eastAsia="仿宋_GB2312" w:hAnsiTheme="minorEastAsia" w:cstheme="minorEastAsia"/>
              </w:rPr>
            </w:pPr>
          </w:p>
        </w:tc>
        <w:tc>
          <w:tcPr>
            <w:tcW w:w="790" w:type="dxa"/>
            <w:vAlign w:val="center"/>
          </w:tcPr>
          <w:p w14:paraId="008CCD2F">
            <w:pPr>
              <w:pStyle w:val="28"/>
              <w:spacing w:line="360" w:lineRule="auto"/>
              <w:ind w:left="0" w:firstLine="0"/>
              <w:jc w:val="center"/>
              <w:rPr>
                <w:rFonts w:hint="eastAsia" w:ascii="仿宋_GB2312" w:eastAsia="仿宋_GB2312" w:hAnsiTheme="minorEastAsia" w:cstheme="minorEastAsia"/>
              </w:rPr>
            </w:pPr>
          </w:p>
        </w:tc>
        <w:tc>
          <w:tcPr>
            <w:tcW w:w="701" w:type="dxa"/>
            <w:vAlign w:val="center"/>
          </w:tcPr>
          <w:p w14:paraId="0A1431D5">
            <w:pPr>
              <w:pStyle w:val="28"/>
              <w:spacing w:line="360" w:lineRule="auto"/>
              <w:ind w:left="0" w:firstLine="0"/>
              <w:jc w:val="center"/>
              <w:rPr>
                <w:rFonts w:hint="eastAsia" w:ascii="仿宋_GB2312" w:eastAsia="仿宋_GB2312" w:hAnsiTheme="minorEastAsia" w:cstheme="minorEastAsia"/>
              </w:rPr>
            </w:pPr>
          </w:p>
        </w:tc>
        <w:tc>
          <w:tcPr>
            <w:tcW w:w="1066" w:type="dxa"/>
            <w:vAlign w:val="center"/>
          </w:tcPr>
          <w:p w14:paraId="20A86DD9">
            <w:pPr>
              <w:pStyle w:val="28"/>
              <w:spacing w:line="360" w:lineRule="auto"/>
              <w:ind w:left="0" w:firstLine="0"/>
              <w:jc w:val="center"/>
              <w:rPr>
                <w:rFonts w:hint="eastAsia" w:ascii="仿宋_GB2312" w:eastAsia="仿宋_GB2312" w:hAnsiTheme="minorEastAsia" w:cstheme="minorEastAsia"/>
              </w:rPr>
            </w:pPr>
          </w:p>
        </w:tc>
        <w:tc>
          <w:tcPr>
            <w:tcW w:w="1046" w:type="dxa"/>
            <w:vAlign w:val="center"/>
          </w:tcPr>
          <w:p w14:paraId="4EB327B1">
            <w:pPr>
              <w:spacing w:line="360" w:lineRule="auto"/>
              <w:jc w:val="center"/>
              <w:rPr>
                <w:rFonts w:hint="eastAsia" w:ascii="仿宋_GB2312" w:eastAsia="仿宋_GB2312" w:hAnsiTheme="minorEastAsia" w:cstheme="minorEastAsia"/>
              </w:rPr>
            </w:pPr>
          </w:p>
        </w:tc>
        <w:tc>
          <w:tcPr>
            <w:tcW w:w="977" w:type="dxa"/>
            <w:vAlign w:val="center"/>
          </w:tcPr>
          <w:p w14:paraId="143287D7">
            <w:pPr>
              <w:spacing w:line="360" w:lineRule="auto"/>
              <w:jc w:val="center"/>
              <w:rPr>
                <w:rFonts w:hint="eastAsia" w:ascii="仿宋_GB2312" w:eastAsia="仿宋_GB2312" w:hAnsiTheme="minorEastAsia" w:cstheme="minorEastAsia"/>
              </w:rPr>
            </w:pPr>
          </w:p>
        </w:tc>
        <w:tc>
          <w:tcPr>
            <w:tcW w:w="881" w:type="dxa"/>
            <w:vAlign w:val="center"/>
          </w:tcPr>
          <w:p w14:paraId="1969C387">
            <w:pPr>
              <w:spacing w:line="360" w:lineRule="auto"/>
              <w:jc w:val="center"/>
              <w:rPr>
                <w:rFonts w:hint="eastAsia" w:ascii="仿宋_GB2312" w:eastAsia="仿宋_GB2312" w:hAnsiTheme="minorEastAsia" w:cstheme="minorEastAsia"/>
              </w:rPr>
            </w:pPr>
          </w:p>
        </w:tc>
        <w:tc>
          <w:tcPr>
            <w:tcW w:w="997" w:type="dxa"/>
            <w:vAlign w:val="center"/>
          </w:tcPr>
          <w:p w14:paraId="6E188907">
            <w:pPr>
              <w:spacing w:line="360" w:lineRule="auto"/>
              <w:jc w:val="center"/>
              <w:rPr>
                <w:rFonts w:hint="eastAsia" w:ascii="仿宋_GB2312" w:eastAsia="仿宋_GB2312" w:hAnsiTheme="minorEastAsia" w:cstheme="minorEastAsia"/>
              </w:rPr>
            </w:pPr>
          </w:p>
        </w:tc>
        <w:tc>
          <w:tcPr>
            <w:tcW w:w="677" w:type="dxa"/>
            <w:vAlign w:val="center"/>
          </w:tcPr>
          <w:p w14:paraId="6687274E">
            <w:pPr>
              <w:spacing w:line="360" w:lineRule="auto"/>
              <w:jc w:val="center"/>
              <w:rPr>
                <w:rFonts w:hint="eastAsia" w:ascii="仿宋_GB2312" w:eastAsia="仿宋_GB2312" w:hAnsiTheme="minorEastAsia" w:cstheme="minorEastAsia"/>
              </w:rPr>
            </w:pPr>
          </w:p>
        </w:tc>
        <w:tc>
          <w:tcPr>
            <w:tcW w:w="677" w:type="dxa"/>
            <w:vAlign w:val="center"/>
          </w:tcPr>
          <w:p w14:paraId="3AAA5F60">
            <w:pPr>
              <w:spacing w:line="360" w:lineRule="auto"/>
              <w:jc w:val="center"/>
              <w:rPr>
                <w:rFonts w:hint="eastAsia" w:ascii="仿宋_GB2312" w:eastAsia="仿宋_GB2312" w:hAnsiTheme="minorEastAsia" w:cstheme="minorEastAsia"/>
              </w:rPr>
            </w:pPr>
          </w:p>
        </w:tc>
      </w:tr>
      <w:bookmarkEnd w:id="43"/>
    </w:tbl>
    <w:p w14:paraId="7A337F79">
      <w:pPr>
        <w:pStyle w:val="3"/>
        <w:tabs>
          <w:tab w:val="right" w:leader="dot" w:pos="9061"/>
        </w:tabs>
        <w:ind w:left="0"/>
        <w:jc w:val="both"/>
        <w:rPr>
          <w:rFonts w:hint="eastAsia" w:asciiTheme="minorEastAsia" w:hAnsiTheme="minorEastAsia" w:eastAsiaTheme="minorEastAsia" w:cstheme="minorEastAsia"/>
          <w:sz w:val="20"/>
        </w:rPr>
      </w:pPr>
    </w:p>
    <w:p w14:paraId="6FDC03E4">
      <w:pPr>
        <w:rPr>
          <w:rFonts w:hint="eastAsia" w:asciiTheme="minorEastAsia" w:hAnsiTheme="minorEastAsia" w:cstheme="minorEastAsia"/>
          <w:sz w:val="20"/>
        </w:rPr>
      </w:pPr>
    </w:p>
    <w:p w14:paraId="7EA3DCBA">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5DEE8508">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14:paraId="73EF3062">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6F14AABD">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14:paraId="55C125A4">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0CA58CEA">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1C982E61">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45D14762">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14:paraId="3190B8A2">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14:paraId="5D8C4851">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14:paraId="54B9055A">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p>
    <w:p w14:paraId="03735048">
      <w:pPr>
        <w:widowControl/>
        <w:adjustRightInd w:val="0"/>
        <w:snapToGrid w:val="0"/>
        <w:spacing w:line="360" w:lineRule="auto"/>
        <w:jc w:val="left"/>
        <w:rPr>
          <w:rFonts w:hint="eastAsia" w:ascii="仿宋_GB2312" w:hAnsi="仿宋_GB2312" w:eastAsia="仿宋_GB2312" w:cs="仿宋_GB2312"/>
          <w:snapToGrid w:val="0"/>
          <w:color w:val="000000"/>
          <w:kern w:val="0"/>
          <w:sz w:val="24"/>
          <w:szCs w:val="24"/>
          <w:lang w:eastAsia="zh-Hans"/>
        </w:rPr>
      </w:pPr>
    </w:p>
    <w:p w14:paraId="3AC18792">
      <w:pPr>
        <w:rPr>
          <w:rFonts w:hint="eastAsia" w:ascii="黑体" w:hAnsi="黑体" w:eastAsia="黑体" w:cstheme="minorEastAsia"/>
          <w:sz w:val="28"/>
          <w:szCs w:val="28"/>
        </w:rPr>
      </w:pPr>
      <w:r>
        <w:rPr>
          <w:rFonts w:hint="eastAsia" w:ascii="黑体" w:hAnsi="黑体" w:eastAsia="黑体" w:cstheme="minorEastAsia"/>
          <w:sz w:val="28"/>
          <w:szCs w:val="28"/>
        </w:rPr>
        <w:t>附件二 技术协议书</w:t>
      </w:r>
    </w:p>
    <w:p w14:paraId="46CB626F">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14:paraId="33B94D16">
      <w:pPr>
        <w:wordWrap w:val="0"/>
        <w:ind w:right="480"/>
        <w:rPr>
          <w:rFonts w:hint="eastAsia" w:asciiTheme="minorEastAsia" w:hAnsiTheme="minorEastAsia" w:cstheme="minorEastAsia"/>
          <w:sz w:val="20"/>
          <w:szCs w:val="20"/>
        </w:rPr>
      </w:pPr>
    </w:p>
    <w:p w14:paraId="65FC92C5">
      <w:pPr>
        <w:jc w:val="right"/>
        <w:rPr>
          <w:rFonts w:hint="eastAsia" w:ascii="楷体_GB2312" w:hAnsi="宋体" w:eastAsia="楷体_GB2312"/>
          <w:sz w:val="24"/>
        </w:rPr>
      </w:pPr>
      <w:bookmarkStart w:id="117" w:name="_Toc14341849"/>
    </w:p>
    <w:p w14:paraId="46F2F83F">
      <w:pPr>
        <w:ind w:right="480"/>
        <w:jc w:val="center"/>
        <w:rPr>
          <w:rFonts w:hint="eastAsia"/>
          <w:sz w:val="24"/>
          <w:szCs w:val="24"/>
        </w:rPr>
      </w:pPr>
      <w:r>
        <w:rPr>
          <w:rFonts w:hint="eastAsia" w:ascii="楷体_GB2312" w:hAnsi="宋体" w:eastAsia="楷体_GB2312"/>
          <w:sz w:val="24"/>
        </w:rPr>
        <w:t xml:space="preserve">                                    </w:t>
      </w:r>
    </w:p>
    <w:bookmarkEnd w:id="117"/>
    <w:p w14:paraId="4FD1A6CC">
      <w:pPr>
        <w:rPr>
          <w:rFonts w:hint="eastAsia" w:ascii="方正小标宋简体" w:hAnsi="方正小标宋简体" w:eastAsia="方正小标宋简体" w:cs="方正小标宋简体"/>
          <w:sz w:val="40"/>
          <w:szCs w:val="21"/>
        </w:rPr>
        <w:sectPr>
          <w:footerReference r:id="rId18" w:type="first"/>
          <w:headerReference r:id="rId16" w:type="default"/>
          <w:footerReference r:id="rId17" w:type="default"/>
          <w:pgSz w:w="11906" w:h="16838"/>
          <w:pgMar w:top="1588" w:right="1418" w:bottom="1134" w:left="1418" w:header="851" w:footer="992" w:gutter="0"/>
          <w:cols w:space="720" w:num="1"/>
          <w:titlePg/>
          <w:docGrid w:type="lines" w:linePitch="312" w:charSpace="0"/>
        </w:sectPr>
      </w:pPr>
    </w:p>
    <w:p w14:paraId="044B9B0E">
      <w:pPr>
        <w:spacing w:before="118"/>
        <w:ind w:right="2435"/>
        <w:jc w:val="center"/>
        <w:rPr>
          <w:rFonts w:hint="eastAsia" w:ascii="楷体" w:hAnsi="楷体" w:eastAsia="楷体" w:cs="楷体"/>
          <w:sz w:val="40"/>
          <w:szCs w:val="21"/>
        </w:rPr>
      </w:pPr>
      <w:r>
        <w:rPr>
          <w:rFonts w:hint="eastAsia" w:ascii="方正小标宋简体" w:hAnsi="方正小标宋简体" w:eastAsia="方正小标宋简体" w:cs="方正小标宋简体"/>
          <w:sz w:val="40"/>
          <w:szCs w:val="21"/>
        </w:rPr>
        <w:t xml:space="preserve">          廉洁诚信协议</w:t>
      </w:r>
    </w:p>
    <w:p w14:paraId="02A9FABD">
      <w:pPr>
        <w:pStyle w:val="14"/>
        <w:spacing w:before="8" w:after="156"/>
        <w:rPr>
          <w:rFonts w:hint="eastAsia" w:ascii="楷体" w:hAnsi="楷体" w:eastAsia="楷体" w:cs="楷体"/>
          <w:sz w:val="44"/>
          <w:szCs w:val="28"/>
        </w:rPr>
      </w:pPr>
    </w:p>
    <w:p w14:paraId="06F691E5">
      <w:pPr>
        <w:spacing w:line="607" w:lineRule="auto"/>
        <w:ind w:left="117" w:right="3769"/>
        <w:rPr>
          <w:rFonts w:hint="eastAsia" w:ascii="楷体" w:hAnsi="楷体" w:eastAsia="楷体" w:cs="楷体"/>
          <w:b/>
          <w:sz w:val="28"/>
          <w:szCs w:val="21"/>
        </w:rPr>
      </w:pPr>
      <w:r>
        <w:rPr>
          <w:rFonts w:hint="eastAsia" w:ascii="楷体" w:hAnsi="楷体" w:eastAsia="楷体" w:cs="楷体"/>
          <w:b/>
          <w:sz w:val="28"/>
          <w:szCs w:val="21"/>
        </w:rPr>
        <w:t>甲方：</w:t>
      </w:r>
    </w:p>
    <w:p w14:paraId="69D9E2ED">
      <w:pPr>
        <w:spacing w:line="607" w:lineRule="auto"/>
        <w:ind w:left="117" w:right="3769"/>
        <w:rPr>
          <w:rFonts w:hint="eastAsia" w:ascii="楷体" w:hAnsi="楷体" w:eastAsia="楷体" w:cs="楷体"/>
          <w:b/>
          <w:sz w:val="28"/>
          <w:szCs w:val="21"/>
        </w:rPr>
      </w:pPr>
      <w:r>
        <w:rPr>
          <w:rFonts w:hint="eastAsia" w:ascii="楷体" w:hAnsi="楷体" w:eastAsia="楷体" w:cs="楷体"/>
          <w:b/>
          <w:sz w:val="28"/>
          <w:szCs w:val="21"/>
        </w:rPr>
        <w:t>乙方：</w:t>
      </w:r>
    </w:p>
    <w:p w14:paraId="544242D3">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72E026E4">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3DDE5B67">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3A952357">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w:t>
      </w:r>
      <w:r>
        <w:rPr>
          <w:rFonts w:hint="eastAsia" w:ascii="楷体" w:hAnsi="楷体" w:eastAsia="楷体" w:cs="楷体"/>
          <w:spacing w:val="-2"/>
          <w:sz w:val="28"/>
          <w:szCs w:val="28"/>
        </w:rPr>
        <w:t>检</w:t>
      </w:r>
      <w:r>
        <w:rPr>
          <w:rFonts w:ascii="楷体" w:hAnsi="楷体" w:eastAsia="楷体" w:cs="楷体"/>
          <w:spacing w:val="-2"/>
          <w:sz w:val="28"/>
          <w:szCs w:val="28"/>
        </w:rPr>
        <w:t>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14:paraId="0932D5DA">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14:paraId="021751FF">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14:paraId="635261A9">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14:paraId="7620D7FA">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14:paraId="178892A4">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14:paraId="49367878">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14:paraId="0BBD9669">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343E0137">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14:paraId="6AF4B26B">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14:paraId="41C1F8F5">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77BE7F12">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w:t>
      </w:r>
      <w:r>
        <w:rPr>
          <w:rFonts w:hint="eastAsia" w:ascii="楷体" w:hAnsi="楷体" w:eastAsia="楷体" w:cs="楷体"/>
          <w:spacing w:val="-2"/>
          <w:sz w:val="28"/>
          <w:szCs w:val="28"/>
        </w:rPr>
        <w:t>检</w:t>
      </w:r>
      <w:r>
        <w:rPr>
          <w:rFonts w:ascii="楷体" w:hAnsi="楷体" w:eastAsia="楷体" w:cs="楷体"/>
          <w:spacing w:val="-2"/>
          <w:sz w:val="28"/>
          <w:szCs w:val="28"/>
        </w:rPr>
        <w:t>监察部门举报（举报电话：0531-58062233，举报邮箱：zgzqjw@sinotruk.com）。甲方不得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10984C55">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w:t>
      </w:r>
      <w:r>
        <w:rPr>
          <w:rFonts w:hint="eastAsia" w:ascii="楷体" w:hAnsi="楷体" w:eastAsia="楷体" w:cs="楷体"/>
          <w:spacing w:val="-2"/>
          <w:sz w:val="28"/>
          <w:szCs w:val="28"/>
        </w:rPr>
        <w:t>检</w:t>
      </w:r>
      <w:r>
        <w:rPr>
          <w:rFonts w:ascii="楷体" w:hAnsi="楷体" w:eastAsia="楷体" w:cs="楷体"/>
          <w:spacing w:val="-2"/>
          <w:sz w:val="28"/>
          <w:szCs w:val="28"/>
        </w:rPr>
        <w:t>监察部门检举并提供证据。</w:t>
      </w:r>
    </w:p>
    <w:p w14:paraId="7D176074">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4D6483F4">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176F5910">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323A65F2">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14:paraId="07EECC02">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4EBFDD99">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13.</w:t>
      </w:r>
      <w:r>
        <w:rPr>
          <w:rFonts w:hint="eastAsia" w:ascii="楷体" w:hAnsi="楷体" w:eastAsia="楷体" w:cs="楷体"/>
          <w:spacing w:val="-2"/>
          <w:sz w:val="28"/>
          <w:szCs w:val="2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787611EA">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55F9E5E6">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7E720154">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400F213F">
      <w:pPr>
        <w:pStyle w:val="14"/>
        <w:spacing w:before="9" w:after="156"/>
        <w:rPr>
          <w:rFonts w:hint="eastAsia" w:ascii="楷体" w:hAnsi="楷体" w:eastAsia="楷体" w:cs="楷体"/>
          <w:sz w:val="40"/>
          <w:szCs w:val="28"/>
        </w:rPr>
      </w:pPr>
    </w:p>
    <w:p w14:paraId="38DCF970">
      <w:pPr>
        <w:pStyle w:val="14"/>
        <w:spacing w:before="9" w:after="156"/>
        <w:rPr>
          <w:rFonts w:hint="eastAsia" w:ascii="楷体" w:hAnsi="楷体" w:eastAsia="楷体" w:cs="楷体"/>
          <w:sz w:val="40"/>
          <w:szCs w:val="28"/>
        </w:rPr>
      </w:pPr>
    </w:p>
    <w:p w14:paraId="77BD8434">
      <w:pPr>
        <w:tabs>
          <w:tab w:val="left" w:pos="5457"/>
        </w:tabs>
        <w:spacing w:before="1"/>
        <w:ind w:left="117"/>
        <w:rPr>
          <w:rFonts w:hint="eastAsia"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3B5656DE">
      <w:pPr>
        <w:pStyle w:val="14"/>
        <w:spacing w:after="156"/>
        <w:rPr>
          <w:rFonts w:hint="eastAsia" w:ascii="楷体" w:hAnsi="楷体" w:eastAsia="楷体" w:cs="楷体"/>
          <w:b/>
          <w:sz w:val="24"/>
          <w:szCs w:val="28"/>
        </w:rPr>
      </w:pPr>
    </w:p>
    <w:p w14:paraId="4ED6F0EE">
      <w:pPr>
        <w:pStyle w:val="14"/>
        <w:spacing w:after="156"/>
        <w:rPr>
          <w:rFonts w:hint="eastAsia" w:ascii="楷体" w:hAnsi="楷体" w:eastAsia="楷体" w:cs="楷体"/>
          <w:b/>
          <w:sz w:val="24"/>
          <w:szCs w:val="28"/>
        </w:rPr>
      </w:pPr>
    </w:p>
    <w:p w14:paraId="5F913C32">
      <w:pPr>
        <w:pStyle w:val="14"/>
        <w:spacing w:after="156"/>
        <w:rPr>
          <w:rFonts w:hint="eastAsia" w:ascii="楷体" w:hAnsi="楷体" w:eastAsia="楷体" w:cs="楷体"/>
          <w:b/>
          <w:sz w:val="24"/>
          <w:szCs w:val="28"/>
        </w:rPr>
      </w:pPr>
    </w:p>
    <w:p w14:paraId="2EACA609">
      <w:pPr>
        <w:pStyle w:val="14"/>
        <w:spacing w:before="1" w:after="156"/>
        <w:rPr>
          <w:rFonts w:hint="eastAsia" w:ascii="楷体" w:hAnsi="楷体" w:eastAsia="楷体" w:cs="楷体"/>
          <w:b/>
          <w:sz w:val="24"/>
          <w:szCs w:val="28"/>
        </w:rPr>
      </w:pPr>
    </w:p>
    <w:p w14:paraId="3EDF61CA">
      <w:pPr>
        <w:tabs>
          <w:tab w:val="left" w:pos="5457"/>
        </w:tabs>
        <w:ind w:left="117"/>
        <w:rPr>
          <w:rFonts w:hint="eastAsia"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43EF0897">
      <w:pPr>
        <w:tabs>
          <w:tab w:val="left" w:pos="5457"/>
        </w:tabs>
        <w:ind w:left="117"/>
        <w:rPr>
          <w:rFonts w:hint="eastAsia" w:ascii="楷体" w:hAnsi="楷体" w:eastAsia="楷体" w:cs="楷体"/>
          <w:b/>
          <w:sz w:val="24"/>
          <w:szCs w:val="21"/>
        </w:rPr>
      </w:pPr>
    </w:p>
    <w:p w14:paraId="443B21B5">
      <w:pPr>
        <w:tabs>
          <w:tab w:val="left" w:pos="5457"/>
        </w:tabs>
        <w:ind w:left="117"/>
        <w:rPr>
          <w:rFonts w:hint="eastAsia" w:ascii="楷体" w:hAnsi="楷体" w:eastAsia="楷体" w:cs="楷体"/>
          <w:b/>
          <w:sz w:val="24"/>
          <w:szCs w:val="21"/>
        </w:rPr>
      </w:pPr>
    </w:p>
    <w:p w14:paraId="4DAB92B2">
      <w:pPr>
        <w:tabs>
          <w:tab w:val="left" w:pos="5457"/>
        </w:tabs>
        <w:ind w:left="117"/>
        <w:rPr>
          <w:rFonts w:hint="eastAsia" w:ascii="楷体" w:hAnsi="楷体" w:eastAsia="楷体" w:cs="楷体"/>
          <w:b/>
          <w:sz w:val="24"/>
          <w:szCs w:val="21"/>
        </w:rPr>
      </w:pPr>
    </w:p>
    <w:p w14:paraId="1A0315A3">
      <w:pPr>
        <w:tabs>
          <w:tab w:val="left" w:pos="5457"/>
        </w:tabs>
        <w:ind w:left="117"/>
        <w:rPr>
          <w:rFonts w:hint="eastAsia" w:ascii="楷体" w:hAnsi="楷体" w:eastAsia="楷体" w:cs="楷体"/>
          <w:b/>
          <w:sz w:val="24"/>
          <w:szCs w:val="21"/>
        </w:rPr>
      </w:pPr>
    </w:p>
    <w:p w14:paraId="30158B10">
      <w:pPr>
        <w:tabs>
          <w:tab w:val="left" w:pos="5457"/>
        </w:tabs>
        <w:ind w:left="117"/>
        <w:rPr>
          <w:rFonts w:hint="eastAsia"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470FA5BC">
      <w:pPr>
        <w:rPr>
          <w:rFonts w:ascii="Calibri" w:hAnsi="Calibri" w:eastAsia="宋体" w:cs="Times New Roman"/>
          <w:b/>
          <w:bCs/>
          <w:kern w:val="44"/>
          <w:sz w:val="36"/>
          <w:szCs w:val="44"/>
        </w:rPr>
      </w:pPr>
      <w:r>
        <w:rPr>
          <w:rFonts w:hint="eastAsia" w:ascii="Calibri" w:hAnsi="Calibri" w:eastAsia="宋体" w:cs="Times New Roman"/>
          <w:b/>
          <w:bCs/>
          <w:kern w:val="44"/>
          <w:sz w:val="36"/>
          <w:szCs w:val="44"/>
        </w:rPr>
        <w:br w:type="page"/>
      </w:r>
    </w:p>
    <w:p w14:paraId="451DAD4B">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44"/>
    </w:p>
    <w:p w14:paraId="26F5883A">
      <w:pPr>
        <w:keepNext/>
        <w:keepLines/>
        <w:rPr>
          <w:rFonts w:ascii="Times New Roman" w:hAnsi="Times New Roman" w:eastAsia="宋体" w:cs="Times New Roman"/>
          <w:b/>
          <w:bCs/>
          <w:color w:val="000000"/>
          <w:sz w:val="24"/>
          <w:szCs w:val="24"/>
        </w:rPr>
      </w:pPr>
    </w:p>
    <w:p w14:paraId="2EBF3A73">
      <w:pPr>
        <w:pStyle w:val="18"/>
        <w:rPr>
          <w:rFonts w:ascii="Times New Roman" w:hAnsi="Times New Roman" w:eastAsia="宋体" w:cs="Times New Roman"/>
          <w:b/>
          <w:bCs/>
          <w:color w:val="000000"/>
          <w:sz w:val="24"/>
          <w:szCs w:val="24"/>
        </w:rPr>
      </w:pPr>
    </w:p>
    <w:p w14:paraId="15F8C04B">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38CA1B45">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42927CAA">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355E5C9E">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62A6D769">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61E75193">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0A5B5ED0">
      <w:pPr>
        <w:pStyle w:val="18"/>
        <w:rPr>
          <w:rFonts w:ascii="Times New Roman" w:hAnsi="Times New Roman" w:eastAsia="宋体" w:cs="Times New Roman"/>
          <w:b/>
          <w:bCs/>
          <w:color w:val="000000"/>
          <w:sz w:val="24"/>
          <w:szCs w:val="24"/>
        </w:rPr>
        <w:sectPr>
          <w:footerReference r:id="rId21" w:type="first"/>
          <w:headerReference r:id="rId19" w:type="default"/>
          <w:footerReference r:id="rId20" w:type="default"/>
          <w:pgSz w:w="11906" w:h="16838"/>
          <w:pgMar w:top="1588" w:right="1418" w:bottom="1134" w:left="1418" w:header="851" w:footer="992" w:gutter="0"/>
          <w:cols w:space="720" w:num="1"/>
          <w:titlePg/>
          <w:docGrid w:type="lines" w:linePitch="312" w:charSpace="0"/>
        </w:sectPr>
      </w:pPr>
    </w:p>
    <w:p w14:paraId="4257F56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18" w:name="_Toc639004"/>
      <w:bookmarkStart w:id="119" w:name="_Toc25811"/>
      <w:bookmarkStart w:id="120" w:name="_Toc212369550"/>
      <w:bookmarkStart w:id="121" w:name="_Toc353881012"/>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18"/>
      <w:bookmarkEnd w:id="119"/>
      <w:bookmarkEnd w:id="120"/>
      <w:bookmarkEnd w:id="121"/>
    </w:p>
    <w:p w14:paraId="4B9CCDB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致：中国重汽集团济南卡车股份有限公司：</w:t>
      </w:r>
    </w:p>
    <w:p w14:paraId="7E5558C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u w:val="single"/>
        </w:rPr>
        <w:t>济南卡车制造公司</w:t>
      </w:r>
      <w:r>
        <w:rPr>
          <w:rFonts w:hint="eastAsia" w:ascii="宋体" w:hAnsi="宋体" w:eastAsia="宋体" w:cs="宋体"/>
          <w:sz w:val="24"/>
          <w:szCs w:val="24"/>
          <w:u w:val="single"/>
          <w:lang w:val="en-US" w:eastAsia="zh-CN"/>
        </w:rPr>
        <w:t>党家庄</w:t>
      </w:r>
      <w:r>
        <w:rPr>
          <w:rFonts w:hint="eastAsia" w:ascii="宋体" w:hAnsi="宋体" w:eastAsia="宋体" w:cs="宋体"/>
          <w:sz w:val="24"/>
          <w:szCs w:val="24"/>
          <w:u w:val="single"/>
        </w:rPr>
        <w:t>厂区</w:t>
      </w:r>
      <w:r>
        <w:rPr>
          <w:rFonts w:hint="eastAsia" w:ascii="宋体" w:hAnsi="宋体" w:eastAsia="宋体" w:cs="宋体"/>
          <w:sz w:val="24"/>
          <w:szCs w:val="24"/>
          <w:u w:val="single"/>
          <w:lang w:val="en-US" w:eastAsia="zh-CN"/>
        </w:rPr>
        <w:t>总三车间总装北线加固改造技改</w:t>
      </w:r>
      <w:r>
        <w:rPr>
          <w:rFonts w:hint="eastAsia" w:ascii="宋体" w:hAnsi="宋体" w:eastAsia="宋体" w:cs="宋体"/>
          <w:sz w:val="24"/>
          <w:szCs w:val="24"/>
          <w:u w:val="single"/>
        </w:rPr>
        <w:t>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14:paraId="37C6475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1227E8A0">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4C56D676">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038250F4">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4E2F6C1E">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0DBC0C96">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57D3A59F">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2D6A8E2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1944A1F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688456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4BF4674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2EACE6D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3AFE7F6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w:t>
      </w:r>
      <w:r>
        <w:rPr>
          <w:rFonts w:hint="eastAsia" w:ascii="宋体" w:hAnsi="宋体" w:eastAsia="宋体" w:cs="Times New Roman"/>
          <w:color w:val="000000"/>
          <w:sz w:val="24"/>
          <w:szCs w:val="24"/>
          <w:lang w:val="en-US" w:eastAsia="zh-CN"/>
        </w:rPr>
        <w:t>账</w:t>
      </w:r>
      <w:r>
        <w:rPr>
          <w:rFonts w:hint="eastAsia" w:ascii="宋体" w:hAnsi="宋体" w:eastAsia="宋体" w:cs="Times New Roman"/>
          <w:color w:val="000000"/>
          <w:sz w:val="24"/>
          <w:szCs w:val="24"/>
        </w:rPr>
        <w:t>号：</w:t>
      </w:r>
      <w:r>
        <w:rPr>
          <w:rFonts w:ascii="宋体" w:hAnsi="宋体" w:eastAsia="宋体" w:cs="Times New Roman"/>
          <w:color w:val="000000"/>
          <w:sz w:val="24"/>
          <w:szCs w:val="24"/>
        </w:rPr>
        <w:t xml:space="preserve">                   </w:t>
      </w:r>
    </w:p>
    <w:p w14:paraId="5634350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4963C8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02635C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6F30CA7">
      <w:pPr>
        <w:rPr>
          <w:rFonts w:ascii="黑体" w:hAnsi="Calibri" w:eastAsia="黑体" w:cs="Times New Roman"/>
          <w:color w:val="000000"/>
          <w:sz w:val="24"/>
          <w:szCs w:val="24"/>
        </w:rPr>
      </w:pPr>
    </w:p>
    <w:p w14:paraId="293148A7">
      <w:pPr>
        <w:rPr>
          <w:rFonts w:ascii="黑体" w:hAnsi="Calibri" w:eastAsia="黑体" w:cs="Times New Roman"/>
          <w:color w:val="000000"/>
          <w:sz w:val="24"/>
          <w:szCs w:val="24"/>
        </w:rPr>
      </w:pPr>
    </w:p>
    <w:p w14:paraId="7C3DE3CA">
      <w:pPr>
        <w:pStyle w:val="18"/>
        <w:rPr>
          <w:rFonts w:ascii="黑体" w:hAnsi="Calibri" w:eastAsia="黑体" w:cs="Times New Roman"/>
          <w:color w:val="000000"/>
          <w:sz w:val="24"/>
          <w:szCs w:val="24"/>
        </w:rPr>
      </w:pPr>
    </w:p>
    <w:p w14:paraId="22417855">
      <w:pPr>
        <w:pStyle w:val="18"/>
        <w:rPr>
          <w:rFonts w:ascii="黑体" w:hAnsi="Calibri" w:eastAsia="黑体" w:cs="Times New Roman"/>
          <w:color w:val="000000"/>
          <w:sz w:val="24"/>
          <w:szCs w:val="24"/>
        </w:rPr>
      </w:pPr>
    </w:p>
    <w:p w14:paraId="0C7AE58E">
      <w:pPr>
        <w:pStyle w:val="18"/>
        <w:rPr>
          <w:rFonts w:ascii="黑体" w:hAnsi="Calibri" w:eastAsia="黑体" w:cs="Times New Roman"/>
          <w:color w:val="000000"/>
          <w:sz w:val="24"/>
          <w:szCs w:val="24"/>
        </w:rPr>
      </w:pPr>
    </w:p>
    <w:p w14:paraId="0AF4E3D3">
      <w:pPr>
        <w:pStyle w:val="18"/>
        <w:rPr>
          <w:rFonts w:ascii="黑体" w:hAnsi="Calibri" w:eastAsia="黑体" w:cs="Times New Roman"/>
          <w:color w:val="000000"/>
          <w:sz w:val="24"/>
          <w:szCs w:val="24"/>
        </w:rPr>
      </w:pPr>
    </w:p>
    <w:p w14:paraId="560D4537">
      <w:pPr>
        <w:rPr>
          <w:rFonts w:ascii="黑体" w:hAnsi="Calibri" w:eastAsia="黑体" w:cs="Times New Roman"/>
          <w:color w:val="000000"/>
          <w:sz w:val="24"/>
          <w:szCs w:val="24"/>
        </w:rPr>
      </w:pPr>
    </w:p>
    <w:p w14:paraId="7DCA445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29B505F6">
      <w:pPr>
        <w:adjustRightInd w:val="0"/>
        <w:snapToGrid w:val="0"/>
        <w:spacing w:before="93" w:beforeLines="30" w:line="240" w:lineRule="exact"/>
        <w:jc w:val="center"/>
        <w:rPr>
          <w:rFonts w:ascii="宋体" w:hAnsi="Calibri" w:eastAsia="宋体" w:cs="Times New Roman"/>
          <w:sz w:val="24"/>
          <w:szCs w:val="20"/>
        </w:rPr>
      </w:pPr>
    </w:p>
    <w:p w14:paraId="76F2078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szCs w:val="24"/>
          <w:u w:val="single"/>
        </w:rPr>
        <w:t>济南卡车制造公司党家庄厂区总三车间总装北线加固改造技改项目</w:t>
      </w:r>
      <w:r>
        <w:rPr>
          <w:rFonts w:hint="eastAsia" w:ascii="宋体" w:hAnsi="宋体" w:eastAsia="宋体" w:cs="Times New Roman"/>
          <w:color w:val="000000"/>
          <w:sz w:val="24"/>
          <w:szCs w:val="24"/>
        </w:rPr>
        <w:t>（</w:t>
      </w:r>
      <w:r>
        <w:rPr>
          <w:rFonts w:hint="eastAsia" w:ascii="宋体" w:hAnsi="宋体" w:eastAsia="宋体" w:cs="Times New Roman"/>
          <w:sz w:val="24"/>
          <w:szCs w:val="24"/>
          <w:highlight w:val="yellow"/>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E40AAF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0AFBFDD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18EDA60A">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67E477E7">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61CFC86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29AB2A4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77B1C8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2721451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55CD9FB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11E658E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5381E22F">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DDDE545">
      <w:pPr>
        <w:rPr>
          <w:rFonts w:ascii="Calibri" w:hAnsi="Calibri" w:eastAsia="黑体" w:cs="Times New Roman"/>
          <w:b/>
          <w:bCs/>
          <w:color w:val="000000"/>
          <w:sz w:val="28"/>
          <w:szCs w:val="20"/>
        </w:rPr>
      </w:pPr>
    </w:p>
    <w:p w14:paraId="12385784">
      <w:pPr>
        <w:pStyle w:val="18"/>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41F24716">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789C924F">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7F487A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788017B6">
            <w:pPr>
              <w:pStyle w:val="133"/>
              <w:spacing w:before="114"/>
              <w:ind w:left="720"/>
              <w:rPr>
                <w:rFonts w:hint="eastAsia"/>
              </w:rPr>
            </w:pPr>
            <w:r>
              <w:t xml:space="preserve">企业名称 </w:t>
            </w:r>
          </w:p>
        </w:tc>
        <w:tc>
          <w:tcPr>
            <w:tcW w:w="4680" w:type="dxa"/>
            <w:gridSpan w:val="4"/>
            <w:vAlign w:val="center"/>
          </w:tcPr>
          <w:p w14:paraId="6F95B2CE">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107A662D">
            <w:pPr>
              <w:pStyle w:val="133"/>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6F8408A1">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6D871E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5FC2B204">
            <w:pPr>
              <w:pStyle w:val="133"/>
              <w:spacing w:before="114"/>
              <w:ind w:left="720"/>
              <w:rPr>
                <w:rFonts w:hint="eastAsia"/>
              </w:rPr>
            </w:pPr>
            <w:r>
              <w:t xml:space="preserve">企业地址 </w:t>
            </w:r>
          </w:p>
        </w:tc>
        <w:tc>
          <w:tcPr>
            <w:tcW w:w="4680" w:type="dxa"/>
            <w:gridSpan w:val="4"/>
            <w:vAlign w:val="center"/>
          </w:tcPr>
          <w:p w14:paraId="1D92D532">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576ED635">
            <w:pPr>
              <w:pStyle w:val="133"/>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5082681D">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1DF26A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212024C3">
            <w:pPr>
              <w:pStyle w:val="133"/>
              <w:spacing w:before="111"/>
              <w:ind w:left="720"/>
              <w:rPr>
                <w:rFonts w:hint="eastAsia"/>
              </w:rPr>
            </w:pPr>
            <w:r>
              <w:t xml:space="preserve">企业性质 </w:t>
            </w:r>
          </w:p>
        </w:tc>
        <w:tc>
          <w:tcPr>
            <w:tcW w:w="4680" w:type="dxa"/>
            <w:gridSpan w:val="4"/>
            <w:vAlign w:val="center"/>
          </w:tcPr>
          <w:p w14:paraId="065EEAD5">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5BE8AF79">
            <w:pPr>
              <w:pStyle w:val="133"/>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437925C6">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6FE28F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4BF93C9A">
            <w:pPr>
              <w:pStyle w:val="133"/>
              <w:spacing w:before="111"/>
              <w:ind w:left="509"/>
              <w:rPr>
                <w:rFonts w:hint="eastAsia"/>
                <w:highlight w:val="yellow"/>
              </w:rPr>
            </w:pPr>
            <w:r>
              <w:t xml:space="preserve">企业法人代表  </w:t>
            </w:r>
          </w:p>
        </w:tc>
        <w:tc>
          <w:tcPr>
            <w:tcW w:w="4680" w:type="dxa"/>
            <w:gridSpan w:val="4"/>
          </w:tcPr>
          <w:p w14:paraId="4081DF11">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3BF6CFD0">
            <w:pPr>
              <w:pStyle w:val="133"/>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2F162CD4">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6992FD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010A5532">
            <w:pPr>
              <w:pStyle w:val="133"/>
              <w:spacing w:before="114"/>
              <w:ind w:left="720"/>
              <w:rPr>
                <w:rFonts w:hint="eastAsia"/>
              </w:rPr>
            </w:pPr>
            <w:r>
              <w:t xml:space="preserve">品牌区分 </w:t>
            </w:r>
          </w:p>
        </w:tc>
        <w:tc>
          <w:tcPr>
            <w:tcW w:w="7500" w:type="dxa"/>
            <w:gridSpan w:val="6"/>
          </w:tcPr>
          <w:p w14:paraId="722DE28A">
            <w:pPr>
              <w:pStyle w:val="133"/>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0D0EA9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6664ED1">
            <w:pPr>
              <w:pStyle w:val="133"/>
              <w:spacing w:before="178"/>
              <w:ind w:left="720"/>
              <w:rPr>
                <w:rFonts w:hint="eastAsia"/>
              </w:rPr>
            </w:pPr>
            <w:r>
              <w:t xml:space="preserve">品牌名称 </w:t>
            </w:r>
          </w:p>
        </w:tc>
        <w:tc>
          <w:tcPr>
            <w:tcW w:w="3583" w:type="dxa"/>
            <w:gridSpan w:val="3"/>
            <w:vAlign w:val="center"/>
          </w:tcPr>
          <w:p w14:paraId="4B857775">
            <w:pPr>
              <w:widowControl/>
              <w:rPr>
                <w:rFonts w:hint="eastAsia" w:ascii="宋体" w:hAnsi="宋体" w:eastAsia="仿宋_GB2312"/>
                <w:kern w:val="0"/>
                <w:szCs w:val="21"/>
                <w:lang w:bidi="ar"/>
              </w:rPr>
            </w:pPr>
          </w:p>
        </w:tc>
        <w:tc>
          <w:tcPr>
            <w:tcW w:w="1097" w:type="dxa"/>
          </w:tcPr>
          <w:p w14:paraId="20A19F4D">
            <w:pPr>
              <w:pStyle w:val="133"/>
              <w:spacing w:before="15"/>
              <w:ind w:left="279"/>
              <w:rPr>
                <w:rFonts w:hint="eastAsia"/>
              </w:rPr>
            </w:pPr>
            <w:r>
              <w:rPr>
                <w:spacing w:val="-2"/>
              </w:rPr>
              <w:t>质量</w:t>
            </w:r>
            <w:r>
              <w:t xml:space="preserve"> </w:t>
            </w:r>
          </w:p>
          <w:p w14:paraId="3910713A">
            <w:pPr>
              <w:pStyle w:val="133"/>
              <w:spacing w:before="30" w:line="277" w:lineRule="exact"/>
              <w:ind w:left="279"/>
              <w:rPr>
                <w:rFonts w:hint="eastAsia"/>
              </w:rPr>
            </w:pPr>
            <w:r>
              <w:rPr>
                <w:rFonts w:hint="eastAsia"/>
              </w:rPr>
              <w:t>体系</w:t>
            </w:r>
          </w:p>
        </w:tc>
        <w:tc>
          <w:tcPr>
            <w:tcW w:w="2820" w:type="dxa"/>
            <w:gridSpan w:val="2"/>
          </w:tcPr>
          <w:p w14:paraId="103C1528">
            <w:pPr>
              <w:pStyle w:val="133"/>
              <w:spacing w:before="158"/>
              <w:jc w:val="center"/>
              <w:rPr>
                <w:rFonts w:hint="eastAsia"/>
                <w:sz w:val="24"/>
              </w:rPr>
            </w:pPr>
            <w:r>
              <w:rPr>
                <w:rFonts w:hint="eastAsia"/>
                <w:kern w:val="0"/>
                <w:szCs w:val="21"/>
                <w:lang w:bidi="ar"/>
              </w:rPr>
              <w:t>/</w:t>
            </w:r>
          </w:p>
        </w:tc>
      </w:tr>
      <w:tr w14:paraId="74E00A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412FBDBD">
            <w:pPr>
              <w:pStyle w:val="133"/>
              <w:spacing w:before="149"/>
              <w:ind w:left="3345" w:right="3223"/>
              <w:jc w:val="center"/>
              <w:rPr>
                <w:rFonts w:hint="eastAsia"/>
              </w:rPr>
            </w:pPr>
            <w:r>
              <w:rPr>
                <w:rFonts w:hint="eastAsia"/>
                <w:szCs w:val="21"/>
              </w:rPr>
              <w:t>单位概况</w:t>
            </w:r>
          </w:p>
        </w:tc>
      </w:tr>
      <w:tr w14:paraId="698F79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5D61161C">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0D4D0471">
            <w:pPr>
              <w:widowControl/>
              <w:textAlignment w:val="center"/>
              <w:rPr>
                <w:rFonts w:hint="eastAsia" w:ascii="宋体" w:hAnsi="宋体" w:eastAsia="宋体" w:cs="宋体"/>
                <w:szCs w:val="21"/>
              </w:rPr>
            </w:pPr>
          </w:p>
        </w:tc>
        <w:tc>
          <w:tcPr>
            <w:tcW w:w="1530" w:type="dxa"/>
            <w:vAlign w:val="center"/>
          </w:tcPr>
          <w:p w14:paraId="2FD147DA">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C930A11">
            <w:pPr>
              <w:widowControl/>
              <w:jc w:val="center"/>
              <w:textAlignment w:val="center"/>
              <w:rPr>
                <w:rFonts w:hint="eastAsia" w:ascii="宋体" w:hAnsi="宋体" w:eastAsia="宋体" w:cs="宋体"/>
                <w:szCs w:val="21"/>
              </w:rPr>
            </w:pPr>
          </w:p>
        </w:tc>
        <w:tc>
          <w:tcPr>
            <w:tcW w:w="1097" w:type="dxa"/>
            <w:vAlign w:val="center"/>
          </w:tcPr>
          <w:p w14:paraId="1FEEE259">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05C0DA77">
            <w:pPr>
              <w:widowControl/>
              <w:jc w:val="center"/>
              <w:textAlignment w:val="center"/>
              <w:rPr>
                <w:rFonts w:hint="eastAsia" w:ascii="宋体" w:hAnsi="宋体" w:eastAsia="宋体" w:cs="宋体"/>
                <w:szCs w:val="21"/>
              </w:rPr>
            </w:pPr>
          </w:p>
        </w:tc>
      </w:tr>
      <w:tr w14:paraId="1CFF43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08B0F777">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1941DDEA">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EB09D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5DDFBA01">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2862DE8F">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7D031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0A3FB2F1">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0AD1222C">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9739A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471EE044">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19B9B29B">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53473C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9A967C3">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4BF59079">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4F2786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F690068">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317550CF">
            <w:pPr>
              <w:widowControl/>
              <w:jc w:val="left"/>
              <w:rPr>
                <w:rFonts w:hint="eastAsia" w:ascii="宋体" w:hAnsi="宋体" w:eastAsia="宋体" w:cs="宋体"/>
                <w:kern w:val="0"/>
                <w:szCs w:val="21"/>
                <w:lang w:bidi="ar"/>
              </w:rPr>
            </w:pPr>
          </w:p>
        </w:tc>
      </w:tr>
    </w:tbl>
    <w:p w14:paraId="50CF3477">
      <w:pPr>
        <w:pStyle w:val="18"/>
        <w:rPr>
          <w:rFonts w:ascii="Times New Roman" w:hAnsi="Times New Roman" w:eastAsia="宋体" w:cs="Times New Roman"/>
          <w:b/>
          <w:bCs/>
          <w:color w:val="000000"/>
          <w:sz w:val="24"/>
          <w:szCs w:val="24"/>
        </w:rPr>
      </w:pPr>
    </w:p>
    <w:p w14:paraId="62CB6845">
      <w:pPr>
        <w:pStyle w:val="18"/>
        <w:rPr>
          <w:rFonts w:ascii="Times New Roman" w:hAnsi="Times New Roman" w:eastAsia="宋体" w:cs="Times New Roman"/>
          <w:b/>
          <w:bCs/>
          <w:color w:val="000000"/>
          <w:sz w:val="24"/>
          <w:szCs w:val="24"/>
        </w:rPr>
      </w:pPr>
    </w:p>
    <w:p w14:paraId="2D5CE3E7">
      <w:pPr>
        <w:pStyle w:val="18"/>
        <w:rPr>
          <w:rFonts w:ascii="Times New Roman" w:hAnsi="Times New Roman" w:eastAsia="宋体" w:cs="Times New Roman"/>
          <w:b/>
          <w:bCs/>
          <w:color w:val="000000"/>
          <w:sz w:val="24"/>
          <w:szCs w:val="24"/>
        </w:rPr>
      </w:pPr>
    </w:p>
    <w:p w14:paraId="37C617E1">
      <w:pPr>
        <w:pStyle w:val="18"/>
        <w:rPr>
          <w:rFonts w:ascii="Times New Roman" w:hAnsi="Times New Roman" w:eastAsia="宋体" w:cs="Times New Roman"/>
          <w:b/>
          <w:bCs/>
          <w:color w:val="000000"/>
          <w:sz w:val="24"/>
          <w:szCs w:val="24"/>
        </w:rPr>
      </w:pPr>
    </w:p>
    <w:p w14:paraId="21C98C23">
      <w:pPr>
        <w:pStyle w:val="18"/>
        <w:rPr>
          <w:rFonts w:ascii="Times New Roman" w:hAnsi="Times New Roman" w:eastAsia="宋体" w:cs="Times New Roman"/>
          <w:b/>
          <w:bCs/>
          <w:color w:val="000000"/>
          <w:sz w:val="24"/>
          <w:szCs w:val="24"/>
        </w:rPr>
      </w:pPr>
    </w:p>
    <w:p w14:paraId="6AA2D2B5">
      <w:pPr>
        <w:pStyle w:val="18"/>
        <w:rPr>
          <w:rFonts w:ascii="Times New Roman" w:hAnsi="Times New Roman" w:eastAsia="宋体" w:cs="Times New Roman"/>
          <w:b/>
          <w:bCs/>
          <w:color w:val="000000"/>
          <w:sz w:val="24"/>
          <w:szCs w:val="24"/>
        </w:rPr>
      </w:pPr>
    </w:p>
    <w:p w14:paraId="6C6C5883">
      <w:pPr>
        <w:pStyle w:val="18"/>
        <w:rPr>
          <w:rFonts w:ascii="Times New Roman" w:hAnsi="Times New Roman" w:eastAsia="宋体" w:cs="Times New Roman"/>
          <w:b/>
          <w:bCs/>
          <w:color w:val="000000"/>
          <w:sz w:val="24"/>
          <w:szCs w:val="24"/>
        </w:rPr>
      </w:pPr>
    </w:p>
    <w:p w14:paraId="4835AB21">
      <w:pPr>
        <w:pStyle w:val="18"/>
        <w:rPr>
          <w:rFonts w:ascii="Times New Roman" w:hAnsi="Times New Roman" w:eastAsia="宋体" w:cs="Times New Roman"/>
          <w:b/>
          <w:bCs/>
          <w:color w:val="000000"/>
          <w:sz w:val="24"/>
          <w:szCs w:val="24"/>
        </w:rPr>
      </w:pPr>
    </w:p>
    <w:p w14:paraId="650FF0C1">
      <w:pPr>
        <w:pStyle w:val="18"/>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7AB0EAC0">
      <w:pPr>
        <w:pStyle w:val="18"/>
        <w:rPr>
          <w:rFonts w:ascii="Times New Roman" w:hAnsi="Times New Roman" w:eastAsia="宋体" w:cs="Times New Roman"/>
          <w:b/>
          <w:bCs/>
          <w:color w:val="000000"/>
          <w:sz w:val="24"/>
          <w:szCs w:val="24"/>
        </w:rPr>
      </w:pP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6EEF0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CDD70EE">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4525F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8D33E39">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4BC6AB9A">
            <w:pPr>
              <w:spacing w:line="440" w:lineRule="exact"/>
              <w:jc w:val="center"/>
              <w:rPr>
                <w:rFonts w:hint="eastAsia" w:ascii="宋体" w:hAnsi="宋体"/>
                <w:color w:val="000000"/>
                <w:sz w:val="24"/>
                <w:szCs w:val="24"/>
              </w:rPr>
            </w:pPr>
          </w:p>
        </w:tc>
      </w:tr>
      <w:tr w14:paraId="2B208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759B916">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66D3E0FB">
            <w:pPr>
              <w:spacing w:line="440" w:lineRule="exact"/>
              <w:jc w:val="center"/>
              <w:rPr>
                <w:rFonts w:hint="eastAsia" w:ascii="宋体" w:hAnsi="宋体"/>
                <w:color w:val="000000"/>
                <w:sz w:val="24"/>
                <w:szCs w:val="24"/>
              </w:rPr>
            </w:pPr>
          </w:p>
        </w:tc>
      </w:tr>
      <w:tr w14:paraId="1B602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D42DBE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51EF6759">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60717C88">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14:paraId="71A8E884">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14:paraId="12913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73570FA">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1299AF24">
            <w:pPr>
              <w:spacing w:line="440" w:lineRule="exact"/>
              <w:jc w:val="center"/>
              <w:rPr>
                <w:rFonts w:hint="eastAsia" w:ascii="宋体" w:hAnsi="宋体"/>
                <w:color w:val="000000"/>
                <w:sz w:val="24"/>
                <w:szCs w:val="24"/>
              </w:rPr>
            </w:pPr>
          </w:p>
        </w:tc>
        <w:tc>
          <w:tcPr>
            <w:tcW w:w="1288" w:type="dxa"/>
          </w:tcPr>
          <w:p w14:paraId="31A329F3">
            <w:pPr>
              <w:spacing w:line="440" w:lineRule="exact"/>
              <w:jc w:val="center"/>
              <w:rPr>
                <w:rFonts w:hint="eastAsia" w:ascii="宋体" w:hAnsi="宋体"/>
                <w:color w:val="000000"/>
                <w:sz w:val="24"/>
                <w:szCs w:val="24"/>
              </w:rPr>
            </w:pPr>
          </w:p>
        </w:tc>
        <w:tc>
          <w:tcPr>
            <w:tcW w:w="1288" w:type="dxa"/>
          </w:tcPr>
          <w:p w14:paraId="6860B929">
            <w:pPr>
              <w:spacing w:line="440" w:lineRule="exact"/>
              <w:jc w:val="center"/>
              <w:rPr>
                <w:rFonts w:hint="eastAsia" w:ascii="宋体" w:hAnsi="宋体"/>
                <w:color w:val="000000"/>
                <w:sz w:val="24"/>
                <w:szCs w:val="24"/>
              </w:rPr>
            </w:pPr>
          </w:p>
        </w:tc>
      </w:tr>
      <w:tr w14:paraId="2C659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0F7F9E1">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14AFC821">
            <w:pPr>
              <w:spacing w:line="440" w:lineRule="exact"/>
              <w:jc w:val="center"/>
              <w:rPr>
                <w:rFonts w:hint="eastAsia" w:ascii="宋体" w:hAnsi="宋体"/>
                <w:color w:val="000000"/>
                <w:sz w:val="24"/>
                <w:szCs w:val="24"/>
              </w:rPr>
            </w:pPr>
          </w:p>
        </w:tc>
        <w:tc>
          <w:tcPr>
            <w:tcW w:w="1288" w:type="dxa"/>
          </w:tcPr>
          <w:p w14:paraId="7C007B26">
            <w:pPr>
              <w:spacing w:line="440" w:lineRule="exact"/>
              <w:jc w:val="center"/>
              <w:rPr>
                <w:rFonts w:hint="eastAsia" w:ascii="宋体" w:hAnsi="宋体"/>
                <w:color w:val="000000"/>
                <w:sz w:val="24"/>
                <w:szCs w:val="24"/>
              </w:rPr>
            </w:pPr>
          </w:p>
        </w:tc>
        <w:tc>
          <w:tcPr>
            <w:tcW w:w="1288" w:type="dxa"/>
          </w:tcPr>
          <w:p w14:paraId="12CAC35A">
            <w:pPr>
              <w:spacing w:line="440" w:lineRule="exact"/>
              <w:jc w:val="center"/>
              <w:rPr>
                <w:rFonts w:hint="eastAsia" w:ascii="宋体" w:hAnsi="宋体"/>
                <w:color w:val="000000"/>
                <w:sz w:val="24"/>
                <w:szCs w:val="24"/>
              </w:rPr>
            </w:pPr>
          </w:p>
        </w:tc>
      </w:tr>
      <w:tr w14:paraId="4E448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A97E738">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1AEF8C61">
            <w:pPr>
              <w:spacing w:line="440" w:lineRule="exact"/>
              <w:jc w:val="center"/>
              <w:rPr>
                <w:rFonts w:hint="eastAsia" w:ascii="宋体" w:hAnsi="宋体"/>
                <w:color w:val="000000"/>
                <w:sz w:val="24"/>
                <w:szCs w:val="24"/>
                <w:highlight w:val="yellow"/>
              </w:rPr>
            </w:pPr>
          </w:p>
        </w:tc>
        <w:tc>
          <w:tcPr>
            <w:tcW w:w="1288" w:type="dxa"/>
          </w:tcPr>
          <w:p w14:paraId="2AAAB7B9">
            <w:pPr>
              <w:spacing w:line="440" w:lineRule="exact"/>
              <w:jc w:val="center"/>
              <w:rPr>
                <w:rFonts w:hint="eastAsia" w:ascii="宋体" w:hAnsi="宋体"/>
                <w:color w:val="000000"/>
                <w:sz w:val="24"/>
                <w:szCs w:val="24"/>
                <w:highlight w:val="yellow"/>
              </w:rPr>
            </w:pPr>
          </w:p>
        </w:tc>
        <w:tc>
          <w:tcPr>
            <w:tcW w:w="1288" w:type="dxa"/>
          </w:tcPr>
          <w:p w14:paraId="47937B08">
            <w:pPr>
              <w:spacing w:line="440" w:lineRule="exact"/>
              <w:jc w:val="center"/>
              <w:rPr>
                <w:rFonts w:hint="eastAsia" w:ascii="宋体" w:hAnsi="宋体"/>
                <w:color w:val="000000"/>
                <w:sz w:val="24"/>
                <w:szCs w:val="24"/>
                <w:highlight w:val="yellow"/>
              </w:rPr>
            </w:pPr>
          </w:p>
        </w:tc>
      </w:tr>
      <w:tr w14:paraId="4E8F7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E982CF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23B99744">
            <w:pPr>
              <w:spacing w:line="440" w:lineRule="exact"/>
              <w:jc w:val="center"/>
              <w:rPr>
                <w:rFonts w:hint="eastAsia" w:ascii="宋体" w:hAnsi="宋体"/>
                <w:color w:val="000000"/>
                <w:sz w:val="24"/>
                <w:szCs w:val="24"/>
              </w:rPr>
            </w:pPr>
          </w:p>
        </w:tc>
        <w:tc>
          <w:tcPr>
            <w:tcW w:w="1288" w:type="dxa"/>
          </w:tcPr>
          <w:p w14:paraId="0FC5045F">
            <w:pPr>
              <w:spacing w:line="440" w:lineRule="exact"/>
              <w:jc w:val="center"/>
              <w:rPr>
                <w:rFonts w:hint="eastAsia" w:ascii="宋体" w:hAnsi="宋体"/>
                <w:color w:val="000000"/>
                <w:sz w:val="24"/>
                <w:szCs w:val="24"/>
              </w:rPr>
            </w:pPr>
          </w:p>
        </w:tc>
        <w:tc>
          <w:tcPr>
            <w:tcW w:w="1288" w:type="dxa"/>
          </w:tcPr>
          <w:p w14:paraId="5618BACB">
            <w:pPr>
              <w:spacing w:line="440" w:lineRule="exact"/>
              <w:jc w:val="center"/>
              <w:rPr>
                <w:rFonts w:hint="eastAsia" w:ascii="宋体" w:hAnsi="宋体"/>
                <w:color w:val="000000"/>
                <w:sz w:val="24"/>
                <w:szCs w:val="24"/>
              </w:rPr>
            </w:pPr>
          </w:p>
        </w:tc>
      </w:tr>
      <w:tr w14:paraId="2159E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0042243">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0015E355">
            <w:pPr>
              <w:spacing w:line="440" w:lineRule="exact"/>
              <w:jc w:val="center"/>
              <w:rPr>
                <w:rFonts w:hint="eastAsia" w:ascii="宋体" w:hAnsi="宋体"/>
                <w:color w:val="000000"/>
                <w:sz w:val="24"/>
                <w:szCs w:val="24"/>
              </w:rPr>
            </w:pPr>
          </w:p>
        </w:tc>
        <w:tc>
          <w:tcPr>
            <w:tcW w:w="1288" w:type="dxa"/>
          </w:tcPr>
          <w:p w14:paraId="632E0A23">
            <w:pPr>
              <w:spacing w:line="440" w:lineRule="exact"/>
              <w:jc w:val="center"/>
              <w:rPr>
                <w:rFonts w:hint="eastAsia" w:ascii="宋体" w:hAnsi="宋体"/>
                <w:color w:val="000000"/>
                <w:sz w:val="24"/>
                <w:szCs w:val="24"/>
              </w:rPr>
            </w:pPr>
          </w:p>
        </w:tc>
        <w:tc>
          <w:tcPr>
            <w:tcW w:w="1288" w:type="dxa"/>
          </w:tcPr>
          <w:p w14:paraId="2083E086">
            <w:pPr>
              <w:spacing w:line="440" w:lineRule="exact"/>
              <w:jc w:val="center"/>
              <w:rPr>
                <w:rFonts w:hint="eastAsia" w:ascii="宋体" w:hAnsi="宋体"/>
                <w:color w:val="000000"/>
                <w:sz w:val="24"/>
                <w:szCs w:val="24"/>
              </w:rPr>
            </w:pPr>
          </w:p>
        </w:tc>
      </w:tr>
      <w:tr w14:paraId="52144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2E5E162">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00AE7619">
            <w:pPr>
              <w:spacing w:line="440" w:lineRule="exact"/>
              <w:jc w:val="center"/>
              <w:rPr>
                <w:rFonts w:hint="eastAsia" w:ascii="宋体" w:hAnsi="宋体"/>
                <w:color w:val="000000"/>
                <w:sz w:val="24"/>
                <w:szCs w:val="24"/>
                <w:highlight w:val="yellow"/>
              </w:rPr>
            </w:pPr>
          </w:p>
        </w:tc>
        <w:tc>
          <w:tcPr>
            <w:tcW w:w="1288" w:type="dxa"/>
          </w:tcPr>
          <w:p w14:paraId="37F3165C">
            <w:pPr>
              <w:spacing w:line="440" w:lineRule="exact"/>
              <w:jc w:val="center"/>
              <w:rPr>
                <w:rFonts w:hint="eastAsia" w:ascii="宋体" w:hAnsi="宋体"/>
                <w:color w:val="000000"/>
                <w:sz w:val="24"/>
                <w:szCs w:val="24"/>
                <w:highlight w:val="yellow"/>
              </w:rPr>
            </w:pPr>
          </w:p>
        </w:tc>
        <w:tc>
          <w:tcPr>
            <w:tcW w:w="1288" w:type="dxa"/>
          </w:tcPr>
          <w:p w14:paraId="4B605451">
            <w:pPr>
              <w:spacing w:line="440" w:lineRule="exact"/>
              <w:jc w:val="center"/>
              <w:rPr>
                <w:rFonts w:hint="eastAsia" w:ascii="宋体" w:hAnsi="宋体"/>
                <w:color w:val="000000"/>
                <w:sz w:val="24"/>
                <w:szCs w:val="24"/>
                <w:highlight w:val="yellow"/>
              </w:rPr>
            </w:pPr>
          </w:p>
        </w:tc>
      </w:tr>
      <w:tr w14:paraId="2787B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E69ACC0">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14:paraId="64FF4F32">
            <w:pPr>
              <w:spacing w:line="440" w:lineRule="exact"/>
              <w:jc w:val="center"/>
              <w:rPr>
                <w:rFonts w:hint="eastAsia" w:ascii="宋体" w:hAnsi="宋体"/>
                <w:color w:val="000000"/>
                <w:sz w:val="24"/>
                <w:szCs w:val="24"/>
                <w:highlight w:val="yellow"/>
              </w:rPr>
            </w:pPr>
          </w:p>
        </w:tc>
        <w:tc>
          <w:tcPr>
            <w:tcW w:w="1288" w:type="dxa"/>
          </w:tcPr>
          <w:p w14:paraId="777F2221">
            <w:pPr>
              <w:spacing w:line="440" w:lineRule="exact"/>
              <w:jc w:val="center"/>
              <w:rPr>
                <w:rFonts w:hint="eastAsia" w:ascii="宋体" w:hAnsi="宋体"/>
                <w:color w:val="000000"/>
                <w:sz w:val="24"/>
                <w:szCs w:val="24"/>
                <w:highlight w:val="yellow"/>
              </w:rPr>
            </w:pPr>
          </w:p>
        </w:tc>
        <w:tc>
          <w:tcPr>
            <w:tcW w:w="1288" w:type="dxa"/>
          </w:tcPr>
          <w:p w14:paraId="1CAAB4AF">
            <w:pPr>
              <w:spacing w:line="440" w:lineRule="exact"/>
              <w:jc w:val="center"/>
              <w:rPr>
                <w:rFonts w:hint="eastAsia" w:ascii="宋体" w:hAnsi="宋体"/>
                <w:color w:val="000000"/>
                <w:sz w:val="24"/>
                <w:szCs w:val="24"/>
                <w:highlight w:val="yellow"/>
              </w:rPr>
            </w:pPr>
          </w:p>
        </w:tc>
      </w:tr>
      <w:tr w14:paraId="558BB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E19A1C1">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4571835B">
            <w:pPr>
              <w:spacing w:line="440" w:lineRule="exact"/>
              <w:jc w:val="center"/>
              <w:rPr>
                <w:rFonts w:hint="eastAsia" w:ascii="宋体" w:hAnsi="宋体"/>
                <w:color w:val="000000"/>
                <w:sz w:val="24"/>
                <w:szCs w:val="24"/>
              </w:rPr>
            </w:pPr>
          </w:p>
        </w:tc>
        <w:tc>
          <w:tcPr>
            <w:tcW w:w="1288" w:type="dxa"/>
          </w:tcPr>
          <w:p w14:paraId="67C1B69A">
            <w:pPr>
              <w:spacing w:line="440" w:lineRule="exact"/>
              <w:jc w:val="center"/>
              <w:rPr>
                <w:rFonts w:hint="eastAsia" w:ascii="宋体" w:hAnsi="宋体"/>
                <w:color w:val="000000"/>
                <w:sz w:val="24"/>
                <w:szCs w:val="24"/>
              </w:rPr>
            </w:pPr>
          </w:p>
        </w:tc>
        <w:tc>
          <w:tcPr>
            <w:tcW w:w="1288" w:type="dxa"/>
          </w:tcPr>
          <w:p w14:paraId="00B28724">
            <w:pPr>
              <w:spacing w:line="440" w:lineRule="exact"/>
              <w:jc w:val="center"/>
              <w:rPr>
                <w:rFonts w:hint="eastAsia" w:ascii="宋体" w:hAnsi="宋体"/>
                <w:color w:val="000000"/>
                <w:sz w:val="24"/>
                <w:szCs w:val="24"/>
              </w:rPr>
            </w:pPr>
          </w:p>
        </w:tc>
      </w:tr>
      <w:tr w14:paraId="29DB9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90C955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61870C91">
            <w:pPr>
              <w:spacing w:line="440" w:lineRule="exact"/>
              <w:jc w:val="center"/>
              <w:rPr>
                <w:rFonts w:hint="eastAsia" w:ascii="宋体" w:hAnsi="宋体"/>
                <w:color w:val="000000"/>
                <w:sz w:val="24"/>
                <w:szCs w:val="24"/>
              </w:rPr>
            </w:pPr>
          </w:p>
        </w:tc>
        <w:tc>
          <w:tcPr>
            <w:tcW w:w="1288" w:type="dxa"/>
          </w:tcPr>
          <w:p w14:paraId="32507606">
            <w:pPr>
              <w:spacing w:line="440" w:lineRule="exact"/>
              <w:jc w:val="center"/>
              <w:rPr>
                <w:rFonts w:hint="eastAsia" w:ascii="宋体" w:hAnsi="宋体"/>
                <w:color w:val="000000"/>
                <w:sz w:val="24"/>
                <w:szCs w:val="24"/>
              </w:rPr>
            </w:pPr>
          </w:p>
        </w:tc>
        <w:tc>
          <w:tcPr>
            <w:tcW w:w="1288" w:type="dxa"/>
          </w:tcPr>
          <w:p w14:paraId="603DE432">
            <w:pPr>
              <w:spacing w:line="440" w:lineRule="exact"/>
              <w:jc w:val="center"/>
              <w:rPr>
                <w:rFonts w:hint="eastAsia" w:ascii="宋体" w:hAnsi="宋体"/>
                <w:color w:val="000000"/>
                <w:sz w:val="24"/>
                <w:szCs w:val="24"/>
              </w:rPr>
            </w:pPr>
          </w:p>
        </w:tc>
      </w:tr>
      <w:tr w14:paraId="36132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FB3AEC">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2745C89C">
            <w:pPr>
              <w:spacing w:line="440" w:lineRule="exact"/>
              <w:jc w:val="center"/>
              <w:rPr>
                <w:rFonts w:hint="eastAsia" w:ascii="宋体" w:hAnsi="宋体"/>
                <w:color w:val="000000"/>
                <w:sz w:val="24"/>
                <w:szCs w:val="24"/>
              </w:rPr>
            </w:pPr>
          </w:p>
        </w:tc>
        <w:tc>
          <w:tcPr>
            <w:tcW w:w="1288" w:type="dxa"/>
          </w:tcPr>
          <w:p w14:paraId="209898DC">
            <w:pPr>
              <w:spacing w:line="440" w:lineRule="exact"/>
              <w:jc w:val="center"/>
              <w:rPr>
                <w:rFonts w:hint="eastAsia" w:ascii="宋体" w:hAnsi="宋体"/>
                <w:color w:val="000000"/>
                <w:sz w:val="24"/>
                <w:szCs w:val="24"/>
              </w:rPr>
            </w:pPr>
          </w:p>
        </w:tc>
        <w:tc>
          <w:tcPr>
            <w:tcW w:w="1288" w:type="dxa"/>
          </w:tcPr>
          <w:p w14:paraId="21FDA829">
            <w:pPr>
              <w:spacing w:line="440" w:lineRule="exact"/>
              <w:jc w:val="center"/>
              <w:rPr>
                <w:rFonts w:hint="eastAsia" w:ascii="宋体" w:hAnsi="宋体"/>
                <w:color w:val="000000"/>
                <w:sz w:val="24"/>
                <w:szCs w:val="24"/>
              </w:rPr>
            </w:pPr>
          </w:p>
        </w:tc>
      </w:tr>
    </w:tbl>
    <w:p w14:paraId="6AF618ED">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12514F69">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30E87DA9">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7BB0A39">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14:paraId="24948F9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1C973A6E">
      <w:pPr>
        <w:spacing w:line="240" w:lineRule="exact"/>
        <w:jc w:val="center"/>
        <w:rPr>
          <w:rFonts w:ascii="宋体" w:hAnsi="Calibri" w:eastAsia="宋体" w:cs="Times New Roman"/>
          <w:b/>
          <w:bCs/>
          <w:sz w:val="36"/>
          <w:szCs w:val="20"/>
        </w:rPr>
      </w:pPr>
    </w:p>
    <w:p w14:paraId="32923DC2">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u w:val="single"/>
        </w:rPr>
        <w:t>济南卡车制造公司党家庄厂区总三车间总装北线加固改造技改项目</w:t>
      </w:r>
    </w:p>
    <w:p w14:paraId="68748051">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中国重汽集团济南卡车股份有限公司：</w:t>
      </w:r>
    </w:p>
    <w:p w14:paraId="6A70F7B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12412F3E">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40DF477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E027D7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72EA64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335492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EB4122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09E218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C22E36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1B69AE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18FECD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8904C6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01476A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1B5146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5FA45A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721663B">
      <w:pPr>
        <w:spacing w:line="360" w:lineRule="auto"/>
        <w:ind w:firstLine="480" w:firstLineChars="200"/>
        <w:rPr>
          <w:rFonts w:hint="eastAsia" w:ascii="宋体" w:hAnsi="宋体" w:eastAsia="宋体" w:cs="Times New Roman"/>
          <w:sz w:val="24"/>
          <w:szCs w:val="20"/>
          <w:u w:val="single"/>
        </w:rPr>
      </w:pPr>
    </w:p>
    <w:p w14:paraId="2E42D04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0A11E09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1CA0F4C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C1238CB">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14:paraId="2DE5FDB9">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1BDAA7A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u w:val="single"/>
        </w:rPr>
        <w:t>济南卡车制造公司党家庄厂区总三车间总装北线加固改造技改项目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67DDF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10A8177E">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24162804">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6E52FE9E">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0498EFDF">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082EA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9C7443E">
            <w:pPr>
              <w:jc w:val="center"/>
              <w:rPr>
                <w:rFonts w:ascii="Times New Roman" w:hAnsi="Times New Roman" w:eastAsia="宋体" w:cs="Times New Roman"/>
                <w:b/>
                <w:sz w:val="24"/>
                <w:szCs w:val="20"/>
              </w:rPr>
            </w:pPr>
          </w:p>
        </w:tc>
        <w:tc>
          <w:tcPr>
            <w:tcW w:w="3449" w:type="dxa"/>
          </w:tcPr>
          <w:p w14:paraId="27C06244">
            <w:pPr>
              <w:jc w:val="center"/>
              <w:rPr>
                <w:rFonts w:ascii="Times New Roman" w:hAnsi="Times New Roman" w:eastAsia="宋体" w:cs="Times New Roman"/>
                <w:b/>
                <w:sz w:val="24"/>
                <w:szCs w:val="20"/>
              </w:rPr>
            </w:pPr>
          </w:p>
        </w:tc>
        <w:tc>
          <w:tcPr>
            <w:tcW w:w="2414" w:type="dxa"/>
          </w:tcPr>
          <w:p w14:paraId="09814D48">
            <w:pPr>
              <w:jc w:val="center"/>
              <w:rPr>
                <w:rFonts w:ascii="Times New Roman" w:hAnsi="Times New Roman" w:eastAsia="宋体" w:cs="Times New Roman"/>
                <w:b/>
                <w:sz w:val="24"/>
                <w:szCs w:val="20"/>
              </w:rPr>
            </w:pPr>
          </w:p>
        </w:tc>
        <w:tc>
          <w:tcPr>
            <w:tcW w:w="1608" w:type="dxa"/>
          </w:tcPr>
          <w:p w14:paraId="310FEFFB">
            <w:pPr>
              <w:jc w:val="center"/>
              <w:rPr>
                <w:rFonts w:ascii="Times New Roman" w:hAnsi="Times New Roman" w:eastAsia="宋体" w:cs="Times New Roman"/>
                <w:b/>
                <w:sz w:val="24"/>
                <w:szCs w:val="20"/>
              </w:rPr>
            </w:pPr>
          </w:p>
        </w:tc>
      </w:tr>
      <w:tr w14:paraId="483C9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B0F10BC">
            <w:pPr>
              <w:jc w:val="center"/>
              <w:rPr>
                <w:rFonts w:ascii="Times New Roman" w:hAnsi="Times New Roman" w:eastAsia="宋体" w:cs="Times New Roman"/>
                <w:b/>
                <w:sz w:val="24"/>
                <w:szCs w:val="20"/>
              </w:rPr>
            </w:pPr>
          </w:p>
        </w:tc>
        <w:tc>
          <w:tcPr>
            <w:tcW w:w="3449" w:type="dxa"/>
          </w:tcPr>
          <w:p w14:paraId="25BD332D">
            <w:pPr>
              <w:jc w:val="center"/>
              <w:rPr>
                <w:rFonts w:ascii="Times New Roman" w:hAnsi="Times New Roman" w:eastAsia="宋体" w:cs="Times New Roman"/>
                <w:b/>
                <w:sz w:val="24"/>
                <w:szCs w:val="20"/>
              </w:rPr>
            </w:pPr>
          </w:p>
        </w:tc>
        <w:tc>
          <w:tcPr>
            <w:tcW w:w="2414" w:type="dxa"/>
          </w:tcPr>
          <w:p w14:paraId="64CECC81">
            <w:pPr>
              <w:jc w:val="center"/>
              <w:rPr>
                <w:rFonts w:ascii="Times New Roman" w:hAnsi="Times New Roman" w:eastAsia="宋体" w:cs="Times New Roman"/>
                <w:b/>
                <w:sz w:val="24"/>
                <w:szCs w:val="20"/>
              </w:rPr>
            </w:pPr>
          </w:p>
        </w:tc>
        <w:tc>
          <w:tcPr>
            <w:tcW w:w="1608" w:type="dxa"/>
          </w:tcPr>
          <w:p w14:paraId="2EEDDE18">
            <w:pPr>
              <w:jc w:val="center"/>
              <w:rPr>
                <w:rFonts w:ascii="Times New Roman" w:hAnsi="Times New Roman" w:eastAsia="宋体" w:cs="Times New Roman"/>
                <w:b/>
                <w:sz w:val="24"/>
                <w:szCs w:val="20"/>
              </w:rPr>
            </w:pPr>
          </w:p>
        </w:tc>
      </w:tr>
      <w:tr w14:paraId="31590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5050AB7">
            <w:pPr>
              <w:jc w:val="center"/>
              <w:rPr>
                <w:rFonts w:ascii="Times New Roman" w:hAnsi="Times New Roman" w:eastAsia="宋体" w:cs="Times New Roman"/>
                <w:b/>
                <w:sz w:val="24"/>
                <w:szCs w:val="20"/>
              </w:rPr>
            </w:pPr>
          </w:p>
        </w:tc>
        <w:tc>
          <w:tcPr>
            <w:tcW w:w="3449" w:type="dxa"/>
          </w:tcPr>
          <w:p w14:paraId="06316F43">
            <w:pPr>
              <w:jc w:val="center"/>
              <w:rPr>
                <w:rFonts w:ascii="Times New Roman" w:hAnsi="Times New Roman" w:eastAsia="宋体" w:cs="Times New Roman"/>
                <w:b/>
                <w:sz w:val="24"/>
                <w:szCs w:val="20"/>
              </w:rPr>
            </w:pPr>
          </w:p>
        </w:tc>
        <w:tc>
          <w:tcPr>
            <w:tcW w:w="2414" w:type="dxa"/>
          </w:tcPr>
          <w:p w14:paraId="07BA600F">
            <w:pPr>
              <w:jc w:val="center"/>
              <w:rPr>
                <w:rFonts w:ascii="Times New Roman" w:hAnsi="Times New Roman" w:eastAsia="宋体" w:cs="Times New Roman"/>
                <w:b/>
                <w:sz w:val="24"/>
                <w:szCs w:val="20"/>
              </w:rPr>
            </w:pPr>
          </w:p>
        </w:tc>
        <w:tc>
          <w:tcPr>
            <w:tcW w:w="1608" w:type="dxa"/>
          </w:tcPr>
          <w:p w14:paraId="4182F7F3">
            <w:pPr>
              <w:jc w:val="center"/>
              <w:rPr>
                <w:rFonts w:ascii="Times New Roman" w:hAnsi="Times New Roman" w:eastAsia="宋体" w:cs="Times New Roman"/>
                <w:b/>
                <w:sz w:val="24"/>
                <w:szCs w:val="20"/>
              </w:rPr>
            </w:pPr>
          </w:p>
        </w:tc>
      </w:tr>
      <w:tr w14:paraId="67355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1771901E">
            <w:pPr>
              <w:jc w:val="center"/>
              <w:rPr>
                <w:rFonts w:ascii="Times New Roman" w:hAnsi="Times New Roman" w:eastAsia="宋体" w:cs="Times New Roman"/>
                <w:b/>
                <w:sz w:val="24"/>
                <w:szCs w:val="20"/>
              </w:rPr>
            </w:pPr>
          </w:p>
        </w:tc>
        <w:tc>
          <w:tcPr>
            <w:tcW w:w="3449" w:type="dxa"/>
          </w:tcPr>
          <w:p w14:paraId="51385417">
            <w:pPr>
              <w:jc w:val="center"/>
              <w:rPr>
                <w:rFonts w:ascii="Times New Roman" w:hAnsi="Times New Roman" w:eastAsia="宋体" w:cs="Times New Roman"/>
                <w:b/>
                <w:sz w:val="24"/>
                <w:szCs w:val="20"/>
              </w:rPr>
            </w:pPr>
          </w:p>
        </w:tc>
        <w:tc>
          <w:tcPr>
            <w:tcW w:w="2414" w:type="dxa"/>
          </w:tcPr>
          <w:p w14:paraId="1CCF8005">
            <w:pPr>
              <w:jc w:val="center"/>
              <w:rPr>
                <w:rFonts w:ascii="Times New Roman" w:hAnsi="Times New Roman" w:eastAsia="宋体" w:cs="Times New Roman"/>
                <w:b/>
                <w:sz w:val="24"/>
                <w:szCs w:val="20"/>
              </w:rPr>
            </w:pPr>
          </w:p>
        </w:tc>
        <w:tc>
          <w:tcPr>
            <w:tcW w:w="1608" w:type="dxa"/>
          </w:tcPr>
          <w:p w14:paraId="2AB884FD">
            <w:pPr>
              <w:jc w:val="center"/>
              <w:rPr>
                <w:rFonts w:ascii="Times New Roman" w:hAnsi="Times New Roman" w:eastAsia="宋体" w:cs="Times New Roman"/>
                <w:b/>
                <w:sz w:val="24"/>
                <w:szCs w:val="20"/>
              </w:rPr>
            </w:pPr>
          </w:p>
        </w:tc>
      </w:tr>
      <w:tr w14:paraId="253CE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AB9EDF">
            <w:pPr>
              <w:jc w:val="center"/>
              <w:rPr>
                <w:rFonts w:ascii="Times New Roman" w:hAnsi="Times New Roman" w:eastAsia="宋体" w:cs="Times New Roman"/>
                <w:b/>
                <w:sz w:val="24"/>
                <w:szCs w:val="20"/>
              </w:rPr>
            </w:pPr>
          </w:p>
        </w:tc>
        <w:tc>
          <w:tcPr>
            <w:tcW w:w="3449" w:type="dxa"/>
          </w:tcPr>
          <w:p w14:paraId="644000E4">
            <w:pPr>
              <w:jc w:val="center"/>
              <w:rPr>
                <w:rFonts w:ascii="Times New Roman" w:hAnsi="Times New Roman" w:eastAsia="宋体" w:cs="Times New Roman"/>
                <w:b/>
                <w:sz w:val="24"/>
                <w:szCs w:val="20"/>
              </w:rPr>
            </w:pPr>
          </w:p>
        </w:tc>
        <w:tc>
          <w:tcPr>
            <w:tcW w:w="2414" w:type="dxa"/>
          </w:tcPr>
          <w:p w14:paraId="08279430">
            <w:pPr>
              <w:jc w:val="center"/>
              <w:rPr>
                <w:rFonts w:ascii="Times New Roman" w:hAnsi="Times New Roman" w:eastAsia="宋体" w:cs="Times New Roman"/>
                <w:b/>
                <w:sz w:val="24"/>
                <w:szCs w:val="20"/>
              </w:rPr>
            </w:pPr>
          </w:p>
        </w:tc>
        <w:tc>
          <w:tcPr>
            <w:tcW w:w="1608" w:type="dxa"/>
          </w:tcPr>
          <w:p w14:paraId="291E87E1">
            <w:pPr>
              <w:jc w:val="center"/>
              <w:rPr>
                <w:rFonts w:ascii="Times New Roman" w:hAnsi="Times New Roman" w:eastAsia="宋体" w:cs="Times New Roman"/>
                <w:b/>
                <w:sz w:val="24"/>
                <w:szCs w:val="20"/>
              </w:rPr>
            </w:pPr>
          </w:p>
        </w:tc>
      </w:tr>
      <w:tr w14:paraId="501D7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2859E79">
            <w:pPr>
              <w:jc w:val="center"/>
              <w:rPr>
                <w:rFonts w:ascii="Times New Roman" w:hAnsi="Times New Roman" w:eastAsia="宋体" w:cs="Times New Roman"/>
                <w:b/>
                <w:sz w:val="24"/>
                <w:szCs w:val="20"/>
              </w:rPr>
            </w:pPr>
          </w:p>
        </w:tc>
        <w:tc>
          <w:tcPr>
            <w:tcW w:w="3449" w:type="dxa"/>
          </w:tcPr>
          <w:p w14:paraId="3F098E92">
            <w:pPr>
              <w:jc w:val="center"/>
              <w:rPr>
                <w:rFonts w:ascii="Times New Roman" w:hAnsi="Times New Roman" w:eastAsia="宋体" w:cs="Times New Roman"/>
                <w:b/>
                <w:sz w:val="24"/>
                <w:szCs w:val="20"/>
              </w:rPr>
            </w:pPr>
          </w:p>
        </w:tc>
        <w:tc>
          <w:tcPr>
            <w:tcW w:w="2414" w:type="dxa"/>
          </w:tcPr>
          <w:p w14:paraId="193DB11C">
            <w:pPr>
              <w:jc w:val="center"/>
              <w:rPr>
                <w:rFonts w:ascii="Times New Roman" w:hAnsi="Times New Roman" w:eastAsia="宋体" w:cs="Times New Roman"/>
                <w:b/>
                <w:sz w:val="24"/>
                <w:szCs w:val="20"/>
              </w:rPr>
            </w:pPr>
          </w:p>
        </w:tc>
        <w:tc>
          <w:tcPr>
            <w:tcW w:w="1608" w:type="dxa"/>
          </w:tcPr>
          <w:p w14:paraId="01217D04">
            <w:pPr>
              <w:jc w:val="center"/>
              <w:rPr>
                <w:rFonts w:ascii="Times New Roman" w:hAnsi="Times New Roman" w:eastAsia="宋体" w:cs="Times New Roman"/>
                <w:b/>
                <w:sz w:val="24"/>
                <w:szCs w:val="20"/>
              </w:rPr>
            </w:pPr>
          </w:p>
        </w:tc>
      </w:tr>
      <w:tr w14:paraId="38FA8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418DB7F">
            <w:pPr>
              <w:jc w:val="center"/>
              <w:rPr>
                <w:rFonts w:ascii="Times New Roman" w:hAnsi="Times New Roman" w:eastAsia="宋体" w:cs="Times New Roman"/>
                <w:b/>
                <w:sz w:val="24"/>
                <w:szCs w:val="20"/>
              </w:rPr>
            </w:pPr>
          </w:p>
        </w:tc>
        <w:tc>
          <w:tcPr>
            <w:tcW w:w="3449" w:type="dxa"/>
          </w:tcPr>
          <w:p w14:paraId="7915F165">
            <w:pPr>
              <w:jc w:val="center"/>
              <w:rPr>
                <w:rFonts w:ascii="Times New Roman" w:hAnsi="Times New Roman" w:eastAsia="宋体" w:cs="Times New Roman"/>
                <w:b/>
                <w:sz w:val="24"/>
                <w:szCs w:val="20"/>
              </w:rPr>
            </w:pPr>
          </w:p>
        </w:tc>
        <w:tc>
          <w:tcPr>
            <w:tcW w:w="2414" w:type="dxa"/>
          </w:tcPr>
          <w:p w14:paraId="768C823D">
            <w:pPr>
              <w:jc w:val="center"/>
              <w:rPr>
                <w:rFonts w:ascii="Times New Roman" w:hAnsi="Times New Roman" w:eastAsia="宋体" w:cs="Times New Roman"/>
                <w:b/>
                <w:sz w:val="24"/>
                <w:szCs w:val="20"/>
              </w:rPr>
            </w:pPr>
          </w:p>
        </w:tc>
        <w:tc>
          <w:tcPr>
            <w:tcW w:w="1608" w:type="dxa"/>
          </w:tcPr>
          <w:p w14:paraId="5EAA0BF8">
            <w:pPr>
              <w:jc w:val="center"/>
              <w:rPr>
                <w:rFonts w:ascii="Times New Roman" w:hAnsi="Times New Roman" w:eastAsia="宋体" w:cs="Times New Roman"/>
                <w:b/>
                <w:sz w:val="24"/>
                <w:szCs w:val="20"/>
              </w:rPr>
            </w:pPr>
          </w:p>
        </w:tc>
      </w:tr>
      <w:tr w14:paraId="70FFD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8E938B4">
            <w:pPr>
              <w:jc w:val="center"/>
              <w:rPr>
                <w:rFonts w:ascii="Times New Roman" w:hAnsi="Times New Roman" w:eastAsia="宋体" w:cs="Times New Roman"/>
                <w:b/>
                <w:sz w:val="24"/>
                <w:szCs w:val="20"/>
              </w:rPr>
            </w:pPr>
          </w:p>
        </w:tc>
        <w:tc>
          <w:tcPr>
            <w:tcW w:w="3449" w:type="dxa"/>
          </w:tcPr>
          <w:p w14:paraId="6E9BCD1A">
            <w:pPr>
              <w:jc w:val="center"/>
              <w:rPr>
                <w:rFonts w:ascii="Times New Roman" w:hAnsi="Times New Roman" w:eastAsia="宋体" w:cs="Times New Roman"/>
                <w:b/>
                <w:sz w:val="24"/>
                <w:szCs w:val="20"/>
              </w:rPr>
            </w:pPr>
          </w:p>
        </w:tc>
        <w:tc>
          <w:tcPr>
            <w:tcW w:w="2414" w:type="dxa"/>
          </w:tcPr>
          <w:p w14:paraId="0B4AC6E9">
            <w:pPr>
              <w:jc w:val="center"/>
              <w:rPr>
                <w:rFonts w:ascii="Times New Roman" w:hAnsi="Times New Roman" w:eastAsia="宋体" w:cs="Times New Roman"/>
                <w:b/>
                <w:sz w:val="24"/>
                <w:szCs w:val="20"/>
              </w:rPr>
            </w:pPr>
          </w:p>
        </w:tc>
        <w:tc>
          <w:tcPr>
            <w:tcW w:w="1608" w:type="dxa"/>
          </w:tcPr>
          <w:p w14:paraId="028C254A">
            <w:pPr>
              <w:jc w:val="center"/>
              <w:rPr>
                <w:rFonts w:ascii="Times New Roman" w:hAnsi="Times New Roman" w:eastAsia="宋体" w:cs="Times New Roman"/>
                <w:b/>
                <w:sz w:val="24"/>
                <w:szCs w:val="20"/>
              </w:rPr>
            </w:pPr>
          </w:p>
        </w:tc>
      </w:tr>
      <w:tr w14:paraId="13FEF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A00F9C">
            <w:pPr>
              <w:jc w:val="center"/>
              <w:rPr>
                <w:rFonts w:ascii="Times New Roman" w:hAnsi="Times New Roman" w:eastAsia="宋体" w:cs="Times New Roman"/>
                <w:b/>
                <w:sz w:val="24"/>
                <w:szCs w:val="20"/>
              </w:rPr>
            </w:pPr>
          </w:p>
        </w:tc>
        <w:tc>
          <w:tcPr>
            <w:tcW w:w="3449" w:type="dxa"/>
          </w:tcPr>
          <w:p w14:paraId="3CC3881A">
            <w:pPr>
              <w:jc w:val="center"/>
              <w:rPr>
                <w:rFonts w:ascii="Times New Roman" w:hAnsi="Times New Roman" w:eastAsia="宋体" w:cs="Times New Roman"/>
                <w:b/>
                <w:sz w:val="24"/>
                <w:szCs w:val="20"/>
              </w:rPr>
            </w:pPr>
          </w:p>
        </w:tc>
        <w:tc>
          <w:tcPr>
            <w:tcW w:w="2414" w:type="dxa"/>
          </w:tcPr>
          <w:p w14:paraId="7C3BEC73">
            <w:pPr>
              <w:jc w:val="center"/>
              <w:rPr>
                <w:rFonts w:ascii="Times New Roman" w:hAnsi="Times New Roman" w:eastAsia="宋体" w:cs="Times New Roman"/>
                <w:b/>
                <w:sz w:val="24"/>
                <w:szCs w:val="20"/>
              </w:rPr>
            </w:pPr>
          </w:p>
        </w:tc>
        <w:tc>
          <w:tcPr>
            <w:tcW w:w="1608" w:type="dxa"/>
          </w:tcPr>
          <w:p w14:paraId="35B6BC96">
            <w:pPr>
              <w:jc w:val="center"/>
              <w:rPr>
                <w:rFonts w:ascii="Times New Roman" w:hAnsi="Times New Roman" w:eastAsia="宋体" w:cs="Times New Roman"/>
                <w:b/>
                <w:sz w:val="24"/>
                <w:szCs w:val="20"/>
              </w:rPr>
            </w:pPr>
          </w:p>
        </w:tc>
      </w:tr>
      <w:tr w14:paraId="30905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731F269">
            <w:pPr>
              <w:jc w:val="center"/>
              <w:rPr>
                <w:rFonts w:ascii="Times New Roman" w:hAnsi="Times New Roman" w:eastAsia="宋体" w:cs="Times New Roman"/>
                <w:b/>
                <w:sz w:val="24"/>
                <w:szCs w:val="20"/>
              </w:rPr>
            </w:pPr>
          </w:p>
        </w:tc>
        <w:tc>
          <w:tcPr>
            <w:tcW w:w="3449" w:type="dxa"/>
          </w:tcPr>
          <w:p w14:paraId="3108A61E">
            <w:pPr>
              <w:jc w:val="center"/>
              <w:rPr>
                <w:rFonts w:ascii="Times New Roman" w:hAnsi="Times New Roman" w:eastAsia="宋体" w:cs="Times New Roman"/>
                <w:b/>
                <w:sz w:val="24"/>
                <w:szCs w:val="20"/>
              </w:rPr>
            </w:pPr>
          </w:p>
        </w:tc>
        <w:tc>
          <w:tcPr>
            <w:tcW w:w="2414" w:type="dxa"/>
          </w:tcPr>
          <w:p w14:paraId="4CC2AEE6">
            <w:pPr>
              <w:jc w:val="center"/>
              <w:rPr>
                <w:rFonts w:ascii="Times New Roman" w:hAnsi="Times New Roman" w:eastAsia="宋体" w:cs="Times New Roman"/>
                <w:b/>
                <w:sz w:val="24"/>
                <w:szCs w:val="20"/>
              </w:rPr>
            </w:pPr>
          </w:p>
        </w:tc>
        <w:tc>
          <w:tcPr>
            <w:tcW w:w="1608" w:type="dxa"/>
          </w:tcPr>
          <w:p w14:paraId="62E77EC4">
            <w:pPr>
              <w:jc w:val="center"/>
              <w:rPr>
                <w:rFonts w:ascii="Times New Roman" w:hAnsi="Times New Roman" w:eastAsia="宋体" w:cs="Times New Roman"/>
                <w:b/>
                <w:sz w:val="24"/>
                <w:szCs w:val="20"/>
              </w:rPr>
            </w:pPr>
          </w:p>
        </w:tc>
      </w:tr>
      <w:tr w14:paraId="0BC71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E6093AE">
            <w:pPr>
              <w:jc w:val="center"/>
              <w:rPr>
                <w:rFonts w:ascii="Times New Roman" w:hAnsi="Times New Roman" w:eastAsia="宋体" w:cs="Times New Roman"/>
                <w:b/>
                <w:sz w:val="24"/>
                <w:szCs w:val="20"/>
              </w:rPr>
            </w:pPr>
          </w:p>
        </w:tc>
        <w:tc>
          <w:tcPr>
            <w:tcW w:w="3449" w:type="dxa"/>
          </w:tcPr>
          <w:p w14:paraId="2863D437">
            <w:pPr>
              <w:jc w:val="center"/>
              <w:rPr>
                <w:rFonts w:ascii="Times New Roman" w:hAnsi="Times New Roman" w:eastAsia="宋体" w:cs="Times New Roman"/>
                <w:b/>
                <w:sz w:val="24"/>
                <w:szCs w:val="20"/>
              </w:rPr>
            </w:pPr>
          </w:p>
        </w:tc>
        <w:tc>
          <w:tcPr>
            <w:tcW w:w="2414" w:type="dxa"/>
          </w:tcPr>
          <w:p w14:paraId="68F595E9">
            <w:pPr>
              <w:jc w:val="center"/>
              <w:rPr>
                <w:rFonts w:ascii="Times New Roman" w:hAnsi="Times New Roman" w:eastAsia="宋体" w:cs="Times New Roman"/>
                <w:b/>
                <w:sz w:val="24"/>
                <w:szCs w:val="20"/>
              </w:rPr>
            </w:pPr>
          </w:p>
        </w:tc>
        <w:tc>
          <w:tcPr>
            <w:tcW w:w="1608" w:type="dxa"/>
          </w:tcPr>
          <w:p w14:paraId="6C7E6D6F">
            <w:pPr>
              <w:jc w:val="center"/>
              <w:rPr>
                <w:rFonts w:ascii="Times New Roman" w:hAnsi="Times New Roman" w:eastAsia="宋体" w:cs="Times New Roman"/>
                <w:b/>
                <w:sz w:val="24"/>
                <w:szCs w:val="20"/>
              </w:rPr>
            </w:pPr>
          </w:p>
        </w:tc>
      </w:tr>
      <w:tr w14:paraId="0C54B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F49A164">
            <w:pPr>
              <w:jc w:val="center"/>
              <w:rPr>
                <w:rFonts w:ascii="Times New Roman" w:hAnsi="Times New Roman" w:eastAsia="宋体" w:cs="Times New Roman"/>
                <w:b/>
                <w:sz w:val="24"/>
                <w:szCs w:val="20"/>
              </w:rPr>
            </w:pPr>
          </w:p>
        </w:tc>
        <w:tc>
          <w:tcPr>
            <w:tcW w:w="3449" w:type="dxa"/>
          </w:tcPr>
          <w:p w14:paraId="671813B4">
            <w:pPr>
              <w:jc w:val="center"/>
              <w:rPr>
                <w:rFonts w:ascii="Times New Roman" w:hAnsi="Times New Roman" w:eastAsia="宋体" w:cs="Times New Roman"/>
                <w:b/>
                <w:sz w:val="24"/>
                <w:szCs w:val="20"/>
              </w:rPr>
            </w:pPr>
          </w:p>
        </w:tc>
        <w:tc>
          <w:tcPr>
            <w:tcW w:w="2414" w:type="dxa"/>
          </w:tcPr>
          <w:p w14:paraId="1E315181">
            <w:pPr>
              <w:jc w:val="center"/>
              <w:rPr>
                <w:rFonts w:ascii="Times New Roman" w:hAnsi="Times New Roman" w:eastAsia="宋体" w:cs="Times New Roman"/>
                <w:b/>
                <w:sz w:val="24"/>
                <w:szCs w:val="20"/>
              </w:rPr>
            </w:pPr>
          </w:p>
        </w:tc>
        <w:tc>
          <w:tcPr>
            <w:tcW w:w="1608" w:type="dxa"/>
          </w:tcPr>
          <w:p w14:paraId="07B191D6">
            <w:pPr>
              <w:jc w:val="center"/>
              <w:rPr>
                <w:rFonts w:ascii="Times New Roman" w:hAnsi="Times New Roman" w:eastAsia="宋体" w:cs="Times New Roman"/>
                <w:b/>
                <w:sz w:val="24"/>
                <w:szCs w:val="20"/>
              </w:rPr>
            </w:pPr>
          </w:p>
        </w:tc>
      </w:tr>
      <w:tr w14:paraId="559BB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8E54C00">
            <w:pPr>
              <w:jc w:val="center"/>
              <w:rPr>
                <w:rFonts w:ascii="Times New Roman" w:hAnsi="Times New Roman" w:eastAsia="宋体" w:cs="Times New Roman"/>
                <w:b/>
                <w:sz w:val="24"/>
                <w:szCs w:val="20"/>
              </w:rPr>
            </w:pPr>
          </w:p>
        </w:tc>
        <w:tc>
          <w:tcPr>
            <w:tcW w:w="3449" w:type="dxa"/>
          </w:tcPr>
          <w:p w14:paraId="7C38B261">
            <w:pPr>
              <w:jc w:val="center"/>
              <w:rPr>
                <w:rFonts w:ascii="Times New Roman" w:hAnsi="Times New Roman" w:eastAsia="宋体" w:cs="Times New Roman"/>
                <w:b/>
                <w:sz w:val="24"/>
                <w:szCs w:val="20"/>
              </w:rPr>
            </w:pPr>
          </w:p>
        </w:tc>
        <w:tc>
          <w:tcPr>
            <w:tcW w:w="2414" w:type="dxa"/>
          </w:tcPr>
          <w:p w14:paraId="1CE2BF2B">
            <w:pPr>
              <w:jc w:val="center"/>
              <w:rPr>
                <w:rFonts w:ascii="Times New Roman" w:hAnsi="Times New Roman" w:eastAsia="宋体" w:cs="Times New Roman"/>
                <w:b/>
                <w:sz w:val="24"/>
                <w:szCs w:val="20"/>
              </w:rPr>
            </w:pPr>
          </w:p>
        </w:tc>
        <w:tc>
          <w:tcPr>
            <w:tcW w:w="1608" w:type="dxa"/>
          </w:tcPr>
          <w:p w14:paraId="5471F39D">
            <w:pPr>
              <w:jc w:val="center"/>
              <w:rPr>
                <w:rFonts w:ascii="Times New Roman" w:hAnsi="Times New Roman" w:eastAsia="宋体" w:cs="Times New Roman"/>
                <w:b/>
                <w:sz w:val="24"/>
                <w:szCs w:val="20"/>
              </w:rPr>
            </w:pPr>
          </w:p>
        </w:tc>
      </w:tr>
      <w:tr w14:paraId="78C94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79C2267">
            <w:pPr>
              <w:jc w:val="center"/>
              <w:rPr>
                <w:rFonts w:ascii="Times New Roman" w:hAnsi="Times New Roman" w:eastAsia="宋体" w:cs="Times New Roman"/>
                <w:b/>
                <w:sz w:val="24"/>
                <w:szCs w:val="20"/>
              </w:rPr>
            </w:pPr>
          </w:p>
        </w:tc>
        <w:tc>
          <w:tcPr>
            <w:tcW w:w="3449" w:type="dxa"/>
          </w:tcPr>
          <w:p w14:paraId="6CB7B5D9">
            <w:pPr>
              <w:jc w:val="center"/>
              <w:rPr>
                <w:rFonts w:ascii="Times New Roman" w:hAnsi="Times New Roman" w:eastAsia="宋体" w:cs="Times New Roman"/>
                <w:b/>
                <w:sz w:val="24"/>
                <w:szCs w:val="20"/>
              </w:rPr>
            </w:pPr>
          </w:p>
        </w:tc>
        <w:tc>
          <w:tcPr>
            <w:tcW w:w="2414" w:type="dxa"/>
          </w:tcPr>
          <w:p w14:paraId="387D00FC">
            <w:pPr>
              <w:jc w:val="center"/>
              <w:rPr>
                <w:rFonts w:ascii="Times New Roman" w:hAnsi="Times New Roman" w:eastAsia="宋体" w:cs="Times New Roman"/>
                <w:b/>
                <w:sz w:val="24"/>
                <w:szCs w:val="20"/>
              </w:rPr>
            </w:pPr>
          </w:p>
        </w:tc>
        <w:tc>
          <w:tcPr>
            <w:tcW w:w="1608" w:type="dxa"/>
          </w:tcPr>
          <w:p w14:paraId="1019316D">
            <w:pPr>
              <w:jc w:val="center"/>
              <w:rPr>
                <w:rFonts w:ascii="Times New Roman" w:hAnsi="Times New Roman" w:eastAsia="宋体" w:cs="Times New Roman"/>
                <w:b/>
                <w:sz w:val="24"/>
                <w:szCs w:val="20"/>
              </w:rPr>
            </w:pPr>
          </w:p>
        </w:tc>
      </w:tr>
    </w:tbl>
    <w:p w14:paraId="748848F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69AE32B">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8E24765">
      <w:pPr>
        <w:rPr>
          <w:rFonts w:ascii="宋体" w:hAnsi="Calibri" w:eastAsia="宋体" w:cs="宋体"/>
          <w:b/>
          <w:bCs/>
          <w:color w:val="000000"/>
          <w:sz w:val="28"/>
          <w:szCs w:val="20"/>
        </w:rPr>
      </w:pPr>
    </w:p>
    <w:p w14:paraId="34F82AAD">
      <w:pPr>
        <w:rPr>
          <w:rFonts w:ascii="宋体" w:hAnsi="Calibri" w:eastAsia="宋体" w:cs="宋体"/>
          <w:b/>
          <w:bCs/>
          <w:color w:val="000000"/>
          <w:sz w:val="28"/>
          <w:szCs w:val="20"/>
        </w:rPr>
        <w:sectPr>
          <w:footerReference r:id="rId27" w:type="first"/>
          <w:footerReference r:id="rId26" w:type="default"/>
          <w:pgSz w:w="11906" w:h="16838"/>
          <w:pgMar w:top="1588" w:right="1418" w:bottom="1134" w:left="1418" w:header="851" w:footer="992" w:gutter="0"/>
          <w:cols w:space="720" w:num="1"/>
          <w:titlePg/>
          <w:docGrid w:type="lines" w:linePitch="312" w:charSpace="0"/>
        </w:sectPr>
      </w:pPr>
    </w:p>
    <w:p w14:paraId="5E4BF2EC">
      <w:pPr>
        <w:keepNext/>
        <w:keepLines/>
        <w:outlineLvl w:val="2"/>
        <w:rPr>
          <w:rFonts w:hint="eastAsia" w:ascii="Times New Roman" w:hAnsi="Times New Roman" w:eastAsia="宋体" w:cs="宋体"/>
          <w:b/>
          <w:bCs/>
          <w:color w:val="000000"/>
          <w:sz w:val="24"/>
          <w:szCs w:val="24"/>
        </w:rPr>
      </w:pPr>
    </w:p>
    <w:p w14:paraId="3D862A38">
      <w:pPr>
        <w:keepNext/>
        <w:keepLines/>
        <w:outlineLvl w:val="2"/>
        <w:rPr>
          <w:rFonts w:hint="eastAsia" w:ascii="Times New Roman" w:hAnsi="Times New Roman" w:eastAsia="宋体" w:cs="宋体"/>
          <w:b/>
          <w:bCs/>
          <w:color w:val="000000"/>
          <w:sz w:val="24"/>
          <w:szCs w:val="24"/>
        </w:rPr>
      </w:pPr>
    </w:p>
    <w:p w14:paraId="1BF1B96B">
      <w:pPr>
        <w:keepNext/>
        <w:keepLines/>
        <w:outlineLvl w:val="2"/>
        <w:rPr>
          <w:rFonts w:hint="eastAsia" w:ascii="Times New Roman" w:hAnsi="Times New Roman" w:eastAsia="宋体" w:cs="宋体"/>
          <w:b/>
          <w:bCs/>
          <w:color w:val="000000"/>
          <w:sz w:val="24"/>
          <w:szCs w:val="24"/>
        </w:rPr>
      </w:pPr>
    </w:p>
    <w:p w14:paraId="675D020C">
      <w:pPr>
        <w:keepNext/>
        <w:keepLines/>
        <w:outlineLvl w:val="2"/>
        <w:rPr>
          <w:rFonts w:hint="eastAsia" w:ascii="Times New Roman" w:hAnsi="Times New Roman" w:eastAsia="宋体" w:cs="宋体"/>
          <w:b/>
          <w:bCs/>
          <w:color w:val="000000"/>
          <w:sz w:val="24"/>
          <w:szCs w:val="24"/>
        </w:rPr>
      </w:pPr>
    </w:p>
    <w:p w14:paraId="1E3B158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14:textOutline w14:w="5791" w14:cap="flat" w14:cmpd="sng" w14:algn="ctr">
            <w14:solidFill>
              <w14:srgbClr w14:val="000000"/>
            </w14:solidFill>
            <w14:prstDash w14:val="solid"/>
            <w14:miter w14:val="0"/>
          </w14:textOutline>
        </w:rPr>
        <w:t>配置</w:t>
      </w:r>
    </w:p>
    <w:p w14:paraId="54D8445A">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14:paraId="775104F0">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202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335"/>
        <w:gridCol w:w="1824"/>
        <w:gridCol w:w="2362"/>
        <w:gridCol w:w="1355"/>
      </w:tblGrid>
      <w:tr w14:paraId="714567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14:paraId="58CDFB6E">
            <w:pPr>
              <w:spacing w:before="97" w:line="186" w:lineRule="auto"/>
              <w:ind w:left="304"/>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tcPr>
          <w:p w14:paraId="38369203">
            <w:pPr>
              <w:spacing w:before="98" w:line="185" w:lineRule="auto"/>
              <w:ind w:left="10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tcPr>
          <w:p w14:paraId="2508F7E1">
            <w:pPr>
              <w:spacing w:before="99" w:line="183"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335" w:type="dxa"/>
          </w:tcPr>
          <w:p w14:paraId="08712425">
            <w:pPr>
              <w:spacing w:before="98" w:line="185" w:lineRule="auto"/>
              <w:ind w:left="51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824" w:type="dxa"/>
          </w:tcPr>
          <w:p w14:paraId="52777782">
            <w:pPr>
              <w:spacing w:before="100" w:line="182" w:lineRule="auto"/>
              <w:ind w:left="798"/>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362" w:type="dxa"/>
            <w:tcBorders>
              <w:left w:val="single" w:color="000000" w:sz="4" w:space="0"/>
            </w:tcBorders>
          </w:tcPr>
          <w:p w14:paraId="1A74B95A">
            <w:pPr>
              <w:spacing w:before="100" w:line="182" w:lineRule="auto"/>
              <w:ind w:left="1007"/>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355" w:type="dxa"/>
          </w:tcPr>
          <w:p w14:paraId="64A9672C">
            <w:pPr>
              <w:spacing w:before="99" w:line="183"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14:paraId="5C46F9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4F39DC5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vAlign w:val="center"/>
          </w:tcPr>
          <w:p w14:paraId="29989E0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14:paraId="4A68CD4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335" w:type="dxa"/>
            <w:vAlign w:val="center"/>
          </w:tcPr>
          <w:p w14:paraId="63507EF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824" w:type="dxa"/>
            <w:vAlign w:val="center"/>
          </w:tcPr>
          <w:p w14:paraId="47CE71F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362" w:type="dxa"/>
            <w:tcBorders>
              <w:left w:val="single" w:color="000000" w:sz="4" w:space="0"/>
            </w:tcBorders>
            <w:vAlign w:val="center"/>
          </w:tcPr>
          <w:p w14:paraId="594DA46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355" w:type="dxa"/>
            <w:vAlign w:val="center"/>
          </w:tcPr>
          <w:p w14:paraId="535D5CE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6FDD6C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20A2E9B7">
            <w:pPr>
              <w:widowControl/>
              <w:jc w:val="center"/>
              <w:textAlignment w:val="center"/>
              <w:rPr>
                <w:rFonts w:hint="eastAsia" w:ascii="宋体" w:hAnsi="宋体" w:eastAsia="宋体" w:cs="宋体"/>
                <w:sz w:val="24"/>
                <w:szCs w:val="24"/>
              </w:rPr>
            </w:pPr>
          </w:p>
        </w:tc>
        <w:tc>
          <w:tcPr>
            <w:tcW w:w="2238" w:type="dxa"/>
            <w:vAlign w:val="center"/>
          </w:tcPr>
          <w:p w14:paraId="50D828F5">
            <w:pPr>
              <w:spacing w:line="360" w:lineRule="auto"/>
              <w:jc w:val="center"/>
              <w:rPr>
                <w:rFonts w:hint="eastAsia" w:ascii="宋体" w:hAnsi="宋体" w:eastAsia="宋体"/>
                <w:bCs/>
                <w:sz w:val="24"/>
                <w:szCs w:val="24"/>
              </w:rPr>
            </w:pPr>
          </w:p>
        </w:tc>
        <w:tc>
          <w:tcPr>
            <w:tcW w:w="2239" w:type="dxa"/>
            <w:vAlign w:val="center"/>
          </w:tcPr>
          <w:p w14:paraId="5B93477F">
            <w:pPr>
              <w:spacing w:line="360" w:lineRule="auto"/>
              <w:jc w:val="center"/>
              <w:rPr>
                <w:rFonts w:hint="eastAsia" w:ascii="Arial"/>
                <w:sz w:val="24"/>
                <w:szCs w:val="24"/>
              </w:rPr>
            </w:pPr>
          </w:p>
        </w:tc>
        <w:tc>
          <w:tcPr>
            <w:tcW w:w="1335" w:type="dxa"/>
            <w:vAlign w:val="center"/>
          </w:tcPr>
          <w:p w14:paraId="60EA868F">
            <w:pPr>
              <w:jc w:val="center"/>
              <w:textAlignment w:val="center"/>
              <w:rPr>
                <w:rFonts w:hint="eastAsia" w:ascii="Arial"/>
                <w:sz w:val="24"/>
                <w:szCs w:val="24"/>
              </w:rPr>
            </w:pPr>
          </w:p>
        </w:tc>
        <w:tc>
          <w:tcPr>
            <w:tcW w:w="1824" w:type="dxa"/>
            <w:vAlign w:val="center"/>
          </w:tcPr>
          <w:p w14:paraId="335090DC">
            <w:pPr>
              <w:jc w:val="center"/>
              <w:rPr>
                <w:rFonts w:hint="eastAsia" w:ascii="Arial"/>
                <w:sz w:val="24"/>
                <w:szCs w:val="24"/>
              </w:rPr>
            </w:pPr>
          </w:p>
        </w:tc>
        <w:tc>
          <w:tcPr>
            <w:tcW w:w="2362" w:type="dxa"/>
            <w:tcBorders>
              <w:left w:val="single" w:color="000000" w:sz="4" w:space="0"/>
            </w:tcBorders>
            <w:vAlign w:val="center"/>
          </w:tcPr>
          <w:p w14:paraId="2542B127">
            <w:pPr>
              <w:jc w:val="center"/>
              <w:rPr>
                <w:rFonts w:hint="eastAsia" w:ascii="Arial"/>
                <w:sz w:val="24"/>
                <w:szCs w:val="24"/>
              </w:rPr>
            </w:pPr>
          </w:p>
        </w:tc>
        <w:tc>
          <w:tcPr>
            <w:tcW w:w="1355" w:type="dxa"/>
          </w:tcPr>
          <w:p w14:paraId="20C727DD">
            <w:pPr>
              <w:rPr>
                <w:rFonts w:hint="eastAsia" w:ascii="Arial"/>
                <w:sz w:val="24"/>
                <w:szCs w:val="24"/>
              </w:rPr>
            </w:pPr>
          </w:p>
        </w:tc>
      </w:tr>
      <w:tr w14:paraId="446685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28DF7D1E">
            <w:pPr>
              <w:widowControl/>
              <w:jc w:val="center"/>
              <w:textAlignment w:val="center"/>
              <w:rPr>
                <w:rFonts w:hint="eastAsia" w:ascii="宋体" w:hAnsi="宋体" w:eastAsia="宋体" w:cs="宋体"/>
                <w:sz w:val="24"/>
                <w:szCs w:val="24"/>
              </w:rPr>
            </w:pPr>
          </w:p>
        </w:tc>
        <w:tc>
          <w:tcPr>
            <w:tcW w:w="2238" w:type="dxa"/>
            <w:vAlign w:val="center"/>
          </w:tcPr>
          <w:p w14:paraId="151B39D4">
            <w:pPr>
              <w:spacing w:line="360" w:lineRule="auto"/>
              <w:rPr>
                <w:rFonts w:hint="eastAsia" w:ascii="宋体" w:hAnsi="宋体" w:eastAsia="宋体"/>
                <w:bCs/>
                <w:sz w:val="24"/>
                <w:szCs w:val="24"/>
              </w:rPr>
            </w:pPr>
          </w:p>
        </w:tc>
        <w:tc>
          <w:tcPr>
            <w:tcW w:w="2239" w:type="dxa"/>
            <w:vAlign w:val="center"/>
          </w:tcPr>
          <w:p w14:paraId="7DA86230">
            <w:pPr>
              <w:spacing w:line="360" w:lineRule="auto"/>
              <w:jc w:val="center"/>
              <w:rPr>
                <w:rFonts w:hint="eastAsia" w:ascii="Arial"/>
                <w:sz w:val="24"/>
                <w:szCs w:val="24"/>
              </w:rPr>
            </w:pPr>
          </w:p>
        </w:tc>
        <w:tc>
          <w:tcPr>
            <w:tcW w:w="1335" w:type="dxa"/>
            <w:vAlign w:val="center"/>
          </w:tcPr>
          <w:p w14:paraId="2753CA4E">
            <w:pPr>
              <w:jc w:val="center"/>
              <w:textAlignment w:val="center"/>
              <w:rPr>
                <w:rFonts w:hint="eastAsia" w:ascii="Arial"/>
                <w:sz w:val="24"/>
                <w:szCs w:val="24"/>
              </w:rPr>
            </w:pPr>
          </w:p>
        </w:tc>
        <w:tc>
          <w:tcPr>
            <w:tcW w:w="1824" w:type="dxa"/>
            <w:vAlign w:val="center"/>
          </w:tcPr>
          <w:p w14:paraId="7EAD2FB7">
            <w:pPr>
              <w:jc w:val="center"/>
              <w:rPr>
                <w:rFonts w:hint="eastAsia" w:ascii="Arial"/>
                <w:sz w:val="24"/>
                <w:szCs w:val="24"/>
              </w:rPr>
            </w:pPr>
          </w:p>
        </w:tc>
        <w:tc>
          <w:tcPr>
            <w:tcW w:w="2362" w:type="dxa"/>
            <w:tcBorders>
              <w:left w:val="single" w:color="000000" w:sz="4" w:space="0"/>
            </w:tcBorders>
            <w:vAlign w:val="center"/>
          </w:tcPr>
          <w:p w14:paraId="23BB41ED">
            <w:pPr>
              <w:jc w:val="center"/>
              <w:rPr>
                <w:rFonts w:hint="eastAsia" w:ascii="Arial"/>
                <w:sz w:val="24"/>
                <w:szCs w:val="24"/>
              </w:rPr>
            </w:pPr>
          </w:p>
        </w:tc>
        <w:tc>
          <w:tcPr>
            <w:tcW w:w="1355" w:type="dxa"/>
          </w:tcPr>
          <w:p w14:paraId="49D7D307">
            <w:pPr>
              <w:rPr>
                <w:rFonts w:hint="eastAsia" w:ascii="Arial"/>
                <w:sz w:val="24"/>
                <w:szCs w:val="24"/>
              </w:rPr>
            </w:pPr>
          </w:p>
        </w:tc>
      </w:tr>
      <w:tr w14:paraId="44F483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10B49756">
            <w:pPr>
              <w:spacing w:before="79" w:line="284" w:lineRule="exact"/>
              <w:ind w:left="249"/>
              <w:rPr>
                <w:rFonts w:hint="eastAsia" w:ascii="宋体" w:hAnsi="宋体" w:eastAsia="宋体" w:cs="宋体"/>
                <w:szCs w:val="21"/>
              </w:rPr>
            </w:pPr>
            <w:r>
              <w:rPr>
                <w:rFonts w:ascii="宋体" w:hAnsi="宋体" w:eastAsia="宋体" w:cs="宋体"/>
                <w:position w:val="1"/>
                <w:szCs w:val="21"/>
              </w:rPr>
              <w:t>…</w:t>
            </w:r>
          </w:p>
        </w:tc>
        <w:tc>
          <w:tcPr>
            <w:tcW w:w="2238" w:type="dxa"/>
          </w:tcPr>
          <w:p w14:paraId="324EB586">
            <w:pPr>
              <w:rPr>
                <w:rFonts w:hint="eastAsia" w:ascii="Arial"/>
              </w:rPr>
            </w:pPr>
            <w:r>
              <w:rPr>
                <w:rFonts w:hint="eastAsia" w:ascii="宋体" w:hAnsi="宋体" w:eastAsia="宋体" w:cs="宋体"/>
              </w:rPr>
              <w:t>以上投标设备不足之处请往下添加序号自行补充</w:t>
            </w:r>
          </w:p>
        </w:tc>
        <w:tc>
          <w:tcPr>
            <w:tcW w:w="2239" w:type="dxa"/>
          </w:tcPr>
          <w:p w14:paraId="110A0BCA">
            <w:pPr>
              <w:rPr>
                <w:rFonts w:hint="eastAsia" w:ascii="Arial"/>
              </w:rPr>
            </w:pPr>
          </w:p>
        </w:tc>
        <w:tc>
          <w:tcPr>
            <w:tcW w:w="1335" w:type="dxa"/>
          </w:tcPr>
          <w:p w14:paraId="473C94FA">
            <w:pPr>
              <w:rPr>
                <w:rFonts w:hint="eastAsia" w:ascii="Arial"/>
              </w:rPr>
            </w:pPr>
          </w:p>
        </w:tc>
        <w:tc>
          <w:tcPr>
            <w:tcW w:w="1824" w:type="dxa"/>
          </w:tcPr>
          <w:p w14:paraId="7B4B4F04">
            <w:pPr>
              <w:rPr>
                <w:rFonts w:hint="eastAsia" w:ascii="Arial"/>
              </w:rPr>
            </w:pPr>
          </w:p>
        </w:tc>
        <w:tc>
          <w:tcPr>
            <w:tcW w:w="2362" w:type="dxa"/>
            <w:tcBorders>
              <w:left w:val="single" w:color="000000" w:sz="4" w:space="0"/>
            </w:tcBorders>
          </w:tcPr>
          <w:p w14:paraId="1EF16C77">
            <w:pPr>
              <w:rPr>
                <w:rFonts w:hint="eastAsia" w:ascii="Arial"/>
              </w:rPr>
            </w:pPr>
          </w:p>
        </w:tc>
        <w:tc>
          <w:tcPr>
            <w:tcW w:w="1355" w:type="dxa"/>
          </w:tcPr>
          <w:p w14:paraId="00A72837">
            <w:pPr>
              <w:rPr>
                <w:rFonts w:hint="eastAsia" w:ascii="Arial"/>
              </w:rPr>
            </w:pPr>
          </w:p>
        </w:tc>
      </w:tr>
    </w:tbl>
    <w:p w14:paraId="2A3315C0">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14:paraId="6F32B59C">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14:paraId="761167BA">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14:paraId="5E6EA78D">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14:paraId="4A4D7549">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14:paraId="15DB2AB1">
      <w:pPr>
        <w:rPr>
          <w:rFonts w:hint="eastAsia"/>
        </w:rPr>
        <w:sectPr>
          <w:footerReference r:id="rId28" w:type="default"/>
          <w:pgSz w:w="16841" w:h="11907" w:orient="landscape"/>
          <w:pgMar w:top="400" w:right="1387" w:bottom="1168" w:left="1473" w:header="0" w:footer="990" w:gutter="0"/>
          <w:cols w:equalWidth="0" w:num="1">
            <w:col w:w="13980"/>
          </w:cols>
        </w:sectPr>
      </w:pPr>
    </w:p>
    <w:p w14:paraId="2999C38D">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14:paraId="58723001">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14:paraId="658ECEE7">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462753B6">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40E03FA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2022年1月1日至今同类项目业绩一览表</w:t>
      </w:r>
    </w:p>
    <w:p w14:paraId="3FCC977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u w:val="single"/>
        </w:rPr>
        <w:t>济南卡车制造公司党家庄厂区总三车间总装北线加固改造技改项目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13BA1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68142FBB">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6DD09B92">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319A562C">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233F33E0">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5E931353">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797EEEB0">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37961A01">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71328E95">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076BD2BF">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12B39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6652DF0">
            <w:pPr>
              <w:ind w:left="420" w:hanging="420"/>
              <w:rPr>
                <w:rFonts w:ascii="宋体" w:hAnsi="Times New Roman" w:eastAsia="宋体" w:cs="Times New Roman"/>
                <w:b/>
                <w:szCs w:val="20"/>
              </w:rPr>
            </w:pPr>
          </w:p>
        </w:tc>
        <w:tc>
          <w:tcPr>
            <w:tcW w:w="2082" w:type="dxa"/>
          </w:tcPr>
          <w:p w14:paraId="1946BE58">
            <w:pPr>
              <w:ind w:left="420" w:hanging="420"/>
              <w:rPr>
                <w:rFonts w:ascii="宋体" w:hAnsi="Times New Roman" w:eastAsia="宋体" w:cs="Times New Roman"/>
                <w:b/>
                <w:szCs w:val="20"/>
              </w:rPr>
            </w:pPr>
          </w:p>
        </w:tc>
        <w:tc>
          <w:tcPr>
            <w:tcW w:w="1355" w:type="dxa"/>
          </w:tcPr>
          <w:p w14:paraId="4771070D">
            <w:pPr>
              <w:ind w:left="420" w:hanging="420"/>
              <w:rPr>
                <w:rFonts w:ascii="宋体" w:hAnsi="Times New Roman" w:eastAsia="宋体" w:cs="Times New Roman"/>
                <w:b/>
                <w:szCs w:val="20"/>
              </w:rPr>
            </w:pPr>
          </w:p>
        </w:tc>
        <w:tc>
          <w:tcPr>
            <w:tcW w:w="826" w:type="dxa"/>
          </w:tcPr>
          <w:p w14:paraId="151136B4">
            <w:pPr>
              <w:ind w:left="420" w:hanging="420"/>
              <w:rPr>
                <w:rFonts w:ascii="宋体" w:hAnsi="Times New Roman" w:eastAsia="宋体" w:cs="Times New Roman"/>
                <w:b/>
                <w:szCs w:val="20"/>
              </w:rPr>
            </w:pPr>
          </w:p>
        </w:tc>
        <w:tc>
          <w:tcPr>
            <w:tcW w:w="1320" w:type="dxa"/>
          </w:tcPr>
          <w:p w14:paraId="69A7BC8D">
            <w:pPr>
              <w:ind w:left="420" w:hanging="420"/>
              <w:rPr>
                <w:rFonts w:ascii="宋体" w:hAnsi="Times New Roman" w:eastAsia="宋体" w:cs="Times New Roman"/>
                <w:b/>
                <w:szCs w:val="20"/>
              </w:rPr>
            </w:pPr>
          </w:p>
        </w:tc>
        <w:tc>
          <w:tcPr>
            <w:tcW w:w="1023" w:type="dxa"/>
          </w:tcPr>
          <w:p w14:paraId="64740E5B">
            <w:pPr>
              <w:ind w:left="420" w:hanging="420"/>
              <w:rPr>
                <w:rFonts w:ascii="宋体" w:hAnsi="Times New Roman" w:eastAsia="宋体" w:cs="Times New Roman"/>
                <w:b/>
                <w:szCs w:val="20"/>
              </w:rPr>
            </w:pPr>
          </w:p>
        </w:tc>
        <w:tc>
          <w:tcPr>
            <w:tcW w:w="1590" w:type="dxa"/>
          </w:tcPr>
          <w:p w14:paraId="281A7150">
            <w:pPr>
              <w:ind w:left="420" w:hanging="420"/>
              <w:rPr>
                <w:rFonts w:ascii="宋体" w:hAnsi="Times New Roman" w:eastAsia="宋体" w:cs="Times New Roman"/>
                <w:b/>
                <w:szCs w:val="20"/>
              </w:rPr>
            </w:pPr>
          </w:p>
        </w:tc>
      </w:tr>
      <w:tr w14:paraId="3A43F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13FCCDC">
            <w:pPr>
              <w:ind w:left="420" w:hanging="420"/>
              <w:rPr>
                <w:rFonts w:ascii="宋体" w:hAnsi="Times New Roman" w:eastAsia="宋体" w:cs="Times New Roman"/>
                <w:b/>
                <w:szCs w:val="20"/>
              </w:rPr>
            </w:pPr>
          </w:p>
        </w:tc>
        <w:tc>
          <w:tcPr>
            <w:tcW w:w="2082" w:type="dxa"/>
          </w:tcPr>
          <w:p w14:paraId="0B0BC798">
            <w:pPr>
              <w:ind w:left="420" w:hanging="420"/>
              <w:rPr>
                <w:rFonts w:ascii="宋体" w:hAnsi="Times New Roman" w:eastAsia="宋体" w:cs="Times New Roman"/>
                <w:b/>
                <w:szCs w:val="20"/>
              </w:rPr>
            </w:pPr>
          </w:p>
        </w:tc>
        <w:tc>
          <w:tcPr>
            <w:tcW w:w="1355" w:type="dxa"/>
          </w:tcPr>
          <w:p w14:paraId="5E52399B">
            <w:pPr>
              <w:ind w:left="420" w:hanging="420"/>
              <w:rPr>
                <w:rFonts w:ascii="宋体" w:hAnsi="Times New Roman" w:eastAsia="宋体" w:cs="Times New Roman"/>
                <w:b/>
                <w:szCs w:val="20"/>
              </w:rPr>
            </w:pPr>
          </w:p>
        </w:tc>
        <w:tc>
          <w:tcPr>
            <w:tcW w:w="826" w:type="dxa"/>
          </w:tcPr>
          <w:p w14:paraId="12216438">
            <w:pPr>
              <w:ind w:left="420" w:hanging="420"/>
              <w:rPr>
                <w:rFonts w:ascii="宋体" w:hAnsi="Times New Roman" w:eastAsia="宋体" w:cs="Times New Roman"/>
                <w:b/>
                <w:szCs w:val="20"/>
              </w:rPr>
            </w:pPr>
          </w:p>
        </w:tc>
        <w:tc>
          <w:tcPr>
            <w:tcW w:w="1320" w:type="dxa"/>
          </w:tcPr>
          <w:p w14:paraId="5DCF9731">
            <w:pPr>
              <w:ind w:left="420" w:hanging="420"/>
              <w:rPr>
                <w:rFonts w:ascii="宋体" w:hAnsi="Times New Roman" w:eastAsia="宋体" w:cs="Times New Roman"/>
                <w:b/>
                <w:szCs w:val="20"/>
              </w:rPr>
            </w:pPr>
          </w:p>
        </w:tc>
        <w:tc>
          <w:tcPr>
            <w:tcW w:w="1023" w:type="dxa"/>
          </w:tcPr>
          <w:p w14:paraId="1DC76BF7">
            <w:pPr>
              <w:ind w:left="420" w:hanging="420"/>
              <w:rPr>
                <w:rFonts w:ascii="宋体" w:hAnsi="Times New Roman" w:eastAsia="宋体" w:cs="Times New Roman"/>
                <w:b/>
                <w:szCs w:val="20"/>
              </w:rPr>
            </w:pPr>
          </w:p>
        </w:tc>
        <w:tc>
          <w:tcPr>
            <w:tcW w:w="1590" w:type="dxa"/>
          </w:tcPr>
          <w:p w14:paraId="3AF5FF94">
            <w:pPr>
              <w:ind w:left="420" w:hanging="420"/>
              <w:rPr>
                <w:rFonts w:ascii="宋体" w:hAnsi="Times New Roman" w:eastAsia="宋体" w:cs="Times New Roman"/>
                <w:b/>
                <w:szCs w:val="20"/>
              </w:rPr>
            </w:pPr>
          </w:p>
        </w:tc>
      </w:tr>
      <w:tr w14:paraId="18EF4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25180D">
            <w:pPr>
              <w:ind w:left="420" w:hanging="420"/>
              <w:rPr>
                <w:rFonts w:ascii="宋体" w:hAnsi="Times New Roman" w:eastAsia="宋体" w:cs="Times New Roman"/>
                <w:b/>
                <w:szCs w:val="20"/>
              </w:rPr>
            </w:pPr>
          </w:p>
        </w:tc>
        <w:tc>
          <w:tcPr>
            <w:tcW w:w="2082" w:type="dxa"/>
          </w:tcPr>
          <w:p w14:paraId="3416530F">
            <w:pPr>
              <w:ind w:left="420" w:hanging="420"/>
              <w:rPr>
                <w:rFonts w:ascii="宋体" w:hAnsi="Times New Roman" w:eastAsia="宋体" w:cs="Times New Roman"/>
                <w:b/>
                <w:szCs w:val="20"/>
              </w:rPr>
            </w:pPr>
          </w:p>
        </w:tc>
        <w:tc>
          <w:tcPr>
            <w:tcW w:w="1355" w:type="dxa"/>
          </w:tcPr>
          <w:p w14:paraId="3D26A006">
            <w:pPr>
              <w:ind w:left="420" w:hanging="420"/>
              <w:rPr>
                <w:rFonts w:ascii="宋体" w:hAnsi="Times New Roman" w:eastAsia="宋体" w:cs="Times New Roman"/>
                <w:b/>
                <w:szCs w:val="20"/>
              </w:rPr>
            </w:pPr>
          </w:p>
        </w:tc>
        <w:tc>
          <w:tcPr>
            <w:tcW w:w="826" w:type="dxa"/>
          </w:tcPr>
          <w:p w14:paraId="05A38E8C">
            <w:pPr>
              <w:ind w:left="420" w:hanging="420"/>
              <w:rPr>
                <w:rFonts w:ascii="宋体" w:hAnsi="Times New Roman" w:eastAsia="宋体" w:cs="Times New Roman"/>
                <w:b/>
                <w:szCs w:val="20"/>
              </w:rPr>
            </w:pPr>
          </w:p>
        </w:tc>
        <w:tc>
          <w:tcPr>
            <w:tcW w:w="1320" w:type="dxa"/>
          </w:tcPr>
          <w:p w14:paraId="3DB9DD1A">
            <w:pPr>
              <w:ind w:left="420" w:hanging="420"/>
              <w:rPr>
                <w:rFonts w:ascii="宋体" w:hAnsi="Times New Roman" w:eastAsia="宋体" w:cs="Times New Roman"/>
                <w:b/>
                <w:szCs w:val="20"/>
              </w:rPr>
            </w:pPr>
          </w:p>
        </w:tc>
        <w:tc>
          <w:tcPr>
            <w:tcW w:w="1023" w:type="dxa"/>
          </w:tcPr>
          <w:p w14:paraId="1C627A55">
            <w:pPr>
              <w:ind w:left="420" w:hanging="420"/>
              <w:rPr>
                <w:rFonts w:ascii="宋体" w:hAnsi="Times New Roman" w:eastAsia="宋体" w:cs="Times New Roman"/>
                <w:b/>
                <w:szCs w:val="20"/>
              </w:rPr>
            </w:pPr>
          </w:p>
        </w:tc>
        <w:tc>
          <w:tcPr>
            <w:tcW w:w="1590" w:type="dxa"/>
          </w:tcPr>
          <w:p w14:paraId="2D749D9D">
            <w:pPr>
              <w:ind w:left="420" w:hanging="420"/>
              <w:rPr>
                <w:rFonts w:ascii="宋体" w:hAnsi="Times New Roman" w:eastAsia="宋体" w:cs="Times New Roman"/>
                <w:b/>
                <w:szCs w:val="20"/>
              </w:rPr>
            </w:pPr>
          </w:p>
        </w:tc>
      </w:tr>
      <w:tr w14:paraId="3E9A5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3C9CDE9">
            <w:pPr>
              <w:ind w:left="420" w:hanging="420"/>
              <w:rPr>
                <w:rFonts w:ascii="宋体" w:hAnsi="Times New Roman" w:eastAsia="宋体" w:cs="Times New Roman"/>
                <w:b/>
                <w:szCs w:val="20"/>
              </w:rPr>
            </w:pPr>
          </w:p>
        </w:tc>
        <w:tc>
          <w:tcPr>
            <w:tcW w:w="2082" w:type="dxa"/>
          </w:tcPr>
          <w:p w14:paraId="5DFDED69">
            <w:pPr>
              <w:ind w:left="420" w:hanging="420"/>
              <w:rPr>
                <w:rFonts w:ascii="宋体" w:hAnsi="Times New Roman" w:eastAsia="宋体" w:cs="Times New Roman"/>
                <w:b/>
                <w:szCs w:val="20"/>
              </w:rPr>
            </w:pPr>
          </w:p>
        </w:tc>
        <w:tc>
          <w:tcPr>
            <w:tcW w:w="1355" w:type="dxa"/>
          </w:tcPr>
          <w:p w14:paraId="273B49D6">
            <w:pPr>
              <w:ind w:left="420" w:hanging="420"/>
              <w:rPr>
                <w:rFonts w:ascii="宋体" w:hAnsi="Times New Roman" w:eastAsia="宋体" w:cs="Times New Roman"/>
                <w:b/>
                <w:szCs w:val="20"/>
              </w:rPr>
            </w:pPr>
          </w:p>
        </w:tc>
        <w:tc>
          <w:tcPr>
            <w:tcW w:w="826" w:type="dxa"/>
          </w:tcPr>
          <w:p w14:paraId="1E279F46">
            <w:pPr>
              <w:ind w:left="420" w:hanging="420"/>
              <w:rPr>
                <w:rFonts w:ascii="宋体" w:hAnsi="Times New Roman" w:eastAsia="宋体" w:cs="Times New Roman"/>
                <w:b/>
                <w:szCs w:val="20"/>
              </w:rPr>
            </w:pPr>
          </w:p>
        </w:tc>
        <w:tc>
          <w:tcPr>
            <w:tcW w:w="1320" w:type="dxa"/>
          </w:tcPr>
          <w:p w14:paraId="6C30F0F8">
            <w:pPr>
              <w:ind w:left="420" w:hanging="420"/>
              <w:rPr>
                <w:rFonts w:ascii="宋体" w:hAnsi="Times New Roman" w:eastAsia="宋体" w:cs="Times New Roman"/>
                <w:b/>
                <w:szCs w:val="20"/>
              </w:rPr>
            </w:pPr>
          </w:p>
        </w:tc>
        <w:tc>
          <w:tcPr>
            <w:tcW w:w="1023" w:type="dxa"/>
          </w:tcPr>
          <w:p w14:paraId="4D85DCEB">
            <w:pPr>
              <w:ind w:left="420" w:hanging="420"/>
              <w:rPr>
                <w:rFonts w:ascii="宋体" w:hAnsi="Times New Roman" w:eastAsia="宋体" w:cs="Times New Roman"/>
                <w:b/>
                <w:szCs w:val="20"/>
              </w:rPr>
            </w:pPr>
          </w:p>
        </w:tc>
        <w:tc>
          <w:tcPr>
            <w:tcW w:w="1590" w:type="dxa"/>
          </w:tcPr>
          <w:p w14:paraId="5E3D6C45">
            <w:pPr>
              <w:ind w:left="420" w:hanging="420"/>
              <w:rPr>
                <w:rFonts w:ascii="宋体" w:hAnsi="Times New Roman" w:eastAsia="宋体" w:cs="Times New Roman"/>
                <w:b/>
                <w:szCs w:val="20"/>
              </w:rPr>
            </w:pPr>
          </w:p>
        </w:tc>
      </w:tr>
      <w:tr w14:paraId="0DBEA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A1A46C6">
            <w:pPr>
              <w:ind w:left="420" w:hanging="420"/>
              <w:rPr>
                <w:rFonts w:ascii="宋体" w:hAnsi="Times New Roman" w:eastAsia="宋体" w:cs="Times New Roman"/>
                <w:b/>
                <w:szCs w:val="20"/>
              </w:rPr>
            </w:pPr>
          </w:p>
        </w:tc>
        <w:tc>
          <w:tcPr>
            <w:tcW w:w="2082" w:type="dxa"/>
          </w:tcPr>
          <w:p w14:paraId="2F038B26">
            <w:pPr>
              <w:ind w:left="420" w:hanging="420"/>
              <w:rPr>
                <w:rFonts w:ascii="宋体" w:hAnsi="Times New Roman" w:eastAsia="宋体" w:cs="Times New Roman"/>
                <w:b/>
                <w:szCs w:val="20"/>
              </w:rPr>
            </w:pPr>
          </w:p>
        </w:tc>
        <w:tc>
          <w:tcPr>
            <w:tcW w:w="1355" w:type="dxa"/>
          </w:tcPr>
          <w:p w14:paraId="1DBCB552">
            <w:pPr>
              <w:ind w:left="420" w:hanging="420"/>
              <w:rPr>
                <w:rFonts w:ascii="宋体" w:hAnsi="Times New Roman" w:eastAsia="宋体" w:cs="Times New Roman"/>
                <w:b/>
                <w:szCs w:val="20"/>
              </w:rPr>
            </w:pPr>
          </w:p>
        </w:tc>
        <w:tc>
          <w:tcPr>
            <w:tcW w:w="826" w:type="dxa"/>
          </w:tcPr>
          <w:p w14:paraId="078AECEF">
            <w:pPr>
              <w:ind w:left="420" w:hanging="420"/>
              <w:rPr>
                <w:rFonts w:ascii="宋体" w:hAnsi="Times New Roman" w:eastAsia="宋体" w:cs="Times New Roman"/>
                <w:b/>
                <w:szCs w:val="20"/>
              </w:rPr>
            </w:pPr>
          </w:p>
        </w:tc>
        <w:tc>
          <w:tcPr>
            <w:tcW w:w="1320" w:type="dxa"/>
          </w:tcPr>
          <w:p w14:paraId="5B6BF561">
            <w:pPr>
              <w:ind w:left="420" w:hanging="420"/>
              <w:rPr>
                <w:rFonts w:ascii="宋体" w:hAnsi="Times New Roman" w:eastAsia="宋体" w:cs="Times New Roman"/>
                <w:b/>
                <w:szCs w:val="20"/>
              </w:rPr>
            </w:pPr>
          </w:p>
        </w:tc>
        <w:tc>
          <w:tcPr>
            <w:tcW w:w="1023" w:type="dxa"/>
          </w:tcPr>
          <w:p w14:paraId="76938965">
            <w:pPr>
              <w:ind w:left="420" w:hanging="420"/>
              <w:rPr>
                <w:rFonts w:ascii="宋体" w:hAnsi="Times New Roman" w:eastAsia="宋体" w:cs="Times New Roman"/>
                <w:b/>
                <w:szCs w:val="20"/>
              </w:rPr>
            </w:pPr>
          </w:p>
        </w:tc>
        <w:tc>
          <w:tcPr>
            <w:tcW w:w="1590" w:type="dxa"/>
          </w:tcPr>
          <w:p w14:paraId="75D66E9E">
            <w:pPr>
              <w:ind w:left="420" w:hanging="420"/>
              <w:rPr>
                <w:rFonts w:ascii="宋体" w:hAnsi="Times New Roman" w:eastAsia="宋体" w:cs="Times New Roman"/>
                <w:b/>
                <w:szCs w:val="20"/>
              </w:rPr>
            </w:pPr>
          </w:p>
        </w:tc>
      </w:tr>
      <w:tr w14:paraId="2E999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A6FEFAA">
            <w:pPr>
              <w:ind w:left="420" w:hanging="420"/>
              <w:rPr>
                <w:rFonts w:ascii="宋体" w:hAnsi="Times New Roman" w:eastAsia="宋体" w:cs="Times New Roman"/>
                <w:b/>
                <w:szCs w:val="20"/>
              </w:rPr>
            </w:pPr>
          </w:p>
        </w:tc>
        <w:tc>
          <w:tcPr>
            <w:tcW w:w="2082" w:type="dxa"/>
          </w:tcPr>
          <w:p w14:paraId="4EE407A1">
            <w:pPr>
              <w:ind w:left="420" w:hanging="420"/>
              <w:rPr>
                <w:rFonts w:ascii="宋体" w:hAnsi="Times New Roman" w:eastAsia="宋体" w:cs="Times New Roman"/>
                <w:b/>
                <w:szCs w:val="20"/>
              </w:rPr>
            </w:pPr>
          </w:p>
        </w:tc>
        <w:tc>
          <w:tcPr>
            <w:tcW w:w="1355" w:type="dxa"/>
          </w:tcPr>
          <w:p w14:paraId="2B678665">
            <w:pPr>
              <w:ind w:left="420" w:hanging="420"/>
              <w:rPr>
                <w:rFonts w:ascii="宋体" w:hAnsi="Times New Roman" w:eastAsia="宋体" w:cs="Times New Roman"/>
                <w:b/>
                <w:szCs w:val="20"/>
              </w:rPr>
            </w:pPr>
          </w:p>
        </w:tc>
        <w:tc>
          <w:tcPr>
            <w:tcW w:w="826" w:type="dxa"/>
          </w:tcPr>
          <w:p w14:paraId="071312A5">
            <w:pPr>
              <w:ind w:left="420" w:hanging="420"/>
              <w:rPr>
                <w:rFonts w:ascii="宋体" w:hAnsi="Times New Roman" w:eastAsia="宋体" w:cs="Times New Roman"/>
                <w:b/>
                <w:szCs w:val="20"/>
              </w:rPr>
            </w:pPr>
          </w:p>
        </w:tc>
        <w:tc>
          <w:tcPr>
            <w:tcW w:w="1320" w:type="dxa"/>
          </w:tcPr>
          <w:p w14:paraId="2F0EA797">
            <w:pPr>
              <w:ind w:left="420" w:hanging="420"/>
              <w:rPr>
                <w:rFonts w:ascii="宋体" w:hAnsi="Times New Roman" w:eastAsia="宋体" w:cs="Times New Roman"/>
                <w:b/>
                <w:szCs w:val="20"/>
              </w:rPr>
            </w:pPr>
          </w:p>
        </w:tc>
        <w:tc>
          <w:tcPr>
            <w:tcW w:w="1023" w:type="dxa"/>
          </w:tcPr>
          <w:p w14:paraId="0EE02010">
            <w:pPr>
              <w:ind w:left="420" w:hanging="420"/>
              <w:rPr>
                <w:rFonts w:ascii="宋体" w:hAnsi="Times New Roman" w:eastAsia="宋体" w:cs="Times New Roman"/>
                <w:b/>
                <w:szCs w:val="20"/>
              </w:rPr>
            </w:pPr>
          </w:p>
        </w:tc>
        <w:tc>
          <w:tcPr>
            <w:tcW w:w="1590" w:type="dxa"/>
          </w:tcPr>
          <w:p w14:paraId="1EF5D002">
            <w:pPr>
              <w:ind w:left="420" w:hanging="420"/>
              <w:rPr>
                <w:rFonts w:ascii="宋体" w:hAnsi="Times New Roman" w:eastAsia="宋体" w:cs="Times New Roman"/>
                <w:b/>
                <w:szCs w:val="20"/>
              </w:rPr>
            </w:pPr>
          </w:p>
        </w:tc>
      </w:tr>
      <w:tr w14:paraId="13981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2D7E35E">
            <w:pPr>
              <w:ind w:left="420" w:hanging="420"/>
              <w:rPr>
                <w:rFonts w:ascii="宋体" w:hAnsi="Times New Roman" w:eastAsia="宋体" w:cs="Times New Roman"/>
                <w:b/>
                <w:szCs w:val="20"/>
              </w:rPr>
            </w:pPr>
          </w:p>
        </w:tc>
        <w:tc>
          <w:tcPr>
            <w:tcW w:w="2082" w:type="dxa"/>
          </w:tcPr>
          <w:p w14:paraId="204B3D88">
            <w:pPr>
              <w:ind w:left="420" w:hanging="420"/>
              <w:rPr>
                <w:rFonts w:ascii="宋体" w:hAnsi="Times New Roman" w:eastAsia="宋体" w:cs="Times New Roman"/>
                <w:b/>
                <w:szCs w:val="20"/>
              </w:rPr>
            </w:pPr>
          </w:p>
        </w:tc>
        <w:tc>
          <w:tcPr>
            <w:tcW w:w="1355" w:type="dxa"/>
          </w:tcPr>
          <w:p w14:paraId="337D37C9">
            <w:pPr>
              <w:ind w:left="420" w:hanging="420"/>
              <w:rPr>
                <w:rFonts w:ascii="宋体" w:hAnsi="Times New Roman" w:eastAsia="宋体" w:cs="Times New Roman"/>
                <w:b/>
                <w:szCs w:val="20"/>
              </w:rPr>
            </w:pPr>
          </w:p>
        </w:tc>
        <w:tc>
          <w:tcPr>
            <w:tcW w:w="826" w:type="dxa"/>
          </w:tcPr>
          <w:p w14:paraId="2479F879">
            <w:pPr>
              <w:ind w:left="420" w:hanging="420"/>
              <w:rPr>
                <w:rFonts w:ascii="宋体" w:hAnsi="Times New Roman" w:eastAsia="宋体" w:cs="Times New Roman"/>
                <w:b/>
                <w:szCs w:val="20"/>
              </w:rPr>
            </w:pPr>
          </w:p>
        </w:tc>
        <w:tc>
          <w:tcPr>
            <w:tcW w:w="1320" w:type="dxa"/>
          </w:tcPr>
          <w:p w14:paraId="4E2DE6E3">
            <w:pPr>
              <w:ind w:left="420" w:hanging="420"/>
              <w:rPr>
                <w:rFonts w:ascii="宋体" w:hAnsi="Times New Roman" w:eastAsia="宋体" w:cs="Times New Roman"/>
                <w:b/>
                <w:szCs w:val="20"/>
              </w:rPr>
            </w:pPr>
          </w:p>
        </w:tc>
        <w:tc>
          <w:tcPr>
            <w:tcW w:w="1023" w:type="dxa"/>
          </w:tcPr>
          <w:p w14:paraId="5A0B6932">
            <w:pPr>
              <w:ind w:left="420" w:hanging="420"/>
              <w:rPr>
                <w:rFonts w:ascii="宋体" w:hAnsi="Times New Roman" w:eastAsia="宋体" w:cs="Times New Roman"/>
                <w:b/>
                <w:szCs w:val="20"/>
              </w:rPr>
            </w:pPr>
          </w:p>
        </w:tc>
        <w:tc>
          <w:tcPr>
            <w:tcW w:w="1590" w:type="dxa"/>
          </w:tcPr>
          <w:p w14:paraId="52CFC6E2">
            <w:pPr>
              <w:ind w:left="420" w:hanging="420"/>
              <w:rPr>
                <w:rFonts w:ascii="宋体" w:hAnsi="Times New Roman" w:eastAsia="宋体" w:cs="Times New Roman"/>
                <w:b/>
                <w:szCs w:val="20"/>
              </w:rPr>
            </w:pPr>
          </w:p>
        </w:tc>
      </w:tr>
      <w:tr w14:paraId="4AB6F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15FD52E">
            <w:pPr>
              <w:ind w:left="420" w:hanging="420"/>
              <w:rPr>
                <w:rFonts w:ascii="宋体" w:hAnsi="Times New Roman" w:eastAsia="宋体" w:cs="Times New Roman"/>
                <w:b/>
                <w:szCs w:val="20"/>
              </w:rPr>
            </w:pPr>
          </w:p>
        </w:tc>
        <w:tc>
          <w:tcPr>
            <w:tcW w:w="2082" w:type="dxa"/>
          </w:tcPr>
          <w:p w14:paraId="4A59404F">
            <w:pPr>
              <w:ind w:left="420" w:hanging="420"/>
              <w:rPr>
                <w:rFonts w:ascii="宋体" w:hAnsi="Times New Roman" w:eastAsia="宋体" w:cs="Times New Roman"/>
                <w:b/>
                <w:szCs w:val="20"/>
              </w:rPr>
            </w:pPr>
          </w:p>
        </w:tc>
        <w:tc>
          <w:tcPr>
            <w:tcW w:w="1355" w:type="dxa"/>
          </w:tcPr>
          <w:p w14:paraId="0EDCE7B7">
            <w:pPr>
              <w:ind w:left="420" w:hanging="420"/>
              <w:rPr>
                <w:rFonts w:ascii="宋体" w:hAnsi="Times New Roman" w:eastAsia="宋体" w:cs="Times New Roman"/>
                <w:b/>
                <w:szCs w:val="20"/>
              </w:rPr>
            </w:pPr>
          </w:p>
        </w:tc>
        <w:tc>
          <w:tcPr>
            <w:tcW w:w="826" w:type="dxa"/>
          </w:tcPr>
          <w:p w14:paraId="7E2DC4E2">
            <w:pPr>
              <w:ind w:left="420" w:hanging="420"/>
              <w:rPr>
                <w:rFonts w:ascii="宋体" w:hAnsi="Times New Roman" w:eastAsia="宋体" w:cs="Times New Roman"/>
                <w:b/>
                <w:szCs w:val="20"/>
              </w:rPr>
            </w:pPr>
          </w:p>
        </w:tc>
        <w:tc>
          <w:tcPr>
            <w:tcW w:w="1320" w:type="dxa"/>
          </w:tcPr>
          <w:p w14:paraId="02B56AFA">
            <w:pPr>
              <w:ind w:left="420" w:hanging="420"/>
              <w:rPr>
                <w:rFonts w:ascii="宋体" w:hAnsi="Times New Roman" w:eastAsia="宋体" w:cs="Times New Roman"/>
                <w:b/>
                <w:szCs w:val="20"/>
              </w:rPr>
            </w:pPr>
          </w:p>
        </w:tc>
        <w:tc>
          <w:tcPr>
            <w:tcW w:w="1023" w:type="dxa"/>
          </w:tcPr>
          <w:p w14:paraId="11F55A36">
            <w:pPr>
              <w:ind w:left="420" w:hanging="420"/>
              <w:rPr>
                <w:rFonts w:ascii="宋体" w:hAnsi="Times New Roman" w:eastAsia="宋体" w:cs="Times New Roman"/>
                <w:b/>
                <w:szCs w:val="20"/>
              </w:rPr>
            </w:pPr>
          </w:p>
        </w:tc>
        <w:tc>
          <w:tcPr>
            <w:tcW w:w="1590" w:type="dxa"/>
          </w:tcPr>
          <w:p w14:paraId="4161533D">
            <w:pPr>
              <w:ind w:left="420" w:hanging="420"/>
              <w:rPr>
                <w:rFonts w:ascii="宋体" w:hAnsi="Times New Roman" w:eastAsia="宋体" w:cs="Times New Roman"/>
                <w:b/>
                <w:szCs w:val="20"/>
              </w:rPr>
            </w:pPr>
          </w:p>
        </w:tc>
      </w:tr>
      <w:tr w14:paraId="57F28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36FB0A7">
            <w:pPr>
              <w:ind w:left="420" w:hanging="420"/>
              <w:rPr>
                <w:rFonts w:ascii="宋体" w:hAnsi="Times New Roman" w:eastAsia="宋体" w:cs="Times New Roman"/>
                <w:b/>
                <w:szCs w:val="20"/>
              </w:rPr>
            </w:pPr>
          </w:p>
        </w:tc>
        <w:tc>
          <w:tcPr>
            <w:tcW w:w="2082" w:type="dxa"/>
          </w:tcPr>
          <w:p w14:paraId="1720D3F1">
            <w:pPr>
              <w:ind w:left="420" w:hanging="420"/>
              <w:rPr>
                <w:rFonts w:ascii="宋体" w:hAnsi="Times New Roman" w:eastAsia="宋体" w:cs="Times New Roman"/>
                <w:b/>
                <w:szCs w:val="20"/>
              </w:rPr>
            </w:pPr>
          </w:p>
        </w:tc>
        <w:tc>
          <w:tcPr>
            <w:tcW w:w="1355" w:type="dxa"/>
          </w:tcPr>
          <w:p w14:paraId="20B57FE0">
            <w:pPr>
              <w:ind w:left="420" w:hanging="420"/>
              <w:rPr>
                <w:rFonts w:ascii="宋体" w:hAnsi="Times New Roman" w:eastAsia="宋体" w:cs="Times New Roman"/>
                <w:b/>
                <w:szCs w:val="20"/>
              </w:rPr>
            </w:pPr>
          </w:p>
        </w:tc>
        <w:tc>
          <w:tcPr>
            <w:tcW w:w="826" w:type="dxa"/>
          </w:tcPr>
          <w:p w14:paraId="4BEE5C3A">
            <w:pPr>
              <w:ind w:left="420" w:hanging="420"/>
              <w:rPr>
                <w:rFonts w:ascii="宋体" w:hAnsi="Times New Roman" w:eastAsia="宋体" w:cs="Times New Roman"/>
                <w:b/>
                <w:szCs w:val="20"/>
              </w:rPr>
            </w:pPr>
          </w:p>
        </w:tc>
        <w:tc>
          <w:tcPr>
            <w:tcW w:w="1320" w:type="dxa"/>
          </w:tcPr>
          <w:p w14:paraId="6474AFA6">
            <w:pPr>
              <w:ind w:left="420" w:hanging="420"/>
              <w:rPr>
                <w:rFonts w:ascii="宋体" w:hAnsi="Times New Roman" w:eastAsia="宋体" w:cs="Times New Roman"/>
                <w:b/>
                <w:szCs w:val="20"/>
              </w:rPr>
            </w:pPr>
          </w:p>
        </w:tc>
        <w:tc>
          <w:tcPr>
            <w:tcW w:w="1023" w:type="dxa"/>
          </w:tcPr>
          <w:p w14:paraId="34133D20">
            <w:pPr>
              <w:ind w:left="420" w:hanging="420"/>
              <w:rPr>
                <w:rFonts w:ascii="宋体" w:hAnsi="Times New Roman" w:eastAsia="宋体" w:cs="Times New Roman"/>
                <w:b/>
                <w:szCs w:val="20"/>
              </w:rPr>
            </w:pPr>
          </w:p>
        </w:tc>
        <w:tc>
          <w:tcPr>
            <w:tcW w:w="1590" w:type="dxa"/>
          </w:tcPr>
          <w:p w14:paraId="162A4107">
            <w:pPr>
              <w:ind w:left="420" w:hanging="420"/>
              <w:rPr>
                <w:rFonts w:ascii="宋体" w:hAnsi="Times New Roman" w:eastAsia="宋体" w:cs="Times New Roman"/>
                <w:b/>
                <w:szCs w:val="20"/>
              </w:rPr>
            </w:pPr>
          </w:p>
        </w:tc>
      </w:tr>
      <w:tr w14:paraId="2868F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42765EF">
            <w:pPr>
              <w:ind w:left="420" w:hanging="420"/>
              <w:rPr>
                <w:rFonts w:ascii="宋体" w:hAnsi="Times New Roman" w:eastAsia="宋体" w:cs="Times New Roman"/>
                <w:b/>
                <w:szCs w:val="20"/>
              </w:rPr>
            </w:pPr>
          </w:p>
        </w:tc>
        <w:tc>
          <w:tcPr>
            <w:tcW w:w="2082" w:type="dxa"/>
          </w:tcPr>
          <w:p w14:paraId="7B238FA1">
            <w:pPr>
              <w:ind w:left="420" w:hanging="420"/>
              <w:rPr>
                <w:rFonts w:ascii="宋体" w:hAnsi="Times New Roman" w:eastAsia="宋体" w:cs="Times New Roman"/>
                <w:b/>
                <w:szCs w:val="20"/>
              </w:rPr>
            </w:pPr>
          </w:p>
        </w:tc>
        <w:tc>
          <w:tcPr>
            <w:tcW w:w="1355" w:type="dxa"/>
          </w:tcPr>
          <w:p w14:paraId="261E8B14">
            <w:pPr>
              <w:ind w:left="420" w:hanging="420"/>
              <w:rPr>
                <w:rFonts w:ascii="宋体" w:hAnsi="Times New Roman" w:eastAsia="宋体" w:cs="Times New Roman"/>
                <w:b/>
                <w:szCs w:val="20"/>
              </w:rPr>
            </w:pPr>
          </w:p>
        </w:tc>
        <w:tc>
          <w:tcPr>
            <w:tcW w:w="826" w:type="dxa"/>
          </w:tcPr>
          <w:p w14:paraId="23462441">
            <w:pPr>
              <w:ind w:left="420" w:hanging="420"/>
              <w:rPr>
                <w:rFonts w:ascii="宋体" w:hAnsi="Times New Roman" w:eastAsia="宋体" w:cs="Times New Roman"/>
                <w:b/>
                <w:szCs w:val="20"/>
              </w:rPr>
            </w:pPr>
          </w:p>
        </w:tc>
        <w:tc>
          <w:tcPr>
            <w:tcW w:w="1320" w:type="dxa"/>
          </w:tcPr>
          <w:p w14:paraId="3E6BB9B0">
            <w:pPr>
              <w:ind w:left="420" w:hanging="420"/>
              <w:rPr>
                <w:rFonts w:ascii="宋体" w:hAnsi="Times New Roman" w:eastAsia="宋体" w:cs="Times New Roman"/>
                <w:b/>
                <w:szCs w:val="20"/>
              </w:rPr>
            </w:pPr>
          </w:p>
        </w:tc>
        <w:tc>
          <w:tcPr>
            <w:tcW w:w="1023" w:type="dxa"/>
          </w:tcPr>
          <w:p w14:paraId="5004CCC8">
            <w:pPr>
              <w:ind w:left="420" w:hanging="420"/>
              <w:rPr>
                <w:rFonts w:ascii="宋体" w:hAnsi="Times New Roman" w:eastAsia="宋体" w:cs="Times New Roman"/>
                <w:b/>
                <w:szCs w:val="20"/>
              </w:rPr>
            </w:pPr>
          </w:p>
        </w:tc>
        <w:tc>
          <w:tcPr>
            <w:tcW w:w="1590" w:type="dxa"/>
          </w:tcPr>
          <w:p w14:paraId="417C73BB">
            <w:pPr>
              <w:ind w:left="420" w:hanging="420"/>
              <w:rPr>
                <w:rFonts w:ascii="宋体" w:hAnsi="Times New Roman" w:eastAsia="宋体" w:cs="Times New Roman"/>
                <w:b/>
                <w:szCs w:val="20"/>
              </w:rPr>
            </w:pPr>
          </w:p>
        </w:tc>
      </w:tr>
      <w:tr w14:paraId="1A993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B2CB6B5">
            <w:pPr>
              <w:ind w:left="420" w:hanging="420"/>
              <w:rPr>
                <w:rFonts w:ascii="宋体" w:hAnsi="Times New Roman" w:eastAsia="宋体" w:cs="Times New Roman"/>
                <w:b/>
                <w:szCs w:val="20"/>
              </w:rPr>
            </w:pPr>
          </w:p>
        </w:tc>
        <w:tc>
          <w:tcPr>
            <w:tcW w:w="2082" w:type="dxa"/>
          </w:tcPr>
          <w:p w14:paraId="1A55DB5A">
            <w:pPr>
              <w:ind w:left="420" w:hanging="420"/>
              <w:rPr>
                <w:rFonts w:ascii="宋体" w:hAnsi="Times New Roman" w:eastAsia="宋体" w:cs="Times New Roman"/>
                <w:b/>
                <w:szCs w:val="20"/>
              </w:rPr>
            </w:pPr>
          </w:p>
        </w:tc>
        <w:tc>
          <w:tcPr>
            <w:tcW w:w="1355" w:type="dxa"/>
          </w:tcPr>
          <w:p w14:paraId="06C8F2A9">
            <w:pPr>
              <w:ind w:left="420" w:hanging="420"/>
              <w:rPr>
                <w:rFonts w:ascii="宋体" w:hAnsi="Times New Roman" w:eastAsia="宋体" w:cs="Times New Roman"/>
                <w:b/>
                <w:szCs w:val="20"/>
              </w:rPr>
            </w:pPr>
          </w:p>
        </w:tc>
        <w:tc>
          <w:tcPr>
            <w:tcW w:w="826" w:type="dxa"/>
          </w:tcPr>
          <w:p w14:paraId="5EF1539E">
            <w:pPr>
              <w:ind w:left="420" w:hanging="420"/>
              <w:rPr>
                <w:rFonts w:ascii="宋体" w:hAnsi="Times New Roman" w:eastAsia="宋体" w:cs="Times New Roman"/>
                <w:b/>
                <w:szCs w:val="20"/>
              </w:rPr>
            </w:pPr>
          </w:p>
        </w:tc>
        <w:tc>
          <w:tcPr>
            <w:tcW w:w="1320" w:type="dxa"/>
          </w:tcPr>
          <w:p w14:paraId="2BB817C2">
            <w:pPr>
              <w:ind w:left="420" w:hanging="420"/>
              <w:rPr>
                <w:rFonts w:ascii="宋体" w:hAnsi="Times New Roman" w:eastAsia="宋体" w:cs="Times New Roman"/>
                <w:b/>
                <w:szCs w:val="20"/>
              </w:rPr>
            </w:pPr>
          </w:p>
        </w:tc>
        <w:tc>
          <w:tcPr>
            <w:tcW w:w="1023" w:type="dxa"/>
          </w:tcPr>
          <w:p w14:paraId="5BA2FABF">
            <w:pPr>
              <w:ind w:left="420" w:hanging="420"/>
              <w:rPr>
                <w:rFonts w:ascii="宋体" w:hAnsi="Times New Roman" w:eastAsia="宋体" w:cs="Times New Roman"/>
                <w:b/>
                <w:szCs w:val="20"/>
              </w:rPr>
            </w:pPr>
          </w:p>
        </w:tc>
        <w:tc>
          <w:tcPr>
            <w:tcW w:w="1590" w:type="dxa"/>
          </w:tcPr>
          <w:p w14:paraId="1C4EAE6E">
            <w:pPr>
              <w:ind w:left="420" w:hanging="420"/>
              <w:rPr>
                <w:rFonts w:ascii="宋体" w:hAnsi="Times New Roman" w:eastAsia="宋体" w:cs="Times New Roman"/>
                <w:b/>
                <w:szCs w:val="20"/>
              </w:rPr>
            </w:pPr>
          </w:p>
        </w:tc>
      </w:tr>
      <w:tr w14:paraId="71478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CF9EB0E">
            <w:pPr>
              <w:ind w:left="420" w:hanging="420"/>
              <w:rPr>
                <w:rFonts w:ascii="宋体" w:hAnsi="Times New Roman" w:eastAsia="宋体" w:cs="Times New Roman"/>
                <w:b/>
                <w:szCs w:val="20"/>
              </w:rPr>
            </w:pPr>
          </w:p>
        </w:tc>
        <w:tc>
          <w:tcPr>
            <w:tcW w:w="2082" w:type="dxa"/>
          </w:tcPr>
          <w:p w14:paraId="7D52FB2A">
            <w:pPr>
              <w:ind w:left="420" w:hanging="420"/>
              <w:rPr>
                <w:rFonts w:ascii="宋体" w:hAnsi="Times New Roman" w:eastAsia="宋体" w:cs="Times New Roman"/>
                <w:b/>
                <w:szCs w:val="20"/>
              </w:rPr>
            </w:pPr>
          </w:p>
        </w:tc>
        <w:tc>
          <w:tcPr>
            <w:tcW w:w="1355" w:type="dxa"/>
          </w:tcPr>
          <w:p w14:paraId="387714AD">
            <w:pPr>
              <w:ind w:left="420" w:hanging="420"/>
              <w:rPr>
                <w:rFonts w:ascii="宋体" w:hAnsi="Times New Roman" w:eastAsia="宋体" w:cs="Times New Roman"/>
                <w:b/>
                <w:szCs w:val="20"/>
              </w:rPr>
            </w:pPr>
          </w:p>
        </w:tc>
        <w:tc>
          <w:tcPr>
            <w:tcW w:w="826" w:type="dxa"/>
          </w:tcPr>
          <w:p w14:paraId="4FD0F375">
            <w:pPr>
              <w:ind w:left="420" w:hanging="420"/>
              <w:rPr>
                <w:rFonts w:ascii="宋体" w:hAnsi="Times New Roman" w:eastAsia="宋体" w:cs="Times New Roman"/>
                <w:b/>
                <w:szCs w:val="20"/>
              </w:rPr>
            </w:pPr>
          </w:p>
        </w:tc>
        <w:tc>
          <w:tcPr>
            <w:tcW w:w="1320" w:type="dxa"/>
          </w:tcPr>
          <w:p w14:paraId="38E0AB16">
            <w:pPr>
              <w:ind w:left="420" w:hanging="420"/>
              <w:rPr>
                <w:rFonts w:ascii="宋体" w:hAnsi="Times New Roman" w:eastAsia="宋体" w:cs="Times New Roman"/>
                <w:b/>
                <w:szCs w:val="20"/>
              </w:rPr>
            </w:pPr>
          </w:p>
        </w:tc>
        <w:tc>
          <w:tcPr>
            <w:tcW w:w="1023" w:type="dxa"/>
          </w:tcPr>
          <w:p w14:paraId="2D68E21B">
            <w:pPr>
              <w:ind w:left="420" w:hanging="420"/>
              <w:rPr>
                <w:rFonts w:ascii="宋体" w:hAnsi="Times New Roman" w:eastAsia="宋体" w:cs="Times New Roman"/>
                <w:b/>
                <w:szCs w:val="20"/>
              </w:rPr>
            </w:pPr>
          </w:p>
        </w:tc>
        <w:tc>
          <w:tcPr>
            <w:tcW w:w="1590" w:type="dxa"/>
          </w:tcPr>
          <w:p w14:paraId="1B65B70A">
            <w:pPr>
              <w:ind w:left="420" w:hanging="420"/>
              <w:rPr>
                <w:rFonts w:ascii="宋体" w:hAnsi="Times New Roman" w:eastAsia="宋体" w:cs="Times New Roman"/>
                <w:b/>
                <w:szCs w:val="20"/>
              </w:rPr>
            </w:pPr>
          </w:p>
        </w:tc>
      </w:tr>
      <w:tr w14:paraId="1DC54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774E55A4">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rPr>
              <w:t>22</w:t>
            </w:r>
            <w:r>
              <w:rPr>
                <w:rFonts w:ascii="宋体" w:hAnsi="宋体" w:eastAsia="宋体" w:cs="宋体"/>
                <w:sz w:val="24"/>
                <w:szCs w:val="24"/>
                <w:highlight w:val="yellow"/>
              </w:rPr>
              <w:t>年1月1日至今所有业绩合同总额汇总（必填）</w:t>
            </w:r>
          </w:p>
        </w:tc>
        <w:tc>
          <w:tcPr>
            <w:tcW w:w="826" w:type="dxa"/>
          </w:tcPr>
          <w:p w14:paraId="34FAB875">
            <w:pPr>
              <w:ind w:left="420" w:hanging="420"/>
              <w:rPr>
                <w:rFonts w:ascii="宋体" w:hAnsi="Times New Roman" w:eastAsia="宋体" w:cs="Times New Roman"/>
                <w:b/>
                <w:szCs w:val="20"/>
              </w:rPr>
            </w:pPr>
          </w:p>
        </w:tc>
        <w:tc>
          <w:tcPr>
            <w:tcW w:w="1320" w:type="dxa"/>
          </w:tcPr>
          <w:p w14:paraId="6DAA1AFD">
            <w:pPr>
              <w:ind w:left="420" w:hanging="420"/>
              <w:rPr>
                <w:rFonts w:ascii="宋体" w:hAnsi="Times New Roman" w:eastAsia="宋体" w:cs="Times New Roman"/>
                <w:b/>
                <w:szCs w:val="20"/>
              </w:rPr>
            </w:pPr>
          </w:p>
        </w:tc>
        <w:tc>
          <w:tcPr>
            <w:tcW w:w="1023" w:type="dxa"/>
          </w:tcPr>
          <w:p w14:paraId="4A347B34">
            <w:pPr>
              <w:ind w:left="420" w:hanging="420"/>
              <w:rPr>
                <w:rFonts w:ascii="宋体" w:hAnsi="Times New Roman" w:eastAsia="宋体" w:cs="Times New Roman"/>
                <w:b/>
                <w:szCs w:val="20"/>
              </w:rPr>
            </w:pPr>
          </w:p>
        </w:tc>
        <w:tc>
          <w:tcPr>
            <w:tcW w:w="1590" w:type="dxa"/>
          </w:tcPr>
          <w:p w14:paraId="7C149C3E">
            <w:pPr>
              <w:ind w:left="420" w:hanging="420"/>
              <w:rPr>
                <w:rFonts w:ascii="宋体" w:hAnsi="Times New Roman" w:eastAsia="宋体" w:cs="Times New Roman"/>
                <w:b/>
                <w:szCs w:val="20"/>
              </w:rPr>
            </w:pPr>
          </w:p>
        </w:tc>
      </w:tr>
    </w:tbl>
    <w:p w14:paraId="5857B577">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3B913BEF">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F6238CD">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845F60A">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46215BB">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50EC730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2FDB77A0">
      <w:pPr>
        <w:spacing w:line="240" w:lineRule="exact"/>
        <w:rPr>
          <w:rFonts w:hint="eastAsia" w:ascii="宋体" w:hAnsi="宋体" w:eastAsia="宋体" w:cs="Times New Roman"/>
          <w:szCs w:val="20"/>
        </w:rPr>
      </w:pPr>
      <w:r>
        <w:rPr>
          <w:rFonts w:ascii="宋体" w:hAnsi="宋体" w:eastAsia="宋体" w:cs="Times New Roman"/>
          <w:szCs w:val="20"/>
        </w:rPr>
        <w:t xml:space="preserve">                                               </w:t>
      </w:r>
    </w:p>
    <w:p w14:paraId="1E5D341D">
      <w:pPr>
        <w:spacing w:line="360" w:lineRule="auto"/>
        <w:rPr>
          <w:rFonts w:hint="eastAsia"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szCs w:val="24"/>
          <w:u w:val="single"/>
        </w:rPr>
        <w:t>济南卡车制造公司党家庄厂区总三车间总装北线加固改造技改项目</w:t>
      </w:r>
    </w:p>
    <w:p w14:paraId="74A51AF1">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中国重汽集团济南卡车股份有限公司：</w:t>
      </w:r>
    </w:p>
    <w:p w14:paraId="2FA43B9C">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1766F83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D3FB3C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BBA44F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0092BC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8AC877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F95EE3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E18789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F557A7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553DA7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90E8F8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1D4AAF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9C3A96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0AB137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B26EF9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FA0ACD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F7CC85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F3B3F6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063301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5206DDC">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14:paraId="5978F76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679A24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916766B">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A7EA7E8">
      <w:pPr>
        <w:rPr>
          <w:rFonts w:ascii="宋体" w:hAnsi="Calibri" w:eastAsia="宋体" w:cs="宋体"/>
          <w:b/>
          <w:bCs/>
          <w:color w:val="000000"/>
          <w:sz w:val="28"/>
          <w:szCs w:val="20"/>
        </w:rPr>
        <w:sectPr>
          <w:footerReference r:id="rId30" w:type="first"/>
          <w:footerReference r:id="rId29" w:type="default"/>
          <w:pgSz w:w="11906" w:h="16838"/>
          <w:pgMar w:top="1588" w:right="1418" w:bottom="1134" w:left="1418" w:header="851" w:footer="992" w:gutter="0"/>
          <w:cols w:space="720" w:num="1"/>
          <w:titlePg/>
          <w:docGrid w:type="lines" w:linePitch="312" w:charSpace="0"/>
        </w:sectPr>
      </w:pPr>
    </w:p>
    <w:p w14:paraId="7F89407D">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201AC757">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19408B0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u w:val="single"/>
        </w:rPr>
        <w:t>济南卡车制造公司党家庄厂区总三车间总装北线加固改造技改项目</w:t>
      </w:r>
      <w:r>
        <w:rPr>
          <w:rFonts w:ascii="宋体" w:hAnsi="宋体" w:eastAsia="宋体" w:cs="Times New Roman"/>
          <w:color w:val="000000"/>
          <w:sz w:val="24"/>
          <w:szCs w:val="24"/>
        </w:rPr>
        <w:t xml:space="preserve">                                                        </w:t>
      </w:r>
    </w:p>
    <w:tbl>
      <w:tblPr>
        <w:tblStyle w:val="39"/>
        <w:tblW w:w="94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5"/>
        <w:gridCol w:w="1581"/>
        <w:gridCol w:w="883"/>
        <w:gridCol w:w="2000"/>
        <w:gridCol w:w="1082"/>
        <w:gridCol w:w="1261"/>
        <w:gridCol w:w="974"/>
        <w:gridCol w:w="950"/>
      </w:tblGrid>
      <w:tr w14:paraId="30C31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49" w:hRule="atLeast"/>
          <w:jc w:val="center"/>
        </w:trPr>
        <w:tc>
          <w:tcPr>
            <w:tcW w:w="705" w:type="dxa"/>
            <w:vAlign w:val="center"/>
          </w:tcPr>
          <w:p w14:paraId="1B435D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81" w:type="dxa"/>
            <w:vAlign w:val="center"/>
          </w:tcPr>
          <w:p w14:paraId="261343FD">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83" w:type="dxa"/>
            <w:vAlign w:val="center"/>
          </w:tcPr>
          <w:p w14:paraId="3D003C56">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000" w:type="dxa"/>
            <w:vAlign w:val="center"/>
          </w:tcPr>
          <w:p w14:paraId="6DA5F001">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082" w:type="dxa"/>
            <w:vAlign w:val="center"/>
          </w:tcPr>
          <w:p w14:paraId="38D7BE83">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61" w:type="dxa"/>
            <w:vAlign w:val="center"/>
          </w:tcPr>
          <w:p w14:paraId="2A39AB4D">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75538684">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974" w:type="dxa"/>
            <w:vAlign w:val="center"/>
          </w:tcPr>
          <w:p w14:paraId="64B0FF7B">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950" w:type="dxa"/>
            <w:vAlign w:val="center"/>
          </w:tcPr>
          <w:p w14:paraId="243ABD26">
            <w:pPr>
              <w:jc w:val="center"/>
              <w:rPr>
                <w:rFonts w:hint="eastAsia" w:ascii="等线" w:hAnsi="等线" w:eastAsia="等线" w:cs="Times New Roman"/>
                <w:b/>
                <w:szCs w:val="20"/>
              </w:rPr>
            </w:pPr>
            <w:r>
              <w:rPr>
                <w:rFonts w:hint="eastAsia" w:ascii="等线" w:hAnsi="等线" w:eastAsia="等线" w:cs="Times New Roman"/>
                <w:b/>
                <w:szCs w:val="20"/>
              </w:rPr>
              <w:t>付款方式及比例是否偏离</w:t>
            </w:r>
          </w:p>
        </w:tc>
      </w:tr>
      <w:tr w14:paraId="6F68B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49" w:hRule="atLeast"/>
          <w:jc w:val="center"/>
        </w:trPr>
        <w:tc>
          <w:tcPr>
            <w:tcW w:w="705" w:type="dxa"/>
            <w:vAlign w:val="center"/>
          </w:tcPr>
          <w:p w14:paraId="321277D1">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81" w:type="dxa"/>
            <w:vAlign w:val="center"/>
          </w:tcPr>
          <w:p w14:paraId="61517AD6">
            <w:pPr>
              <w:jc w:val="center"/>
              <w:rPr>
                <w:rFonts w:ascii="Times New Roman" w:hAnsi="Times New Roman" w:eastAsia="宋体" w:cs="Times New Roman"/>
                <w:b/>
                <w:szCs w:val="20"/>
              </w:rPr>
            </w:pPr>
            <w:r>
              <w:rPr>
                <w:rFonts w:hint="eastAsia" w:ascii="宋体" w:hAnsi="宋体" w:eastAsia="宋体" w:cs="宋体"/>
                <w:sz w:val="24"/>
                <w:szCs w:val="24"/>
                <w:u w:val="single"/>
              </w:rPr>
              <w:t>济南卡车制造公司党家庄厂区总三车间总装北线加固改造技改项目</w:t>
            </w:r>
          </w:p>
        </w:tc>
        <w:tc>
          <w:tcPr>
            <w:tcW w:w="883" w:type="dxa"/>
            <w:vAlign w:val="center"/>
          </w:tcPr>
          <w:p w14:paraId="7A422AC0">
            <w:pPr>
              <w:jc w:val="center"/>
              <w:rPr>
                <w:rFonts w:ascii="Times New Roman" w:hAnsi="Times New Roman" w:eastAsia="宋体" w:cs="Times New Roman"/>
                <w:b/>
                <w:szCs w:val="20"/>
              </w:rPr>
            </w:pPr>
            <w:r>
              <w:rPr>
                <w:rFonts w:ascii="Times New Roman" w:hAnsi="Times New Roman" w:eastAsia="宋体" w:cs="Times New Roman"/>
                <w:b/>
                <w:szCs w:val="20"/>
              </w:rPr>
              <w:t>1</w:t>
            </w:r>
            <w:r>
              <w:rPr>
                <w:rFonts w:hint="eastAsia" w:ascii="Times New Roman" w:hAnsi="Times New Roman" w:eastAsia="宋体" w:cs="Times New Roman"/>
                <w:b/>
                <w:szCs w:val="20"/>
              </w:rPr>
              <w:t>套</w:t>
            </w:r>
          </w:p>
        </w:tc>
        <w:tc>
          <w:tcPr>
            <w:tcW w:w="2000" w:type="dxa"/>
            <w:vAlign w:val="center"/>
          </w:tcPr>
          <w:p w14:paraId="27D87F83">
            <w:pPr>
              <w:jc w:val="center"/>
              <w:rPr>
                <w:rFonts w:hint="eastAsia" w:ascii="等线" w:hAnsi="等线" w:eastAsia="等线" w:cs="Times New Roman"/>
                <w:b/>
                <w:szCs w:val="20"/>
              </w:rPr>
            </w:pPr>
            <w:r>
              <w:rPr>
                <w:rFonts w:hint="eastAsia" w:ascii="等线" w:hAnsi="等线" w:eastAsia="等线" w:cs="Times New Roman"/>
                <w:b/>
                <w:szCs w:val="20"/>
              </w:rPr>
              <w:t>不含税价：</w:t>
            </w:r>
          </w:p>
          <w:p w14:paraId="69E39EE4">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75CF054B">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082" w:type="dxa"/>
            <w:vAlign w:val="center"/>
          </w:tcPr>
          <w:p w14:paraId="324B46C6">
            <w:pPr>
              <w:jc w:val="center"/>
              <w:rPr>
                <w:rFonts w:ascii="Times New Roman" w:hAnsi="Times New Roman" w:eastAsia="宋体" w:cs="Times New Roman"/>
                <w:b/>
                <w:szCs w:val="20"/>
              </w:rPr>
            </w:pPr>
          </w:p>
        </w:tc>
        <w:tc>
          <w:tcPr>
            <w:tcW w:w="1261" w:type="dxa"/>
            <w:vAlign w:val="center"/>
          </w:tcPr>
          <w:p w14:paraId="1EE2E1B8">
            <w:pPr>
              <w:jc w:val="center"/>
              <w:rPr>
                <w:rFonts w:ascii="Times New Roman" w:hAnsi="Times New Roman" w:eastAsia="宋体" w:cs="Times New Roman"/>
                <w:b/>
                <w:szCs w:val="20"/>
              </w:rPr>
            </w:pPr>
          </w:p>
        </w:tc>
        <w:tc>
          <w:tcPr>
            <w:tcW w:w="974" w:type="dxa"/>
            <w:vAlign w:val="center"/>
          </w:tcPr>
          <w:p w14:paraId="77E0F591">
            <w:pPr>
              <w:jc w:val="center"/>
              <w:rPr>
                <w:rFonts w:ascii="Times New Roman" w:hAnsi="Times New Roman" w:eastAsia="宋体" w:cs="Times New Roman"/>
                <w:b/>
                <w:szCs w:val="20"/>
              </w:rPr>
            </w:pPr>
          </w:p>
        </w:tc>
        <w:tc>
          <w:tcPr>
            <w:tcW w:w="950" w:type="dxa"/>
            <w:vAlign w:val="center"/>
          </w:tcPr>
          <w:p w14:paraId="562EC742">
            <w:pPr>
              <w:jc w:val="center"/>
              <w:rPr>
                <w:rFonts w:ascii="Times New Roman" w:hAnsi="Times New Roman" w:eastAsia="宋体" w:cs="Times New Roman"/>
                <w:b/>
                <w:szCs w:val="20"/>
              </w:rPr>
            </w:pPr>
          </w:p>
        </w:tc>
      </w:tr>
    </w:tbl>
    <w:p w14:paraId="6F25F481">
      <w:pPr>
        <w:rPr>
          <w:rFonts w:ascii="宋体" w:hAnsi="Arial" w:eastAsia="宋体" w:cs="Times New Roman"/>
          <w:sz w:val="24"/>
          <w:szCs w:val="24"/>
        </w:rPr>
      </w:pPr>
    </w:p>
    <w:p w14:paraId="07A053FF">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1F6A110D">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765AC91E">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24BF4AA3">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14:paraId="60C402E0">
      <w:pPr>
        <w:pStyle w:val="18"/>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3C1F8A64">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0FAFCC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F165998">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05FB4C0">
      <w:pPr>
        <w:ind w:firstLine="480"/>
        <w:rPr>
          <w:rFonts w:ascii="宋体" w:hAnsi="Calibri" w:eastAsia="宋体" w:cs="Times New Roman"/>
          <w:color w:val="000000"/>
          <w:sz w:val="24"/>
          <w:szCs w:val="24"/>
        </w:rPr>
      </w:pPr>
    </w:p>
    <w:p w14:paraId="4DDCEE4F">
      <w:pPr>
        <w:pStyle w:val="18"/>
        <w:sectPr>
          <w:pgSz w:w="11906" w:h="16838"/>
          <w:pgMar w:top="1588" w:right="1418" w:bottom="1134" w:left="1418" w:header="851" w:footer="992" w:gutter="0"/>
          <w:cols w:space="720" w:num="1"/>
          <w:titlePg/>
          <w:docGrid w:type="lines" w:linePitch="312" w:charSpace="0"/>
        </w:sectPr>
      </w:pPr>
    </w:p>
    <w:p w14:paraId="0A2A7A36">
      <w:pPr>
        <w:rPr>
          <w:rFonts w:hint="eastAsia" w:ascii="宋体" w:hAnsi="宋体" w:cs="宋体"/>
          <w:color w:val="000000"/>
          <w:sz w:val="24"/>
          <w:szCs w:val="24"/>
        </w:rPr>
      </w:pPr>
    </w:p>
    <w:p w14:paraId="52606308">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47A80D6A">
      <w:pPr>
        <w:pStyle w:val="5"/>
        <w:jc w:val="center"/>
        <w:rPr>
          <w:rFonts w:hint="eastAsia" w:ascii="宋体" w:hAnsi="宋体"/>
          <w:sz w:val="24"/>
          <w:szCs w:val="24"/>
        </w:rPr>
      </w:pPr>
      <w:r>
        <w:rPr>
          <w:rFonts w:ascii="宋体" w:hAnsi="宋体" w:cs="宋体"/>
          <w:spacing w:val="-9"/>
          <w:sz w:val="24"/>
          <w:szCs w:val="24"/>
          <w14:textOutline w14:w="4356" w14:cap="flat" w14:cmpd="sng" w14:algn="ctr">
            <w14:solidFill>
              <w14:srgbClr w14:val="000000"/>
            </w14:solidFill>
            <w14:prstDash w14:val="solid"/>
            <w14:miter w14:val="0"/>
          </w14:textOutline>
        </w:rPr>
        <w:t>表</w:t>
      </w:r>
      <w:r>
        <w:rPr>
          <w:rFonts w:ascii="宋体" w:hAnsi="宋体" w:cs="宋体"/>
          <w:spacing w:val="-7"/>
          <w:sz w:val="24"/>
          <w:szCs w:val="24"/>
        </w:rPr>
        <w:t xml:space="preserve"> </w:t>
      </w:r>
      <w:r>
        <w:rPr>
          <w:rFonts w:hint="eastAsia" w:ascii="宋体" w:hAnsi="宋体" w:cs="宋体"/>
          <w:spacing w:val="-7"/>
          <w:sz w:val="24"/>
          <w:szCs w:val="24"/>
          <w14:textOutline w14:w="4356" w14:cap="flat" w14:cmpd="sng" w14:algn="ctr">
            <w14:solidFill>
              <w14:srgbClr w14:val="000000"/>
            </w14:solidFill>
            <w14:prstDash w14:val="solid"/>
            <w14:miter w14:val="0"/>
          </w14:textOutline>
        </w:rPr>
        <w:t>9</w:t>
      </w:r>
      <w:r>
        <w:rPr>
          <w:rFonts w:ascii="宋体" w:hAnsi="宋体" w:cs="宋体"/>
          <w:spacing w:val="-7"/>
          <w:sz w:val="24"/>
          <w:szCs w:val="24"/>
          <w14:textOutline w14:w="4356" w14:cap="flat" w14:cmpd="sng" w14:algn="ctr">
            <w14:solidFill>
              <w14:srgbClr w14:val="000000"/>
            </w14:solidFill>
            <w14:prstDash w14:val="solid"/>
            <w14:miter w14:val="0"/>
          </w14:textOutline>
        </w:rPr>
        <w:t>-1</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4760A884">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5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448"/>
        <w:gridCol w:w="1790"/>
        <w:gridCol w:w="2239"/>
        <w:gridCol w:w="1120"/>
        <w:gridCol w:w="1120"/>
        <w:gridCol w:w="1682"/>
        <w:gridCol w:w="1921"/>
        <w:gridCol w:w="2385"/>
        <w:gridCol w:w="1717"/>
      </w:tblGrid>
      <w:tr w14:paraId="2CBB0F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14:paraId="5DCA0990">
            <w:pPr>
              <w:spacing w:before="97" w:line="186" w:lineRule="auto"/>
              <w:ind w:left="304"/>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gridSpan w:val="2"/>
          </w:tcPr>
          <w:p w14:paraId="715B01B2">
            <w:pPr>
              <w:spacing w:before="98" w:line="185" w:lineRule="auto"/>
              <w:ind w:left="10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tcPr>
          <w:p w14:paraId="05F4E7FC">
            <w:pPr>
              <w:spacing w:before="99" w:line="183"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tcPr>
          <w:p w14:paraId="3CF310C0">
            <w:pPr>
              <w:spacing w:before="98" w:line="185" w:lineRule="auto"/>
              <w:ind w:left="511"/>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20" w:type="dxa"/>
          </w:tcPr>
          <w:p w14:paraId="11F70054">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682" w:type="dxa"/>
          </w:tcPr>
          <w:p w14:paraId="16A27B12">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921" w:type="dxa"/>
            <w:tcBorders>
              <w:right w:val="single" w:color="000000" w:sz="4" w:space="0"/>
            </w:tcBorders>
          </w:tcPr>
          <w:p w14:paraId="11054EDB">
            <w:pPr>
              <w:spacing w:before="98" w:line="185"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2385" w:type="dxa"/>
            <w:tcBorders>
              <w:left w:val="single" w:color="000000" w:sz="4" w:space="0"/>
            </w:tcBorders>
          </w:tcPr>
          <w:p w14:paraId="67FD18FB">
            <w:pPr>
              <w:spacing w:before="100" w:line="182"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1717" w:type="dxa"/>
          </w:tcPr>
          <w:p w14:paraId="70412101">
            <w:pPr>
              <w:spacing w:before="99" w:line="183" w:lineRule="auto"/>
              <w:ind w:firstLine="422" w:firstLineChars="200"/>
              <w:rPr>
                <w:rFonts w:hint="eastAsia" w:ascii="宋体" w:hAnsi="宋体" w:eastAsia="宋体" w:cs="宋体"/>
                <w:szCs w:val="21"/>
              </w:rPr>
            </w:pPr>
            <w:r>
              <w:rPr>
                <w:rFonts w:hint="eastAsia" w:ascii="宋体" w:hAnsi="宋体" w:eastAsia="宋体" w:cs="宋体"/>
                <w:b/>
                <w:bCs/>
                <w:szCs w:val="21"/>
              </w:rPr>
              <w:t>9</w:t>
            </w:r>
          </w:p>
        </w:tc>
      </w:tr>
      <w:tr w14:paraId="3BA595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3A01ED4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gridSpan w:val="2"/>
            <w:vAlign w:val="center"/>
          </w:tcPr>
          <w:p w14:paraId="1B19829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14:paraId="32645A7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14:paraId="186E73E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单位</w:t>
            </w:r>
          </w:p>
        </w:tc>
        <w:tc>
          <w:tcPr>
            <w:tcW w:w="1120" w:type="dxa"/>
            <w:vAlign w:val="center"/>
          </w:tcPr>
          <w:p w14:paraId="03907F9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14:paraId="29F8DFA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921" w:type="dxa"/>
            <w:tcBorders>
              <w:right w:val="single" w:color="000000" w:sz="4" w:space="0"/>
            </w:tcBorders>
            <w:vAlign w:val="center"/>
          </w:tcPr>
          <w:p w14:paraId="5A2BF22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435F157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385" w:type="dxa"/>
            <w:tcBorders>
              <w:left w:val="single" w:color="000000" w:sz="4" w:space="0"/>
            </w:tcBorders>
            <w:vAlign w:val="center"/>
          </w:tcPr>
          <w:p w14:paraId="70B90D3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14:paraId="35BAA66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717" w:type="dxa"/>
            <w:vAlign w:val="center"/>
          </w:tcPr>
          <w:p w14:paraId="1D13B22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7991D0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02CCA67D">
            <w:pPr>
              <w:spacing w:before="109" w:line="186" w:lineRule="auto"/>
              <w:ind w:left="304"/>
              <w:jc w:val="left"/>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1</w:t>
            </w:r>
          </w:p>
        </w:tc>
        <w:tc>
          <w:tcPr>
            <w:tcW w:w="2238" w:type="dxa"/>
            <w:gridSpan w:val="2"/>
            <w:shd w:val="clear" w:color="auto" w:fill="auto"/>
            <w:vAlign w:val="center"/>
          </w:tcPr>
          <w:p w14:paraId="406A8E4D">
            <w:pPr>
              <w:spacing w:line="240" w:lineRule="auto"/>
              <w:jc w:val="left"/>
              <w:rPr>
                <w:rFonts w:hint="eastAsia" w:ascii="宋体" w:hAnsi="宋体" w:eastAsia="宋体" w:cstheme="minorBidi"/>
                <w:bCs/>
                <w:kern w:val="2"/>
                <w:sz w:val="21"/>
                <w:szCs w:val="21"/>
                <w:highlight w:val="none"/>
                <w:lang w:val="en-US" w:eastAsia="zh-CN" w:bidi="ar-SA"/>
              </w:rPr>
            </w:pPr>
            <w:r>
              <w:rPr>
                <w:rFonts w:hint="eastAsia" w:ascii="宋体" w:hAnsi="宋体" w:eastAsia="宋体"/>
                <w:bCs/>
                <w:sz w:val="21"/>
                <w:szCs w:val="21"/>
                <w:highlight w:val="none"/>
                <w:lang w:val="en-US" w:eastAsia="zh-CN"/>
              </w:rPr>
              <w:t>更换15kW电机减速机</w:t>
            </w:r>
          </w:p>
        </w:tc>
        <w:tc>
          <w:tcPr>
            <w:tcW w:w="2239" w:type="dxa"/>
            <w:vAlign w:val="center"/>
          </w:tcPr>
          <w:p w14:paraId="7CA7DC76">
            <w:pPr>
              <w:spacing w:line="360" w:lineRule="auto"/>
              <w:jc w:val="center"/>
              <w:rPr>
                <w:rFonts w:hint="eastAsia" w:ascii="仿宋" w:hAnsi="仿宋" w:eastAsia="仿宋"/>
                <w:sz w:val="22"/>
                <w:highlight w:val="none"/>
              </w:rPr>
            </w:pPr>
          </w:p>
        </w:tc>
        <w:tc>
          <w:tcPr>
            <w:tcW w:w="1120" w:type="dxa"/>
            <w:vAlign w:val="center"/>
          </w:tcPr>
          <w:p w14:paraId="401BD2F7">
            <w:pPr>
              <w:jc w:val="center"/>
              <w:textAlignment w:val="center"/>
              <w:rPr>
                <w:rFonts w:hint="eastAsia" w:ascii="宋体" w:hAnsi="宋体" w:eastAsia="宋体" w:cs="宋体"/>
                <w:sz w:val="24"/>
                <w:szCs w:val="24"/>
                <w:highlight w:val="yellow"/>
              </w:rPr>
            </w:pPr>
          </w:p>
        </w:tc>
        <w:tc>
          <w:tcPr>
            <w:tcW w:w="1120" w:type="dxa"/>
            <w:vAlign w:val="center"/>
          </w:tcPr>
          <w:p w14:paraId="7D1EA09E">
            <w:pPr>
              <w:jc w:val="center"/>
              <w:rPr>
                <w:rFonts w:hint="eastAsia" w:ascii="宋体" w:hAnsi="宋体" w:eastAsia="宋体" w:cs="宋体"/>
                <w:sz w:val="24"/>
                <w:szCs w:val="24"/>
                <w:highlight w:val="yellow"/>
              </w:rPr>
            </w:pPr>
          </w:p>
        </w:tc>
        <w:tc>
          <w:tcPr>
            <w:tcW w:w="1682" w:type="dxa"/>
          </w:tcPr>
          <w:p w14:paraId="53002973">
            <w:pPr>
              <w:rPr>
                <w:rFonts w:hint="eastAsia" w:ascii="Arial"/>
              </w:rPr>
            </w:pPr>
          </w:p>
        </w:tc>
        <w:tc>
          <w:tcPr>
            <w:tcW w:w="1921" w:type="dxa"/>
            <w:tcBorders>
              <w:right w:val="single" w:color="000000" w:sz="4" w:space="0"/>
            </w:tcBorders>
          </w:tcPr>
          <w:p w14:paraId="2FAFBEAD">
            <w:pPr>
              <w:rPr>
                <w:rFonts w:hint="eastAsia" w:ascii="Arial"/>
              </w:rPr>
            </w:pPr>
          </w:p>
        </w:tc>
        <w:tc>
          <w:tcPr>
            <w:tcW w:w="2385" w:type="dxa"/>
            <w:tcBorders>
              <w:left w:val="single" w:color="000000" w:sz="4" w:space="0"/>
            </w:tcBorders>
          </w:tcPr>
          <w:p w14:paraId="16D5B844">
            <w:pPr>
              <w:rPr>
                <w:rFonts w:hint="eastAsia" w:ascii="Arial"/>
              </w:rPr>
            </w:pPr>
          </w:p>
        </w:tc>
        <w:tc>
          <w:tcPr>
            <w:tcW w:w="1717" w:type="dxa"/>
          </w:tcPr>
          <w:p w14:paraId="64BCC4E8">
            <w:pPr>
              <w:spacing w:line="360" w:lineRule="auto"/>
              <w:jc w:val="center"/>
              <w:rPr>
                <w:rFonts w:hint="eastAsia" w:ascii="仿宋" w:hAnsi="仿宋" w:eastAsia="仿宋"/>
                <w:sz w:val="22"/>
              </w:rPr>
            </w:pPr>
          </w:p>
        </w:tc>
      </w:tr>
      <w:tr w14:paraId="56D00B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18847BC9">
            <w:pPr>
              <w:spacing w:before="109" w:line="186" w:lineRule="auto"/>
              <w:ind w:left="304"/>
              <w:jc w:val="left"/>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2</w:t>
            </w:r>
          </w:p>
        </w:tc>
        <w:tc>
          <w:tcPr>
            <w:tcW w:w="2238" w:type="dxa"/>
            <w:gridSpan w:val="2"/>
            <w:shd w:val="clear" w:color="auto" w:fill="auto"/>
            <w:vAlign w:val="center"/>
          </w:tcPr>
          <w:p w14:paraId="7DB53E7C">
            <w:pPr>
              <w:spacing w:line="240" w:lineRule="auto"/>
              <w:jc w:val="left"/>
              <w:rPr>
                <w:rFonts w:hint="eastAsia" w:ascii="宋体" w:hAnsi="宋体" w:eastAsia="宋体" w:cstheme="minorBidi"/>
                <w:bCs/>
                <w:kern w:val="2"/>
                <w:sz w:val="21"/>
                <w:szCs w:val="21"/>
                <w:highlight w:val="none"/>
                <w:lang w:val="en-US" w:eastAsia="zh-CN" w:bidi="ar-SA"/>
              </w:rPr>
            </w:pPr>
            <w:r>
              <w:rPr>
                <w:rFonts w:hint="eastAsia" w:ascii="宋体" w:hAnsi="宋体" w:eastAsia="宋体"/>
                <w:bCs/>
                <w:sz w:val="21"/>
                <w:szCs w:val="21"/>
                <w:highlight w:val="none"/>
                <w:lang w:val="en-US" w:eastAsia="zh-CN"/>
              </w:rPr>
              <w:t>更换5.5kW电机减速机</w:t>
            </w:r>
          </w:p>
        </w:tc>
        <w:tc>
          <w:tcPr>
            <w:tcW w:w="2239" w:type="dxa"/>
            <w:vAlign w:val="center"/>
          </w:tcPr>
          <w:p w14:paraId="38C9BECB">
            <w:pPr>
              <w:spacing w:line="360" w:lineRule="auto"/>
              <w:jc w:val="center"/>
              <w:rPr>
                <w:rFonts w:hint="eastAsia" w:ascii="仿宋" w:hAnsi="仿宋" w:eastAsia="仿宋"/>
                <w:sz w:val="22"/>
                <w:highlight w:val="none"/>
              </w:rPr>
            </w:pPr>
          </w:p>
        </w:tc>
        <w:tc>
          <w:tcPr>
            <w:tcW w:w="1120" w:type="dxa"/>
            <w:vAlign w:val="center"/>
          </w:tcPr>
          <w:p w14:paraId="7AB6C996">
            <w:pPr>
              <w:jc w:val="center"/>
              <w:textAlignment w:val="center"/>
              <w:rPr>
                <w:rFonts w:hint="eastAsia" w:ascii="宋体" w:hAnsi="宋体" w:eastAsia="宋体" w:cs="宋体"/>
                <w:sz w:val="24"/>
                <w:szCs w:val="24"/>
                <w:highlight w:val="yellow"/>
              </w:rPr>
            </w:pPr>
          </w:p>
        </w:tc>
        <w:tc>
          <w:tcPr>
            <w:tcW w:w="1120" w:type="dxa"/>
            <w:vAlign w:val="center"/>
          </w:tcPr>
          <w:p w14:paraId="7D2B25F2">
            <w:pPr>
              <w:jc w:val="center"/>
              <w:rPr>
                <w:rFonts w:hint="eastAsia" w:ascii="宋体" w:hAnsi="宋体" w:eastAsia="宋体" w:cs="宋体"/>
                <w:sz w:val="24"/>
                <w:szCs w:val="24"/>
                <w:highlight w:val="yellow"/>
              </w:rPr>
            </w:pPr>
          </w:p>
        </w:tc>
        <w:tc>
          <w:tcPr>
            <w:tcW w:w="1682" w:type="dxa"/>
          </w:tcPr>
          <w:p w14:paraId="4F421A4F">
            <w:pPr>
              <w:rPr>
                <w:rFonts w:hint="eastAsia" w:ascii="Arial"/>
              </w:rPr>
            </w:pPr>
          </w:p>
        </w:tc>
        <w:tc>
          <w:tcPr>
            <w:tcW w:w="1921" w:type="dxa"/>
            <w:tcBorders>
              <w:right w:val="single" w:color="000000" w:sz="4" w:space="0"/>
            </w:tcBorders>
          </w:tcPr>
          <w:p w14:paraId="791DEE0F">
            <w:pPr>
              <w:rPr>
                <w:rFonts w:hint="eastAsia" w:ascii="Arial"/>
              </w:rPr>
            </w:pPr>
          </w:p>
        </w:tc>
        <w:tc>
          <w:tcPr>
            <w:tcW w:w="2385" w:type="dxa"/>
            <w:tcBorders>
              <w:left w:val="single" w:color="000000" w:sz="4" w:space="0"/>
            </w:tcBorders>
          </w:tcPr>
          <w:p w14:paraId="1E8908F6">
            <w:pPr>
              <w:rPr>
                <w:rFonts w:hint="eastAsia" w:ascii="Arial"/>
              </w:rPr>
            </w:pPr>
          </w:p>
        </w:tc>
        <w:tc>
          <w:tcPr>
            <w:tcW w:w="1717" w:type="dxa"/>
          </w:tcPr>
          <w:p w14:paraId="4E827F67">
            <w:pPr>
              <w:spacing w:line="360" w:lineRule="auto"/>
              <w:jc w:val="center"/>
              <w:rPr>
                <w:rFonts w:hint="eastAsia" w:ascii="仿宋" w:hAnsi="仿宋" w:eastAsia="仿宋"/>
                <w:sz w:val="22"/>
              </w:rPr>
            </w:pPr>
          </w:p>
        </w:tc>
      </w:tr>
      <w:tr w14:paraId="61DD0A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7869A482">
            <w:pPr>
              <w:spacing w:before="109" w:line="186" w:lineRule="auto"/>
              <w:ind w:left="304"/>
              <w:jc w:val="left"/>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3</w:t>
            </w:r>
          </w:p>
        </w:tc>
        <w:tc>
          <w:tcPr>
            <w:tcW w:w="2238" w:type="dxa"/>
            <w:gridSpan w:val="2"/>
            <w:shd w:val="clear" w:color="auto" w:fill="auto"/>
            <w:vAlign w:val="center"/>
          </w:tcPr>
          <w:p w14:paraId="1DF12D34">
            <w:pPr>
              <w:spacing w:line="240" w:lineRule="auto"/>
              <w:jc w:val="left"/>
              <w:rPr>
                <w:rFonts w:hint="eastAsia" w:ascii="宋体" w:hAnsi="宋体" w:eastAsia="宋体" w:cstheme="minorBidi"/>
                <w:bCs/>
                <w:kern w:val="2"/>
                <w:sz w:val="21"/>
                <w:szCs w:val="21"/>
                <w:highlight w:val="none"/>
                <w:lang w:val="en-US" w:eastAsia="zh-CN" w:bidi="ar-SA"/>
              </w:rPr>
            </w:pPr>
            <w:r>
              <w:rPr>
                <w:rFonts w:hint="eastAsia" w:ascii="宋体" w:hAnsi="宋体" w:eastAsia="宋体"/>
                <w:bCs/>
                <w:sz w:val="21"/>
                <w:szCs w:val="21"/>
                <w:highlight w:val="none"/>
                <w:lang w:val="en-US" w:eastAsia="zh-CN"/>
              </w:rPr>
              <w:t>电气系统配套更换</w:t>
            </w:r>
          </w:p>
        </w:tc>
        <w:tc>
          <w:tcPr>
            <w:tcW w:w="2239" w:type="dxa"/>
            <w:vAlign w:val="center"/>
          </w:tcPr>
          <w:p w14:paraId="2BC1EB3D">
            <w:pPr>
              <w:spacing w:line="360" w:lineRule="auto"/>
              <w:jc w:val="center"/>
              <w:rPr>
                <w:rFonts w:hint="eastAsia" w:ascii="仿宋" w:hAnsi="仿宋" w:eastAsia="仿宋"/>
                <w:sz w:val="22"/>
                <w:highlight w:val="none"/>
              </w:rPr>
            </w:pPr>
          </w:p>
        </w:tc>
        <w:tc>
          <w:tcPr>
            <w:tcW w:w="1120" w:type="dxa"/>
            <w:vAlign w:val="center"/>
          </w:tcPr>
          <w:p w14:paraId="54A5BDA4">
            <w:pPr>
              <w:jc w:val="center"/>
              <w:textAlignment w:val="center"/>
              <w:rPr>
                <w:rFonts w:hint="eastAsia" w:ascii="宋体" w:hAnsi="宋体" w:eastAsia="宋体" w:cs="宋体"/>
                <w:sz w:val="24"/>
                <w:szCs w:val="24"/>
                <w:highlight w:val="yellow"/>
              </w:rPr>
            </w:pPr>
          </w:p>
        </w:tc>
        <w:tc>
          <w:tcPr>
            <w:tcW w:w="1120" w:type="dxa"/>
            <w:vAlign w:val="center"/>
          </w:tcPr>
          <w:p w14:paraId="4FE1BB4F">
            <w:pPr>
              <w:jc w:val="center"/>
              <w:rPr>
                <w:rFonts w:hint="eastAsia" w:ascii="宋体" w:hAnsi="宋体" w:eastAsia="宋体" w:cs="宋体"/>
                <w:sz w:val="24"/>
                <w:szCs w:val="24"/>
                <w:highlight w:val="yellow"/>
              </w:rPr>
            </w:pPr>
          </w:p>
        </w:tc>
        <w:tc>
          <w:tcPr>
            <w:tcW w:w="1682" w:type="dxa"/>
          </w:tcPr>
          <w:p w14:paraId="771A5727">
            <w:pPr>
              <w:rPr>
                <w:rFonts w:hint="eastAsia" w:ascii="Arial"/>
              </w:rPr>
            </w:pPr>
          </w:p>
        </w:tc>
        <w:tc>
          <w:tcPr>
            <w:tcW w:w="1921" w:type="dxa"/>
            <w:tcBorders>
              <w:right w:val="single" w:color="000000" w:sz="4" w:space="0"/>
            </w:tcBorders>
          </w:tcPr>
          <w:p w14:paraId="31714454">
            <w:pPr>
              <w:rPr>
                <w:rFonts w:hint="eastAsia" w:ascii="Arial"/>
              </w:rPr>
            </w:pPr>
          </w:p>
        </w:tc>
        <w:tc>
          <w:tcPr>
            <w:tcW w:w="2385" w:type="dxa"/>
            <w:tcBorders>
              <w:left w:val="single" w:color="000000" w:sz="4" w:space="0"/>
            </w:tcBorders>
          </w:tcPr>
          <w:p w14:paraId="6F3133FE">
            <w:pPr>
              <w:rPr>
                <w:rFonts w:hint="eastAsia" w:ascii="Arial"/>
              </w:rPr>
            </w:pPr>
          </w:p>
        </w:tc>
        <w:tc>
          <w:tcPr>
            <w:tcW w:w="1717" w:type="dxa"/>
          </w:tcPr>
          <w:p w14:paraId="65AB59FE">
            <w:pPr>
              <w:spacing w:line="360" w:lineRule="auto"/>
              <w:jc w:val="center"/>
              <w:rPr>
                <w:rFonts w:hint="eastAsia" w:ascii="仿宋" w:hAnsi="仿宋" w:eastAsia="仿宋"/>
                <w:sz w:val="22"/>
              </w:rPr>
            </w:pPr>
          </w:p>
        </w:tc>
      </w:tr>
      <w:tr w14:paraId="08470F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5EF0C4B4">
            <w:pPr>
              <w:spacing w:before="109" w:line="186" w:lineRule="auto"/>
              <w:ind w:left="304"/>
              <w:jc w:val="left"/>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4</w:t>
            </w:r>
          </w:p>
        </w:tc>
        <w:tc>
          <w:tcPr>
            <w:tcW w:w="2238" w:type="dxa"/>
            <w:gridSpan w:val="2"/>
            <w:shd w:val="clear" w:color="auto" w:fill="auto"/>
            <w:vAlign w:val="center"/>
          </w:tcPr>
          <w:p w14:paraId="4C836055">
            <w:pPr>
              <w:spacing w:line="240" w:lineRule="auto"/>
              <w:jc w:val="left"/>
              <w:rPr>
                <w:rFonts w:hint="eastAsia" w:ascii="宋体" w:hAnsi="宋体" w:eastAsia="宋体" w:cstheme="minorBidi"/>
                <w:bCs/>
                <w:kern w:val="2"/>
                <w:sz w:val="21"/>
                <w:szCs w:val="21"/>
                <w:highlight w:val="none"/>
                <w:lang w:val="en-US" w:eastAsia="zh-CN" w:bidi="ar-SA"/>
              </w:rPr>
            </w:pPr>
            <w:r>
              <w:rPr>
                <w:rFonts w:hint="eastAsia" w:ascii="宋体" w:hAnsi="宋体" w:eastAsia="宋体"/>
                <w:bCs/>
                <w:sz w:val="21"/>
                <w:szCs w:val="21"/>
                <w:highlight w:val="none"/>
                <w:lang w:val="en-US" w:eastAsia="zh-CN"/>
              </w:rPr>
              <w:t>加固地拖链、双板链线体中间骨架</w:t>
            </w:r>
          </w:p>
        </w:tc>
        <w:tc>
          <w:tcPr>
            <w:tcW w:w="2239" w:type="dxa"/>
            <w:vAlign w:val="center"/>
          </w:tcPr>
          <w:p w14:paraId="12B2E634">
            <w:pPr>
              <w:spacing w:line="360" w:lineRule="auto"/>
              <w:jc w:val="center"/>
              <w:rPr>
                <w:rFonts w:hint="eastAsia" w:ascii="仿宋" w:hAnsi="仿宋" w:eastAsia="仿宋"/>
                <w:sz w:val="22"/>
                <w:highlight w:val="none"/>
              </w:rPr>
            </w:pPr>
          </w:p>
        </w:tc>
        <w:tc>
          <w:tcPr>
            <w:tcW w:w="1120" w:type="dxa"/>
            <w:vAlign w:val="center"/>
          </w:tcPr>
          <w:p w14:paraId="2BE177F2">
            <w:pPr>
              <w:jc w:val="center"/>
              <w:textAlignment w:val="center"/>
              <w:rPr>
                <w:rFonts w:hint="eastAsia" w:ascii="宋体" w:hAnsi="宋体" w:eastAsia="宋体" w:cs="宋体"/>
                <w:sz w:val="24"/>
                <w:szCs w:val="24"/>
                <w:highlight w:val="yellow"/>
              </w:rPr>
            </w:pPr>
          </w:p>
        </w:tc>
        <w:tc>
          <w:tcPr>
            <w:tcW w:w="1120" w:type="dxa"/>
            <w:vAlign w:val="center"/>
          </w:tcPr>
          <w:p w14:paraId="34CAEE55">
            <w:pPr>
              <w:jc w:val="center"/>
              <w:rPr>
                <w:rFonts w:hint="eastAsia" w:ascii="宋体" w:hAnsi="宋体" w:eastAsia="宋体" w:cs="宋体"/>
                <w:sz w:val="24"/>
                <w:szCs w:val="24"/>
                <w:highlight w:val="yellow"/>
              </w:rPr>
            </w:pPr>
          </w:p>
        </w:tc>
        <w:tc>
          <w:tcPr>
            <w:tcW w:w="1682" w:type="dxa"/>
          </w:tcPr>
          <w:p w14:paraId="4AE8D29C">
            <w:pPr>
              <w:rPr>
                <w:rFonts w:hint="eastAsia" w:ascii="Arial"/>
              </w:rPr>
            </w:pPr>
          </w:p>
        </w:tc>
        <w:tc>
          <w:tcPr>
            <w:tcW w:w="1921" w:type="dxa"/>
            <w:tcBorders>
              <w:right w:val="single" w:color="000000" w:sz="4" w:space="0"/>
            </w:tcBorders>
          </w:tcPr>
          <w:p w14:paraId="796AC00C">
            <w:pPr>
              <w:rPr>
                <w:rFonts w:hint="eastAsia" w:ascii="Arial"/>
              </w:rPr>
            </w:pPr>
          </w:p>
        </w:tc>
        <w:tc>
          <w:tcPr>
            <w:tcW w:w="2385" w:type="dxa"/>
            <w:tcBorders>
              <w:left w:val="single" w:color="000000" w:sz="4" w:space="0"/>
            </w:tcBorders>
          </w:tcPr>
          <w:p w14:paraId="102EF21F">
            <w:pPr>
              <w:rPr>
                <w:rFonts w:hint="eastAsia" w:ascii="Arial"/>
              </w:rPr>
            </w:pPr>
          </w:p>
        </w:tc>
        <w:tc>
          <w:tcPr>
            <w:tcW w:w="1717" w:type="dxa"/>
          </w:tcPr>
          <w:p w14:paraId="66EF2A23">
            <w:pPr>
              <w:spacing w:line="360" w:lineRule="auto"/>
              <w:jc w:val="center"/>
              <w:rPr>
                <w:rFonts w:hint="eastAsia" w:ascii="仿宋" w:hAnsi="仿宋" w:eastAsia="仿宋"/>
                <w:sz w:val="22"/>
              </w:rPr>
            </w:pPr>
          </w:p>
        </w:tc>
      </w:tr>
      <w:tr w14:paraId="05F518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67878637">
            <w:pPr>
              <w:spacing w:before="109" w:line="186" w:lineRule="auto"/>
              <w:ind w:left="304"/>
              <w:jc w:val="left"/>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5</w:t>
            </w:r>
          </w:p>
        </w:tc>
        <w:tc>
          <w:tcPr>
            <w:tcW w:w="2238" w:type="dxa"/>
            <w:gridSpan w:val="2"/>
            <w:shd w:val="clear" w:color="auto" w:fill="auto"/>
            <w:vAlign w:val="center"/>
          </w:tcPr>
          <w:p w14:paraId="672AE925">
            <w:pPr>
              <w:spacing w:line="240" w:lineRule="auto"/>
              <w:jc w:val="left"/>
              <w:rPr>
                <w:rFonts w:hint="eastAsia" w:ascii="宋体" w:hAnsi="宋体" w:eastAsia="宋体" w:cstheme="minorBidi"/>
                <w:bCs/>
                <w:kern w:val="2"/>
                <w:sz w:val="21"/>
                <w:szCs w:val="21"/>
                <w:highlight w:val="none"/>
                <w:lang w:val="en-US" w:eastAsia="zh-CN" w:bidi="ar-SA"/>
              </w:rPr>
            </w:pPr>
            <w:r>
              <w:rPr>
                <w:rFonts w:hint="eastAsia" w:ascii="宋体" w:hAnsi="宋体" w:eastAsia="宋体"/>
                <w:bCs/>
                <w:sz w:val="21"/>
                <w:szCs w:val="21"/>
                <w:highlight w:val="none"/>
                <w:lang w:val="en-US" w:eastAsia="zh-CN"/>
              </w:rPr>
              <w:t>地拖链增加承载横梁</w:t>
            </w:r>
          </w:p>
        </w:tc>
        <w:tc>
          <w:tcPr>
            <w:tcW w:w="2239" w:type="dxa"/>
            <w:vAlign w:val="center"/>
          </w:tcPr>
          <w:p w14:paraId="74291D65">
            <w:pPr>
              <w:spacing w:line="360" w:lineRule="auto"/>
              <w:jc w:val="center"/>
              <w:rPr>
                <w:rFonts w:hint="eastAsia" w:ascii="仿宋" w:hAnsi="仿宋" w:eastAsia="仿宋"/>
                <w:sz w:val="22"/>
                <w:highlight w:val="none"/>
              </w:rPr>
            </w:pPr>
          </w:p>
        </w:tc>
        <w:tc>
          <w:tcPr>
            <w:tcW w:w="1120" w:type="dxa"/>
            <w:vAlign w:val="center"/>
          </w:tcPr>
          <w:p w14:paraId="34B3C90B">
            <w:pPr>
              <w:jc w:val="center"/>
              <w:textAlignment w:val="center"/>
              <w:rPr>
                <w:rFonts w:hint="eastAsia" w:ascii="宋体" w:hAnsi="宋体" w:eastAsia="宋体" w:cs="宋体"/>
                <w:sz w:val="24"/>
                <w:szCs w:val="24"/>
                <w:highlight w:val="yellow"/>
              </w:rPr>
            </w:pPr>
          </w:p>
        </w:tc>
        <w:tc>
          <w:tcPr>
            <w:tcW w:w="1120" w:type="dxa"/>
            <w:vAlign w:val="center"/>
          </w:tcPr>
          <w:p w14:paraId="2A5E1C79">
            <w:pPr>
              <w:jc w:val="center"/>
              <w:rPr>
                <w:rFonts w:hint="eastAsia" w:ascii="宋体" w:hAnsi="宋体" w:eastAsia="宋体" w:cs="宋体"/>
                <w:sz w:val="24"/>
                <w:szCs w:val="24"/>
                <w:highlight w:val="yellow"/>
              </w:rPr>
            </w:pPr>
          </w:p>
        </w:tc>
        <w:tc>
          <w:tcPr>
            <w:tcW w:w="1682" w:type="dxa"/>
          </w:tcPr>
          <w:p w14:paraId="0A93F1BB">
            <w:pPr>
              <w:rPr>
                <w:rFonts w:hint="eastAsia" w:ascii="Arial"/>
              </w:rPr>
            </w:pPr>
          </w:p>
        </w:tc>
        <w:tc>
          <w:tcPr>
            <w:tcW w:w="1921" w:type="dxa"/>
            <w:tcBorders>
              <w:right w:val="single" w:color="000000" w:sz="4" w:space="0"/>
            </w:tcBorders>
          </w:tcPr>
          <w:p w14:paraId="49E72677">
            <w:pPr>
              <w:rPr>
                <w:rFonts w:hint="eastAsia" w:ascii="Arial"/>
              </w:rPr>
            </w:pPr>
          </w:p>
        </w:tc>
        <w:tc>
          <w:tcPr>
            <w:tcW w:w="2385" w:type="dxa"/>
            <w:tcBorders>
              <w:left w:val="single" w:color="000000" w:sz="4" w:space="0"/>
            </w:tcBorders>
          </w:tcPr>
          <w:p w14:paraId="6E72C480">
            <w:pPr>
              <w:rPr>
                <w:rFonts w:hint="eastAsia" w:ascii="Arial"/>
              </w:rPr>
            </w:pPr>
          </w:p>
        </w:tc>
        <w:tc>
          <w:tcPr>
            <w:tcW w:w="1717" w:type="dxa"/>
          </w:tcPr>
          <w:p w14:paraId="1A290037">
            <w:pPr>
              <w:spacing w:line="360" w:lineRule="auto"/>
              <w:jc w:val="center"/>
              <w:rPr>
                <w:rFonts w:hint="eastAsia" w:ascii="仿宋" w:hAnsi="仿宋" w:eastAsia="仿宋"/>
                <w:sz w:val="22"/>
              </w:rPr>
            </w:pPr>
          </w:p>
        </w:tc>
      </w:tr>
      <w:tr w14:paraId="67E4B5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0CCAF60C">
            <w:pPr>
              <w:spacing w:before="109" w:line="186" w:lineRule="auto"/>
              <w:ind w:left="304"/>
              <w:jc w:val="left"/>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6</w:t>
            </w:r>
          </w:p>
        </w:tc>
        <w:tc>
          <w:tcPr>
            <w:tcW w:w="2238" w:type="dxa"/>
            <w:gridSpan w:val="2"/>
            <w:shd w:val="clear" w:color="auto" w:fill="auto"/>
            <w:vAlign w:val="center"/>
          </w:tcPr>
          <w:p w14:paraId="22FFE9A8">
            <w:pPr>
              <w:spacing w:line="240" w:lineRule="auto"/>
              <w:jc w:val="left"/>
              <w:rPr>
                <w:rFonts w:hint="eastAsia" w:ascii="宋体" w:hAnsi="宋体" w:eastAsia="宋体" w:cstheme="minorBidi"/>
                <w:bCs/>
                <w:kern w:val="2"/>
                <w:sz w:val="21"/>
                <w:szCs w:val="21"/>
                <w:highlight w:val="none"/>
                <w:lang w:val="en-US" w:eastAsia="zh-CN" w:bidi="ar-SA"/>
              </w:rPr>
            </w:pPr>
            <w:r>
              <w:rPr>
                <w:rFonts w:hint="eastAsia" w:ascii="宋体" w:hAnsi="宋体" w:eastAsia="宋体"/>
                <w:bCs/>
                <w:sz w:val="21"/>
                <w:szCs w:val="21"/>
                <w:highlight w:val="none"/>
                <w:lang w:val="en-US" w:eastAsia="zh-CN"/>
              </w:rPr>
              <w:t>检修地拖链链条行走轨道、链条返回轨道</w:t>
            </w:r>
          </w:p>
        </w:tc>
        <w:tc>
          <w:tcPr>
            <w:tcW w:w="2239" w:type="dxa"/>
            <w:vAlign w:val="center"/>
          </w:tcPr>
          <w:p w14:paraId="04F248DA">
            <w:pPr>
              <w:spacing w:line="360" w:lineRule="auto"/>
              <w:jc w:val="center"/>
              <w:rPr>
                <w:rFonts w:hint="eastAsia" w:ascii="仿宋" w:hAnsi="仿宋" w:eastAsia="仿宋"/>
                <w:sz w:val="22"/>
                <w:highlight w:val="none"/>
              </w:rPr>
            </w:pPr>
          </w:p>
        </w:tc>
        <w:tc>
          <w:tcPr>
            <w:tcW w:w="1120" w:type="dxa"/>
            <w:vAlign w:val="center"/>
          </w:tcPr>
          <w:p w14:paraId="07B9B1B6">
            <w:pPr>
              <w:jc w:val="center"/>
              <w:textAlignment w:val="center"/>
              <w:rPr>
                <w:rFonts w:hint="eastAsia" w:ascii="宋体" w:hAnsi="宋体" w:eastAsia="宋体" w:cs="宋体"/>
                <w:sz w:val="24"/>
                <w:szCs w:val="24"/>
                <w:highlight w:val="yellow"/>
              </w:rPr>
            </w:pPr>
          </w:p>
        </w:tc>
        <w:tc>
          <w:tcPr>
            <w:tcW w:w="1120" w:type="dxa"/>
            <w:vAlign w:val="center"/>
          </w:tcPr>
          <w:p w14:paraId="61928BD4">
            <w:pPr>
              <w:jc w:val="center"/>
              <w:rPr>
                <w:rFonts w:hint="eastAsia" w:ascii="宋体" w:hAnsi="宋体" w:eastAsia="宋体" w:cs="宋体"/>
                <w:sz w:val="24"/>
                <w:szCs w:val="24"/>
                <w:highlight w:val="yellow"/>
              </w:rPr>
            </w:pPr>
          </w:p>
        </w:tc>
        <w:tc>
          <w:tcPr>
            <w:tcW w:w="1682" w:type="dxa"/>
          </w:tcPr>
          <w:p w14:paraId="28567D02">
            <w:pPr>
              <w:rPr>
                <w:rFonts w:hint="eastAsia" w:ascii="Arial"/>
              </w:rPr>
            </w:pPr>
          </w:p>
        </w:tc>
        <w:tc>
          <w:tcPr>
            <w:tcW w:w="1921" w:type="dxa"/>
            <w:tcBorders>
              <w:right w:val="single" w:color="000000" w:sz="4" w:space="0"/>
            </w:tcBorders>
          </w:tcPr>
          <w:p w14:paraId="1B466D8D">
            <w:pPr>
              <w:rPr>
                <w:rFonts w:hint="eastAsia" w:ascii="Arial"/>
              </w:rPr>
            </w:pPr>
          </w:p>
        </w:tc>
        <w:tc>
          <w:tcPr>
            <w:tcW w:w="2385" w:type="dxa"/>
            <w:tcBorders>
              <w:left w:val="single" w:color="000000" w:sz="4" w:space="0"/>
            </w:tcBorders>
          </w:tcPr>
          <w:p w14:paraId="78C856A1">
            <w:pPr>
              <w:rPr>
                <w:rFonts w:hint="eastAsia" w:ascii="Arial"/>
              </w:rPr>
            </w:pPr>
          </w:p>
        </w:tc>
        <w:tc>
          <w:tcPr>
            <w:tcW w:w="1717" w:type="dxa"/>
          </w:tcPr>
          <w:p w14:paraId="558496B6">
            <w:pPr>
              <w:spacing w:line="360" w:lineRule="auto"/>
              <w:jc w:val="center"/>
              <w:rPr>
                <w:rFonts w:hint="eastAsia" w:ascii="仿宋" w:hAnsi="仿宋" w:eastAsia="仿宋"/>
                <w:sz w:val="22"/>
              </w:rPr>
            </w:pPr>
          </w:p>
        </w:tc>
      </w:tr>
      <w:tr w14:paraId="253BE4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6E40267E">
            <w:pPr>
              <w:spacing w:before="109" w:line="186" w:lineRule="auto"/>
              <w:ind w:left="304"/>
              <w:jc w:val="left"/>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7</w:t>
            </w:r>
          </w:p>
        </w:tc>
        <w:tc>
          <w:tcPr>
            <w:tcW w:w="2238" w:type="dxa"/>
            <w:gridSpan w:val="2"/>
            <w:shd w:val="clear" w:color="auto" w:fill="auto"/>
            <w:vAlign w:val="center"/>
          </w:tcPr>
          <w:p w14:paraId="2369FC79">
            <w:pPr>
              <w:spacing w:line="240" w:lineRule="auto"/>
              <w:jc w:val="left"/>
              <w:rPr>
                <w:rFonts w:hint="eastAsia" w:ascii="宋体" w:hAnsi="宋体" w:eastAsia="宋体" w:cstheme="minorBidi"/>
                <w:bCs/>
                <w:kern w:val="2"/>
                <w:sz w:val="21"/>
                <w:szCs w:val="21"/>
                <w:highlight w:val="none"/>
                <w:lang w:val="en-US" w:eastAsia="zh-CN" w:bidi="ar-SA"/>
              </w:rPr>
            </w:pPr>
            <w:r>
              <w:rPr>
                <w:rFonts w:hint="eastAsia" w:ascii="宋体" w:hAnsi="宋体" w:eastAsia="宋体"/>
                <w:bCs/>
                <w:sz w:val="21"/>
                <w:szCs w:val="21"/>
                <w:highlight w:val="none"/>
                <w:lang w:val="en-US" w:eastAsia="zh-CN"/>
              </w:rPr>
              <w:t>加固地拖链、双板链两侧地坑盖板及支架支撑</w:t>
            </w:r>
          </w:p>
        </w:tc>
        <w:tc>
          <w:tcPr>
            <w:tcW w:w="2239" w:type="dxa"/>
            <w:vAlign w:val="center"/>
          </w:tcPr>
          <w:p w14:paraId="45E4D57C">
            <w:pPr>
              <w:spacing w:line="360" w:lineRule="auto"/>
              <w:jc w:val="center"/>
              <w:rPr>
                <w:rFonts w:hint="eastAsia" w:ascii="仿宋" w:hAnsi="仿宋" w:eastAsia="仿宋"/>
                <w:sz w:val="22"/>
                <w:highlight w:val="none"/>
              </w:rPr>
            </w:pPr>
          </w:p>
        </w:tc>
        <w:tc>
          <w:tcPr>
            <w:tcW w:w="1120" w:type="dxa"/>
            <w:vAlign w:val="center"/>
          </w:tcPr>
          <w:p w14:paraId="55D50F12">
            <w:pPr>
              <w:jc w:val="center"/>
              <w:textAlignment w:val="center"/>
              <w:rPr>
                <w:rFonts w:hint="eastAsia" w:ascii="宋体" w:hAnsi="宋体" w:eastAsia="宋体" w:cs="宋体"/>
                <w:sz w:val="24"/>
                <w:szCs w:val="24"/>
                <w:highlight w:val="yellow"/>
              </w:rPr>
            </w:pPr>
          </w:p>
        </w:tc>
        <w:tc>
          <w:tcPr>
            <w:tcW w:w="1120" w:type="dxa"/>
            <w:vAlign w:val="center"/>
          </w:tcPr>
          <w:p w14:paraId="6A689611">
            <w:pPr>
              <w:jc w:val="center"/>
              <w:rPr>
                <w:rFonts w:hint="eastAsia" w:ascii="宋体" w:hAnsi="宋体" w:eastAsia="宋体" w:cs="宋体"/>
                <w:sz w:val="24"/>
                <w:szCs w:val="24"/>
                <w:highlight w:val="yellow"/>
              </w:rPr>
            </w:pPr>
          </w:p>
        </w:tc>
        <w:tc>
          <w:tcPr>
            <w:tcW w:w="1682" w:type="dxa"/>
          </w:tcPr>
          <w:p w14:paraId="1C3D13BB">
            <w:pPr>
              <w:rPr>
                <w:rFonts w:hint="eastAsia" w:ascii="Arial"/>
              </w:rPr>
            </w:pPr>
          </w:p>
        </w:tc>
        <w:tc>
          <w:tcPr>
            <w:tcW w:w="1921" w:type="dxa"/>
            <w:tcBorders>
              <w:right w:val="single" w:color="000000" w:sz="4" w:space="0"/>
            </w:tcBorders>
          </w:tcPr>
          <w:p w14:paraId="1F0D973D">
            <w:pPr>
              <w:rPr>
                <w:rFonts w:hint="eastAsia" w:ascii="Arial"/>
              </w:rPr>
            </w:pPr>
          </w:p>
        </w:tc>
        <w:tc>
          <w:tcPr>
            <w:tcW w:w="2385" w:type="dxa"/>
            <w:tcBorders>
              <w:left w:val="single" w:color="000000" w:sz="4" w:space="0"/>
            </w:tcBorders>
          </w:tcPr>
          <w:p w14:paraId="29B2E7EA">
            <w:pPr>
              <w:rPr>
                <w:rFonts w:hint="eastAsia" w:ascii="Arial"/>
              </w:rPr>
            </w:pPr>
          </w:p>
        </w:tc>
        <w:tc>
          <w:tcPr>
            <w:tcW w:w="1717" w:type="dxa"/>
          </w:tcPr>
          <w:p w14:paraId="24B2A7EB">
            <w:pPr>
              <w:spacing w:line="360" w:lineRule="auto"/>
              <w:jc w:val="center"/>
              <w:rPr>
                <w:rFonts w:hint="eastAsia" w:ascii="仿宋" w:hAnsi="仿宋" w:eastAsia="仿宋"/>
                <w:sz w:val="22"/>
              </w:rPr>
            </w:pPr>
          </w:p>
        </w:tc>
      </w:tr>
      <w:tr w14:paraId="3C786E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3FAB82F9">
            <w:pPr>
              <w:spacing w:before="109" w:line="186" w:lineRule="auto"/>
              <w:ind w:left="304"/>
              <w:jc w:val="left"/>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8</w:t>
            </w:r>
          </w:p>
        </w:tc>
        <w:tc>
          <w:tcPr>
            <w:tcW w:w="2238" w:type="dxa"/>
            <w:gridSpan w:val="2"/>
            <w:shd w:val="clear" w:color="auto" w:fill="auto"/>
            <w:vAlign w:val="center"/>
          </w:tcPr>
          <w:p w14:paraId="11E67B34">
            <w:pPr>
              <w:spacing w:line="240" w:lineRule="auto"/>
              <w:jc w:val="left"/>
              <w:rPr>
                <w:rFonts w:hint="eastAsia" w:ascii="宋体" w:hAnsi="宋体" w:eastAsia="宋体" w:cstheme="minorBidi"/>
                <w:bCs/>
                <w:kern w:val="2"/>
                <w:sz w:val="21"/>
                <w:szCs w:val="21"/>
                <w:highlight w:val="none"/>
                <w:lang w:val="en-US" w:eastAsia="zh-CN" w:bidi="ar-SA"/>
              </w:rPr>
            </w:pPr>
            <w:r>
              <w:rPr>
                <w:rFonts w:hint="eastAsia" w:ascii="宋体" w:hAnsi="宋体" w:eastAsia="宋体"/>
                <w:bCs/>
                <w:sz w:val="21"/>
                <w:szCs w:val="21"/>
                <w:highlight w:val="none"/>
                <w:lang w:val="en-US" w:eastAsia="zh-CN"/>
              </w:rPr>
              <w:t>加固地拖链和双板链驱动部分、涨紧部分</w:t>
            </w:r>
          </w:p>
        </w:tc>
        <w:tc>
          <w:tcPr>
            <w:tcW w:w="2239" w:type="dxa"/>
            <w:vAlign w:val="center"/>
          </w:tcPr>
          <w:p w14:paraId="4CC5B449">
            <w:pPr>
              <w:spacing w:line="360" w:lineRule="auto"/>
              <w:jc w:val="center"/>
              <w:rPr>
                <w:rFonts w:hint="eastAsia" w:ascii="仿宋" w:hAnsi="仿宋" w:eastAsia="仿宋"/>
                <w:sz w:val="22"/>
                <w:highlight w:val="none"/>
              </w:rPr>
            </w:pPr>
          </w:p>
        </w:tc>
        <w:tc>
          <w:tcPr>
            <w:tcW w:w="1120" w:type="dxa"/>
            <w:vAlign w:val="center"/>
          </w:tcPr>
          <w:p w14:paraId="1B7CBB10">
            <w:pPr>
              <w:jc w:val="center"/>
              <w:textAlignment w:val="center"/>
              <w:rPr>
                <w:rFonts w:hint="eastAsia" w:ascii="宋体" w:hAnsi="宋体" w:eastAsia="宋体" w:cs="宋体"/>
                <w:sz w:val="24"/>
                <w:szCs w:val="24"/>
                <w:highlight w:val="yellow"/>
              </w:rPr>
            </w:pPr>
          </w:p>
        </w:tc>
        <w:tc>
          <w:tcPr>
            <w:tcW w:w="1120" w:type="dxa"/>
            <w:vAlign w:val="center"/>
          </w:tcPr>
          <w:p w14:paraId="48231C13">
            <w:pPr>
              <w:jc w:val="center"/>
              <w:rPr>
                <w:rFonts w:hint="eastAsia" w:ascii="宋体" w:hAnsi="宋体" w:eastAsia="宋体" w:cs="宋体"/>
                <w:sz w:val="24"/>
                <w:szCs w:val="24"/>
                <w:highlight w:val="yellow"/>
              </w:rPr>
            </w:pPr>
          </w:p>
        </w:tc>
        <w:tc>
          <w:tcPr>
            <w:tcW w:w="1682" w:type="dxa"/>
          </w:tcPr>
          <w:p w14:paraId="0F7F8D7B">
            <w:pPr>
              <w:rPr>
                <w:rFonts w:hint="eastAsia" w:ascii="Arial"/>
              </w:rPr>
            </w:pPr>
          </w:p>
        </w:tc>
        <w:tc>
          <w:tcPr>
            <w:tcW w:w="1921" w:type="dxa"/>
            <w:tcBorders>
              <w:right w:val="single" w:color="000000" w:sz="4" w:space="0"/>
            </w:tcBorders>
          </w:tcPr>
          <w:p w14:paraId="55DFA046">
            <w:pPr>
              <w:rPr>
                <w:rFonts w:hint="eastAsia" w:ascii="Arial"/>
              </w:rPr>
            </w:pPr>
          </w:p>
        </w:tc>
        <w:tc>
          <w:tcPr>
            <w:tcW w:w="2385" w:type="dxa"/>
            <w:tcBorders>
              <w:left w:val="single" w:color="000000" w:sz="4" w:space="0"/>
            </w:tcBorders>
          </w:tcPr>
          <w:p w14:paraId="09277882">
            <w:pPr>
              <w:rPr>
                <w:rFonts w:hint="eastAsia" w:ascii="Arial"/>
              </w:rPr>
            </w:pPr>
          </w:p>
        </w:tc>
        <w:tc>
          <w:tcPr>
            <w:tcW w:w="1717" w:type="dxa"/>
          </w:tcPr>
          <w:p w14:paraId="4553CF2B">
            <w:pPr>
              <w:spacing w:line="360" w:lineRule="auto"/>
              <w:jc w:val="center"/>
              <w:rPr>
                <w:rFonts w:hint="eastAsia" w:ascii="仿宋" w:hAnsi="仿宋" w:eastAsia="仿宋"/>
                <w:sz w:val="22"/>
              </w:rPr>
            </w:pPr>
          </w:p>
        </w:tc>
      </w:tr>
      <w:tr w14:paraId="5ED716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3E5F2C2E">
            <w:pPr>
              <w:spacing w:before="109" w:line="186" w:lineRule="auto"/>
              <w:ind w:left="304"/>
              <w:jc w:val="left"/>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9</w:t>
            </w:r>
          </w:p>
        </w:tc>
        <w:tc>
          <w:tcPr>
            <w:tcW w:w="2238" w:type="dxa"/>
            <w:gridSpan w:val="2"/>
            <w:shd w:val="clear" w:color="auto" w:fill="auto"/>
            <w:vAlign w:val="center"/>
          </w:tcPr>
          <w:p w14:paraId="667056FA">
            <w:pPr>
              <w:spacing w:line="240" w:lineRule="auto"/>
              <w:jc w:val="left"/>
              <w:rPr>
                <w:rFonts w:hint="eastAsia" w:ascii="宋体" w:hAnsi="宋体" w:eastAsia="宋体" w:cstheme="minorBidi"/>
                <w:bCs/>
                <w:kern w:val="2"/>
                <w:sz w:val="21"/>
                <w:szCs w:val="21"/>
                <w:highlight w:val="none"/>
                <w:lang w:val="en-US" w:eastAsia="zh-CN" w:bidi="ar-SA"/>
              </w:rPr>
            </w:pPr>
            <w:r>
              <w:rPr>
                <w:rFonts w:hint="eastAsia" w:ascii="宋体" w:hAnsi="宋体" w:eastAsia="宋体"/>
                <w:bCs/>
                <w:sz w:val="21"/>
                <w:szCs w:val="21"/>
                <w:highlight w:val="none"/>
                <w:lang w:val="en-US" w:eastAsia="zh-CN"/>
              </w:rPr>
              <w:t>更换双板链链板</w:t>
            </w:r>
          </w:p>
        </w:tc>
        <w:tc>
          <w:tcPr>
            <w:tcW w:w="2239" w:type="dxa"/>
            <w:vAlign w:val="center"/>
          </w:tcPr>
          <w:p w14:paraId="14DB14AD">
            <w:pPr>
              <w:spacing w:line="360" w:lineRule="auto"/>
              <w:jc w:val="center"/>
              <w:rPr>
                <w:rFonts w:hint="eastAsia" w:ascii="仿宋" w:hAnsi="仿宋" w:eastAsia="仿宋"/>
                <w:sz w:val="22"/>
                <w:highlight w:val="none"/>
              </w:rPr>
            </w:pPr>
          </w:p>
        </w:tc>
        <w:tc>
          <w:tcPr>
            <w:tcW w:w="1120" w:type="dxa"/>
            <w:vAlign w:val="center"/>
          </w:tcPr>
          <w:p w14:paraId="06A04C64">
            <w:pPr>
              <w:jc w:val="center"/>
              <w:textAlignment w:val="center"/>
              <w:rPr>
                <w:rFonts w:hint="eastAsia" w:ascii="宋体" w:hAnsi="宋体" w:eastAsia="宋体" w:cs="宋体"/>
                <w:sz w:val="24"/>
                <w:szCs w:val="24"/>
                <w:highlight w:val="yellow"/>
              </w:rPr>
            </w:pPr>
          </w:p>
        </w:tc>
        <w:tc>
          <w:tcPr>
            <w:tcW w:w="1120" w:type="dxa"/>
            <w:vAlign w:val="center"/>
          </w:tcPr>
          <w:p w14:paraId="4A1F72DD">
            <w:pPr>
              <w:jc w:val="center"/>
              <w:rPr>
                <w:rFonts w:hint="eastAsia" w:ascii="宋体" w:hAnsi="宋体" w:eastAsia="宋体" w:cs="宋体"/>
                <w:sz w:val="24"/>
                <w:szCs w:val="24"/>
                <w:highlight w:val="yellow"/>
              </w:rPr>
            </w:pPr>
          </w:p>
        </w:tc>
        <w:tc>
          <w:tcPr>
            <w:tcW w:w="1682" w:type="dxa"/>
          </w:tcPr>
          <w:p w14:paraId="14D42255">
            <w:pPr>
              <w:rPr>
                <w:rFonts w:hint="eastAsia" w:ascii="Arial"/>
              </w:rPr>
            </w:pPr>
          </w:p>
        </w:tc>
        <w:tc>
          <w:tcPr>
            <w:tcW w:w="1921" w:type="dxa"/>
            <w:tcBorders>
              <w:right w:val="single" w:color="000000" w:sz="4" w:space="0"/>
            </w:tcBorders>
          </w:tcPr>
          <w:p w14:paraId="7E28EF0B">
            <w:pPr>
              <w:rPr>
                <w:rFonts w:hint="eastAsia" w:ascii="Arial"/>
              </w:rPr>
            </w:pPr>
          </w:p>
        </w:tc>
        <w:tc>
          <w:tcPr>
            <w:tcW w:w="2385" w:type="dxa"/>
            <w:tcBorders>
              <w:left w:val="single" w:color="000000" w:sz="4" w:space="0"/>
            </w:tcBorders>
          </w:tcPr>
          <w:p w14:paraId="635FBDAF">
            <w:pPr>
              <w:rPr>
                <w:rFonts w:hint="eastAsia" w:ascii="Arial"/>
              </w:rPr>
            </w:pPr>
          </w:p>
        </w:tc>
        <w:tc>
          <w:tcPr>
            <w:tcW w:w="1717" w:type="dxa"/>
          </w:tcPr>
          <w:p w14:paraId="2449A736">
            <w:pPr>
              <w:spacing w:line="360" w:lineRule="auto"/>
              <w:jc w:val="center"/>
              <w:rPr>
                <w:rFonts w:hint="eastAsia" w:ascii="仿宋" w:hAnsi="仿宋" w:eastAsia="仿宋"/>
                <w:sz w:val="22"/>
              </w:rPr>
            </w:pPr>
          </w:p>
        </w:tc>
      </w:tr>
      <w:tr w14:paraId="035988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3F50F255">
            <w:pPr>
              <w:spacing w:before="109" w:line="186" w:lineRule="auto"/>
              <w:jc w:val="center"/>
              <w:rPr>
                <w:rFonts w:hint="default" w:ascii="宋体" w:hAnsi="宋体" w:eastAsia="宋体" w:cs="宋体"/>
                <w:szCs w:val="21"/>
                <w:highlight w:val="none"/>
                <w:lang w:val="en-US" w:eastAsia="zh-CN"/>
              </w:rPr>
            </w:pPr>
            <w:r>
              <w:rPr>
                <w:rFonts w:hint="eastAsia" w:ascii="宋体" w:hAnsi="宋体" w:eastAsia="宋体" w:cs="宋体"/>
                <w:szCs w:val="21"/>
                <w:highlight w:val="none"/>
                <w:lang w:val="en-US" w:eastAsia="zh-CN"/>
              </w:rPr>
              <w:t>10</w:t>
            </w:r>
          </w:p>
        </w:tc>
        <w:tc>
          <w:tcPr>
            <w:tcW w:w="2238" w:type="dxa"/>
            <w:gridSpan w:val="2"/>
            <w:shd w:val="clear" w:color="auto" w:fill="auto"/>
            <w:vAlign w:val="center"/>
          </w:tcPr>
          <w:p w14:paraId="3B8C3B82">
            <w:pPr>
              <w:spacing w:line="240" w:lineRule="auto"/>
              <w:jc w:val="left"/>
              <w:rPr>
                <w:rFonts w:hint="eastAsia" w:ascii="宋体" w:hAnsi="宋体" w:eastAsia="宋体" w:cstheme="minorBidi"/>
                <w:bCs/>
                <w:kern w:val="2"/>
                <w:sz w:val="21"/>
                <w:szCs w:val="21"/>
                <w:highlight w:val="none"/>
                <w:lang w:val="en-US" w:eastAsia="zh-CN" w:bidi="ar-SA"/>
              </w:rPr>
            </w:pPr>
            <w:r>
              <w:rPr>
                <w:rFonts w:hint="eastAsia" w:ascii="宋体" w:hAnsi="宋体" w:eastAsia="宋体"/>
                <w:bCs/>
                <w:sz w:val="21"/>
                <w:szCs w:val="21"/>
                <w:highlight w:val="none"/>
                <w:lang w:val="en-US" w:eastAsia="zh-CN"/>
              </w:rPr>
              <w:t>检修双板链承重轨道、返回轨道</w:t>
            </w:r>
          </w:p>
        </w:tc>
        <w:tc>
          <w:tcPr>
            <w:tcW w:w="2239" w:type="dxa"/>
            <w:vAlign w:val="center"/>
          </w:tcPr>
          <w:p w14:paraId="0451A050">
            <w:pPr>
              <w:spacing w:line="360" w:lineRule="auto"/>
              <w:jc w:val="center"/>
              <w:rPr>
                <w:rFonts w:hint="eastAsia" w:ascii="仿宋" w:hAnsi="仿宋" w:eastAsia="仿宋"/>
                <w:sz w:val="22"/>
                <w:highlight w:val="none"/>
              </w:rPr>
            </w:pPr>
          </w:p>
        </w:tc>
        <w:tc>
          <w:tcPr>
            <w:tcW w:w="1120" w:type="dxa"/>
            <w:vAlign w:val="center"/>
          </w:tcPr>
          <w:p w14:paraId="47A7383B">
            <w:pPr>
              <w:jc w:val="center"/>
              <w:textAlignment w:val="center"/>
              <w:rPr>
                <w:rFonts w:hint="eastAsia" w:ascii="宋体" w:hAnsi="宋体" w:eastAsia="宋体" w:cs="宋体"/>
                <w:sz w:val="24"/>
                <w:szCs w:val="24"/>
                <w:highlight w:val="yellow"/>
              </w:rPr>
            </w:pPr>
          </w:p>
        </w:tc>
        <w:tc>
          <w:tcPr>
            <w:tcW w:w="1120" w:type="dxa"/>
            <w:vAlign w:val="center"/>
          </w:tcPr>
          <w:p w14:paraId="3F11CFEA">
            <w:pPr>
              <w:jc w:val="center"/>
              <w:rPr>
                <w:rFonts w:hint="eastAsia" w:ascii="宋体" w:hAnsi="宋体" w:eastAsia="宋体" w:cs="宋体"/>
                <w:sz w:val="24"/>
                <w:szCs w:val="24"/>
                <w:highlight w:val="yellow"/>
              </w:rPr>
            </w:pPr>
          </w:p>
        </w:tc>
        <w:tc>
          <w:tcPr>
            <w:tcW w:w="1682" w:type="dxa"/>
          </w:tcPr>
          <w:p w14:paraId="3BF43B5C">
            <w:pPr>
              <w:rPr>
                <w:rFonts w:hint="eastAsia" w:ascii="Arial"/>
              </w:rPr>
            </w:pPr>
          </w:p>
        </w:tc>
        <w:tc>
          <w:tcPr>
            <w:tcW w:w="1921" w:type="dxa"/>
            <w:tcBorders>
              <w:right w:val="single" w:color="000000" w:sz="4" w:space="0"/>
            </w:tcBorders>
          </w:tcPr>
          <w:p w14:paraId="6C5B580C">
            <w:pPr>
              <w:rPr>
                <w:rFonts w:hint="eastAsia" w:ascii="Arial"/>
              </w:rPr>
            </w:pPr>
          </w:p>
        </w:tc>
        <w:tc>
          <w:tcPr>
            <w:tcW w:w="2385" w:type="dxa"/>
            <w:tcBorders>
              <w:left w:val="single" w:color="000000" w:sz="4" w:space="0"/>
            </w:tcBorders>
          </w:tcPr>
          <w:p w14:paraId="72C47CE5">
            <w:pPr>
              <w:rPr>
                <w:rFonts w:hint="eastAsia" w:ascii="Arial"/>
              </w:rPr>
            </w:pPr>
          </w:p>
        </w:tc>
        <w:tc>
          <w:tcPr>
            <w:tcW w:w="1717" w:type="dxa"/>
          </w:tcPr>
          <w:p w14:paraId="4A3DE154">
            <w:pPr>
              <w:spacing w:line="360" w:lineRule="auto"/>
              <w:jc w:val="center"/>
              <w:rPr>
                <w:rFonts w:hint="eastAsia" w:ascii="仿宋" w:hAnsi="仿宋" w:eastAsia="仿宋"/>
                <w:sz w:val="22"/>
              </w:rPr>
            </w:pPr>
          </w:p>
        </w:tc>
      </w:tr>
      <w:tr w14:paraId="27262E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70244CB0">
            <w:pPr>
              <w:spacing w:before="109" w:line="186" w:lineRule="auto"/>
              <w:jc w:val="center"/>
              <w:rPr>
                <w:rFonts w:hint="default" w:ascii="宋体" w:hAnsi="宋体" w:eastAsia="宋体" w:cs="宋体"/>
                <w:szCs w:val="21"/>
                <w:highlight w:val="none"/>
                <w:lang w:val="en-US" w:eastAsia="zh-CN"/>
              </w:rPr>
            </w:pPr>
            <w:r>
              <w:rPr>
                <w:rFonts w:hint="eastAsia" w:ascii="宋体" w:hAnsi="宋体" w:eastAsia="宋体" w:cs="宋体"/>
                <w:szCs w:val="21"/>
                <w:highlight w:val="none"/>
                <w:lang w:val="en-US" w:eastAsia="zh-CN"/>
              </w:rPr>
              <w:t>11</w:t>
            </w:r>
          </w:p>
        </w:tc>
        <w:tc>
          <w:tcPr>
            <w:tcW w:w="2238" w:type="dxa"/>
            <w:gridSpan w:val="2"/>
            <w:shd w:val="clear" w:color="auto" w:fill="auto"/>
            <w:vAlign w:val="center"/>
          </w:tcPr>
          <w:p w14:paraId="5AA9D4D4">
            <w:pPr>
              <w:spacing w:line="240" w:lineRule="auto"/>
              <w:jc w:val="left"/>
              <w:rPr>
                <w:rFonts w:hint="eastAsia" w:ascii="宋体" w:hAnsi="宋体" w:eastAsia="宋体" w:cstheme="minorBidi"/>
                <w:bCs/>
                <w:kern w:val="2"/>
                <w:sz w:val="21"/>
                <w:szCs w:val="21"/>
                <w:highlight w:val="none"/>
                <w:lang w:val="en-US" w:eastAsia="zh-CN" w:bidi="ar-SA"/>
              </w:rPr>
            </w:pPr>
            <w:r>
              <w:rPr>
                <w:rFonts w:hint="eastAsia" w:ascii="宋体" w:hAnsi="宋体" w:eastAsia="宋体"/>
                <w:bCs/>
                <w:sz w:val="21"/>
                <w:szCs w:val="21"/>
                <w:highlight w:val="none"/>
                <w:lang w:val="en-US" w:eastAsia="zh-CN"/>
              </w:rPr>
              <w:t>更换地拖链420米轨道</w:t>
            </w:r>
          </w:p>
        </w:tc>
        <w:tc>
          <w:tcPr>
            <w:tcW w:w="2239" w:type="dxa"/>
            <w:vAlign w:val="center"/>
          </w:tcPr>
          <w:p w14:paraId="507979F4">
            <w:pPr>
              <w:spacing w:line="360" w:lineRule="auto"/>
              <w:jc w:val="center"/>
              <w:rPr>
                <w:rFonts w:hint="eastAsia" w:ascii="仿宋" w:hAnsi="仿宋" w:eastAsia="仿宋"/>
                <w:sz w:val="22"/>
                <w:highlight w:val="none"/>
              </w:rPr>
            </w:pPr>
          </w:p>
        </w:tc>
        <w:tc>
          <w:tcPr>
            <w:tcW w:w="1120" w:type="dxa"/>
            <w:vAlign w:val="center"/>
          </w:tcPr>
          <w:p w14:paraId="57D08A52">
            <w:pPr>
              <w:jc w:val="center"/>
              <w:textAlignment w:val="center"/>
              <w:rPr>
                <w:rFonts w:hint="eastAsia" w:ascii="宋体" w:hAnsi="宋体" w:eastAsia="宋体" w:cs="宋体"/>
                <w:sz w:val="24"/>
                <w:szCs w:val="24"/>
                <w:highlight w:val="yellow"/>
              </w:rPr>
            </w:pPr>
          </w:p>
        </w:tc>
        <w:tc>
          <w:tcPr>
            <w:tcW w:w="1120" w:type="dxa"/>
            <w:vAlign w:val="center"/>
          </w:tcPr>
          <w:p w14:paraId="4DF2E909">
            <w:pPr>
              <w:jc w:val="center"/>
              <w:rPr>
                <w:rFonts w:hint="eastAsia" w:ascii="宋体" w:hAnsi="宋体" w:eastAsia="宋体" w:cs="宋体"/>
                <w:sz w:val="24"/>
                <w:szCs w:val="24"/>
                <w:highlight w:val="yellow"/>
              </w:rPr>
            </w:pPr>
          </w:p>
        </w:tc>
        <w:tc>
          <w:tcPr>
            <w:tcW w:w="1682" w:type="dxa"/>
          </w:tcPr>
          <w:p w14:paraId="18C82FC6">
            <w:pPr>
              <w:rPr>
                <w:rFonts w:hint="eastAsia" w:ascii="Arial"/>
              </w:rPr>
            </w:pPr>
          </w:p>
        </w:tc>
        <w:tc>
          <w:tcPr>
            <w:tcW w:w="1921" w:type="dxa"/>
            <w:tcBorders>
              <w:right w:val="single" w:color="000000" w:sz="4" w:space="0"/>
            </w:tcBorders>
          </w:tcPr>
          <w:p w14:paraId="7995348F">
            <w:pPr>
              <w:rPr>
                <w:rFonts w:hint="eastAsia" w:ascii="Arial"/>
              </w:rPr>
            </w:pPr>
          </w:p>
        </w:tc>
        <w:tc>
          <w:tcPr>
            <w:tcW w:w="2385" w:type="dxa"/>
            <w:tcBorders>
              <w:left w:val="single" w:color="000000" w:sz="4" w:space="0"/>
            </w:tcBorders>
          </w:tcPr>
          <w:p w14:paraId="4BB87A54">
            <w:pPr>
              <w:rPr>
                <w:rFonts w:hint="eastAsia" w:ascii="Arial"/>
              </w:rPr>
            </w:pPr>
          </w:p>
        </w:tc>
        <w:tc>
          <w:tcPr>
            <w:tcW w:w="1717" w:type="dxa"/>
          </w:tcPr>
          <w:p w14:paraId="3108D80E">
            <w:pPr>
              <w:spacing w:line="360" w:lineRule="auto"/>
              <w:jc w:val="center"/>
              <w:rPr>
                <w:rFonts w:hint="eastAsia" w:ascii="仿宋" w:hAnsi="仿宋" w:eastAsia="仿宋"/>
                <w:sz w:val="22"/>
              </w:rPr>
            </w:pPr>
          </w:p>
        </w:tc>
      </w:tr>
      <w:tr w14:paraId="1EC430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14D2F1B0">
            <w:pPr>
              <w:spacing w:before="109" w:line="186" w:lineRule="auto"/>
              <w:jc w:val="center"/>
              <w:rPr>
                <w:rFonts w:hint="default" w:ascii="宋体" w:hAnsi="宋体" w:eastAsia="宋体" w:cs="宋体"/>
                <w:szCs w:val="21"/>
                <w:highlight w:val="none"/>
                <w:lang w:val="en-US" w:eastAsia="zh-CN"/>
              </w:rPr>
            </w:pPr>
            <w:r>
              <w:rPr>
                <w:rFonts w:hint="eastAsia" w:ascii="宋体" w:hAnsi="宋体" w:eastAsia="宋体" w:cs="宋体"/>
                <w:szCs w:val="21"/>
                <w:highlight w:val="none"/>
                <w:lang w:val="en-US" w:eastAsia="zh-CN"/>
              </w:rPr>
              <w:t>12</w:t>
            </w:r>
          </w:p>
        </w:tc>
        <w:tc>
          <w:tcPr>
            <w:tcW w:w="2238" w:type="dxa"/>
            <w:gridSpan w:val="2"/>
            <w:shd w:val="clear" w:color="auto" w:fill="auto"/>
            <w:vAlign w:val="center"/>
          </w:tcPr>
          <w:p w14:paraId="1DA82D11">
            <w:pPr>
              <w:spacing w:line="240" w:lineRule="auto"/>
              <w:jc w:val="left"/>
              <w:rPr>
                <w:rFonts w:hint="eastAsia" w:ascii="宋体" w:hAnsi="宋体" w:eastAsia="宋体" w:cstheme="minorBidi"/>
                <w:bCs/>
                <w:kern w:val="2"/>
                <w:sz w:val="21"/>
                <w:szCs w:val="21"/>
                <w:highlight w:val="none"/>
                <w:lang w:val="en-US" w:eastAsia="zh-CN" w:bidi="ar-SA"/>
              </w:rPr>
            </w:pPr>
            <w:r>
              <w:rPr>
                <w:rFonts w:hint="eastAsia" w:ascii="宋体" w:hAnsi="宋体" w:eastAsia="宋体"/>
                <w:bCs/>
                <w:sz w:val="21"/>
                <w:szCs w:val="21"/>
                <w:highlight w:val="none"/>
                <w:lang w:val="en-US" w:eastAsia="zh-CN"/>
              </w:rPr>
              <w:t>更换地拖链防护胶皮</w:t>
            </w:r>
          </w:p>
        </w:tc>
        <w:tc>
          <w:tcPr>
            <w:tcW w:w="2239" w:type="dxa"/>
            <w:vAlign w:val="center"/>
          </w:tcPr>
          <w:p w14:paraId="24C465E2">
            <w:pPr>
              <w:spacing w:line="360" w:lineRule="auto"/>
              <w:jc w:val="center"/>
              <w:rPr>
                <w:rFonts w:hint="eastAsia" w:ascii="仿宋" w:hAnsi="仿宋" w:eastAsia="仿宋"/>
                <w:sz w:val="22"/>
                <w:highlight w:val="none"/>
              </w:rPr>
            </w:pPr>
          </w:p>
        </w:tc>
        <w:tc>
          <w:tcPr>
            <w:tcW w:w="1120" w:type="dxa"/>
            <w:vAlign w:val="center"/>
          </w:tcPr>
          <w:p w14:paraId="27C2DE7D">
            <w:pPr>
              <w:jc w:val="center"/>
              <w:textAlignment w:val="center"/>
              <w:rPr>
                <w:rFonts w:hint="eastAsia" w:ascii="宋体" w:hAnsi="宋体" w:eastAsia="宋体" w:cs="宋体"/>
                <w:sz w:val="24"/>
                <w:szCs w:val="24"/>
                <w:highlight w:val="yellow"/>
              </w:rPr>
            </w:pPr>
          </w:p>
        </w:tc>
        <w:tc>
          <w:tcPr>
            <w:tcW w:w="1120" w:type="dxa"/>
            <w:vAlign w:val="center"/>
          </w:tcPr>
          <w:p w14:paraId="3D7F76BB">
            <w:pPr>
              <w:jc w:val="center"/>
              <w:rPr>
                <w:rFonts w:hint="eastAsia" w:ascii="宋体" w:hAnsi="宋体" w:eastAsia="宋体" w:cs="宋体"/>
                <w:sz w:val="24"/>
                <w:szCs w:val="24"/>
                <w:highlight w:val="yellow"/>
              </w:rPr>
            </w:pPr>
          </w:p>
        </w:tc>
        <w:tc>
          <w:tcPr>
            <w:tcW w:w="1682" w:type="dxa"/>
          </w:tcPr>
          <w:p w14:paraId="18205C56">
            <w:pPr>
              <w:rPr>
                <w:rFonts w:hint="eastAsia" w:ascii="Arial"/>
              </w:rPr>
            </w:pPr>
          </w:p>
        </w:tc>
        <w:tc>
          <w:tcPr>
            <w:tcW w:w="1921" w:type="dxa"/>
            <w:tcBorders>
              <w:right w:val="single" w:color="000000" w:sz="4" w:space="0"/>
            </w:tcBorders>
          </w:tcPr>
          <w:p w14:paraId="6DEBEED7">
            <w:pPr>
              <w:rPr>
                <w:rFonts w:hint="eastAsia" w:ascii="Arial"/>
              </w:rPr>
            </w:pPr>
          </w:p>
        </w:tc>
        <w:tc>
          <w:tcPr>
            <w:tcW w:w="2385" w:type="dxa"/>
            <w:tcBorders>
              <w:left w:val="single" w:color="000000" w:sz="4" w:space="0"/>
            </w:tcBorders>
          </w:tcPr>
          <w:p w14:paraId="70701327">
            <w:pPr>
              <w:rPr>
                <w:rFonts w:hint="eastAsia" w:ascii="Arial"/>
              </w:rPr>
            </w:pPr>
          </w:p>
        </w:tc>
        <w:tc>
          <w:tcPr>
            <w:tcW w:w="1717" w:type="dxa"/>
          </w:tcPr>
          <w:p w14:paraId="4AD8BCF6">
            <w:pPr>
              <w:spacing w:line="360" w:lineRule="auto"/>
              <w:jc w:val="center"/>
              <w:rPr>
                <w:rFonts w:hint="eastAsia" w:ascii="仿宋" w:hAnsi="仿宋" w:eastAsia="仿宋"/>
                <w:sz w:val="22"/>
              </w:rPr>
            </w:pPr>
          </w:p>
        </w:tc>
      </w:tr>
      <w:tr w14:paraId="791CE0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77758B6E">
            <w:pPr>
              <w:spacing w:before="109" w:line="186" w:lineRule="auto"/>
              <w:jc w:val="center"/>
              <w:rPr>
                <w:rFonts w:hint="default" w:ascii="宋体" w:hAnsi="宋体" w:eastAsia="宋体" w:cs="宋体"/>
                <w:szCs w:val="21"/>
                <w:highlight w:val="none"/>
                <w:lang w:val="en-US" w:eastAsia="zh-CN"/>
              </w:rPr>
            </w:pPr>
            <w:r>
              <w:rPr>
                <w:rFonts w:hint="eastAsia" w:ascii="宋体" w:hAnsi="宋体" w:eastAsia="宋体" w:cs="宋体"/>
                <w:szCs w:val="21"/>
                <w:highlight w:val="none"/>
                <w:lang w:val="en-US" w:eastAsia="zh-CN"/>
              </w:rPr>
              <w:t>13</w:t>
            </w:r>
          </w:p>
        </w:tc>
        <w:tc>
          <w:tcPr>
            <w:tcW w:w="2238" w:type="dxa"/>
            <w:gridSpan w:val="2"/>
            <w:shd w:val="clear" w:color="auto" w:fill="auto"/>
            <w:vAlign w:val="center"/>
          </w:tcPr>
          <w:p w14:paraId="55C1C4B0">
            <w:pPr>
              <w:spacing w:line="240" w:lineRule="auto"/>
              <w:jc w:val="left"/>
              <w:rPr>
                <w:rFonts w:hint="eastAsia" w:ascii="宋体" w:hAnsi="宋体" w:eastAsia="宋体" w:cstheme="minorBidi"/>
                <w:bCs/>
                <w:kern w:val="2"/>
                <w:sz w:val="21"/>
                <w:szCs w:val="21"/>
                <w:highlight w:val="none"/>
                <w:lang w:val="en-US" w:eastAsia="zh-CN" w:bidi="ar-SA"/>
              </w:rPr>
            </w:pPr>
            <w:r>
              <w:rPr>
                <w:rFonts w:hint="eastAsia" w:ascii="宋体" w:hAnsi="宋体" w:eastAsia="宋体"/>
                <w:bCs/>
                <w:sz w:val="21"/>
                <w:szCs w:val="21"/>
                <w:highlight w:val="none"/>
                <w:lang w:val="en-US" w:eastAsia="zh-CN"/>
              </w:rPr>
              <w:t>更换地拖链、双板链滚轮轴承</w:t>
            </w:r>
          </w:p>
        </w:tc>
        <w:tc>
          <w:tcPr>
            <w:tcW w:w="2239" w:type="dxa"/>
            <w:vAlign w:val="center"/>
          </w:tcPr>
          <w:p w14:paraId="39195DE4">
            <w:pPr>
              <w:spacing w:line="360" w:lineRule="auto"/>
              <w:jc w:val="center"/>
              <w:rPr>
                <w:rFonts w:hint="eastAsia" w:ascii="仿宋" w:hAnsi="仿宋" w:eastAsia="仿宋"/>
                <w:sz w:val="22"/>
                <w:highlight w:val="none"/>
              </w:rPr>
            </w:pPr>
          </w:p>
        </w:tc>
        <w:tc>
          <w:tcPr>
            <w:tcW w:w="1120" w:type="dxa"/>
            <w:vAlign w:val="center"/>
          </w:tcPr>
          <w:p w14:paraId="476F5A1D">
            <w:pPr>
              <w:jc w:val="center"/>
              <w:textAlignment w:val="center"/>
              <w:rPr>
                <w:rFonts w:hint="eastAsia" w:ascii="宋体" w:hAnsi="宋体" w:eastAsia="宋体" w:cs="宋体"/>
                <w:sz w:val="24"/>
                <w:szCs w:val="24"/>
                <w:highlight w:val="yellow"/>
              </w:rPr>
            </w:pPr>
          </w:p>
        </w:tc>
        <w:tc>
          <w:tcPr>
            <w:tcW w:w="1120" w:type="dxa"/>
            <w:vAlign w:val="center"/>
          </w:tcPr>
          <w:p w14:paraId="512339FD">
            <w:pPr>
              <w:jc w:val="center"/>
              <w:rPr>
                <w:rFonts w:hint="eastAsia" w:ascii="宋体" w:hAnsi="宋体" w:eastAsia="宋体" w:cs="宋体"/>
                <w:sz w:val="24"/>
                <w:szCs w:val="24"/>
                <w:highlight w:val="yellow"/>
              </w:rPr>
            </w:pPr>
          </w:p>
        </w:tc>
        <w:tc>
          <w:tcPr>
            <w:tcW w:w="1682" w:type="dxa"/>
          </w:tcPr>
          <w:p w14:paraId="410AC354">
            <w:pPr>
              <w:rPr>
                <w:rFonts w:hint="eastAsia" w:ascii="Arial"/>
              </w:rPr>
            </w:pPr>
          </w:p>
        </w:tc>
        <w:tc>
          <w:tcPr>
            <w:tcW w:w="1921" w:type="dxa"/>
            <w:tcBorders>
              <w:right w:val="single" w:color="000000" w:sz="4" w:space="0"/>
            </w:tcBorders>
          </w:tcPr>
          <w:p w14:paraId="439B801E">
            <w:pPr>
              <w:rPr>
                <w:rFonts w:hint="eastAsia" w:ascii="Arial"/>
              </w:rPr>
            </w:pPr>
          </w:p>
        </w:tc>
        <w:tc>
          <w:tcPr>
            <w:tcW w:w="2385" w:type="dxa"/>
            <w:tcBorders>
              <w:left w:val="single" w:color="000000" w:sz="4" w:space="0"/>
            </w:tcBorders>
          </w:tcPr>
          <w:p w14:paraId="0B68E461">
            <w:pPr>
              <w:rPr>
                <w:rFonts w:hint="eastAsia" w:ascii="Arial"/>
              </w:rPr>
            </w:pPr>
          </w:p>
        </w:tc>
        <w:tc>
          <w:tcPr>
            <w:tcW w:w="1717" w:type="dxa"/>
          </w:tcPr>
          <w:p w14:paraId="58A62FC3">
            <w:pPr>
              <w:spacing w:line="360" w:lineRule="auto"/>
              <w:jc w:val="center"/>
              <w:rPr>
                <w:rFonts w:hint="eastAsia" w:ascii="仿宋" w:hAnsi="仿宋" w:eastAsia="仿宋"/>
                <w:sz w:val="22"/>
              </w:rPr>
            </w:pPr>
          </w:p>
        </w:tc>
      </w:tr>
      <w:tr w14:paraId="43B56A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0C29370A">
            <w:pPr>
              <w:spacing w:before="109" w:line="186" w:lineRule="auto"/>
              <w:ind w:left="304"/>
              <w:rPr>
                <w:rFonts w:hint="eastAsia" w:ascii="宋体" w:hAnsi="宋体" w:eastAsia="宋体" w:cs="宋体"/>
                <w:szCs w:val="21"/>
              </w:rPr>
            </w:pPr>
          </w:p>
        </w:tc>
        <w:tc>
          <w:tcPr>
            <w:tcW w:w="2238" w:type="dxa"/>
            <w:gridSpan w:val="2"/>
            <w:shd w:val="clear" w:color="auto" w:fill="auto"/>
            <w:vAlign w:val="center"/>
          </w:tcPr>
          <w:p w14:paraId="79F3B640">
            <w:pPr>
              <w:spacing w:line="240" w:lineRule="auto"/>
              <w:jc w:val="center"/>
              <w:rPr>
                <w:rFonts w:hint="eastAsia" w:ascii="宋体" w:hAnsi="宋体" w:eastAsia="宋体"/>
                <w:bCs/>
                <w:sz w:val="22"/>
                <w:szCs w:val="22"/>
                <w:lang w:val="en-US" w:eastAsia="zh-CN"/>
              </w:rPr>
            </w:pPr>
          </w:p>
        </w:tc>
        <w:tc>
          <w:tcPr>
            <w:tcW w:w="2239" w:type="dxa"/>
            <w:vAlign w:val="center"/>
          </w:tcPr>
          <w:p w14:paraId="272E9869">
            <w:pPr>
              <w:spacing w:line="360" w:lineRule="auto"/>
              <w:jc w:val="center"/>
              <w:rPr>
                <w:rFonts w:hint="eastAsia" w:ascii="仿宋" w:hAnsi="仿宋" w:eastAsia="仿宋"/>
                <w:sz w:val="22"/>
              </w:rPr>
            </w:pPr>
          </w:p>
        </w:tc>
        <w:tc>
          <w:tcPr>
            <w:tcW w:w="1120" w:type="dxa"/>
            <w:vAlign w:val="center"/>
          </w:tcPr>
          <w:p w14:paraId="16F528C7">
            <w:pPr>
              <w:jc w:val="center"/>
              <w:textAlignment w:val="center"/>
              <w:rPr>
                <w:rFonts w:hint="eastAsia" w:ascii="宋体" w:hAnsi="宋体" w:eastAsia="宋体" w:cs="宋体"/>
                <w:sz w:val="24"/>
                <w:szCs w:val="24"/>
                <w:highlight w:val="yellow"/>
              </w:rPr>
            </w:pPr>
          </w:p>
        </w:tc>
        <w:tc>
          <w:tcPr>
            <w:tcW w:w="1120" w:type="dxa"/>
            <w:vAlign w:val="center"/>
          </w:tcPr>
          <w:p w14:paraId="661EA305">
            <w:pPr>
              <w:jc w:val="center"/>
              <w:rPr>
                <w:rFonts w:hint="eastAsia" w:ascii="宋体" w:hAnsi="宋体" w:eastAsia="宋体" w:cs="宋体"/>
                <w:sz w:val="24"/>
                <w:szCs w:val="24"/>
                <w:highlight w:val="yellow"/>
              </w:rPr>
            </w:pPr>
          </w:p>
        </w:tc>
        <w:tc>
          <w:tcPr>
            <w:tcW w:w="1682" w:type="dxa"/>
          </w:tcPr>
          <w:p w14:paraId="4B27178F">
            <w:pPr>
              <w:rPr>
                <w:rFonts w:hint="eastAsia" w:ascii="Arial"/>
              </w:rPr>
            </w:pPr>
          </w:p>
        </w:tc>
        <w:tc>
          <w:tcPr>
            <w:tcW w:w="1921" w:type="dxa"/>
            <w:tcBorders>
              <w:right w:val="single" w:color="000000" w:sz="4" w:space="0"/>
            </w:tcBorders>
          </w:tcPr>
          <w:p w14:paraId="2D56ACDD">
            <w:pPr>
              <w:rPr>
                <w:rFonts w:hint="eastAsia" w:ascii="Arial"/>
              </w:rPr>
            </w:pPr>
          </w:p>
        </w:tc>
        <w:tc>
          <w:tcPr>
            <w:tcW w:w="2385" w:type="dxa"/>
            <w:tcBorders>
              <w:left w:val="single" w:color="000000" w:sz="4" w:space="0"/>
            </w:tcBorders>
          </w:tcPr>
          <w:p w14:paraId="26BC9A77">
            <w:pPr>
              <w:rPr>
                <w:rFonts w:hint="eastAsia" w:ascii="Arial"/>
              </w:rPr>
            </w:pPr>
          </w:p>
        </w:tc>
        <w:tc>
          <w:tcPr>
            <w:tcW w:w="1717" w:type="dxa"/>
          </w:tcPr>
          <w:p w14:paraId="544082FF">
            <w:pPr>
              <w:spacing w:line="360" w:lineRule="auto"/>
              <w:jc w:val="center"/>
              <w:rPr>
                <w:rFonts w:hint="eastAsia" w:ascii="仿宋" w:hAnsi="仿宋" w:eastAsia="仿宋"/>
                <w:sz w:val="22"/>
              </w:rPr>
            </w:pPr>
          </w:p>
        </w:tc>
      </w:tr>
      <w:tr w14:paraId="1906F1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0B42E0CE">
            <w:pPr>
              <w:spacing w:before="79" w:line="284" w:lineRule="exact"/>
              <w:ind w:left="249"/>
              <w:rPr>
                <w:rFonts w:hint="eastAsia" w:ascii="宋体" w:hAnsi="宋体" w:eastAsia="宋体" w:cs="宋体"/>
                <w:szCs w:val="21"/>
              </w:rPr>
            </w:pPr>
            <w:r>
              <w:rPr>
                <w:rFonts w:ascii="宋体" w:hAnsi="宋体" w:eastAsia="宋体" w:cs="宋体"/>
                <w:position w:val="1"/>
                <w:szCs w:val="21"/>
              </w:rPr>
              <w:t>…</w:t>
            </w:r>
          </w:p>
        </w:tc>
        <w:tc>
          <w:tcPr>
            <w:tcW w:w="2238" w:type="dxa"/>
            <w:gridSpan w:val="2"/>
          </w:tcPr>
          <w:p w14:paraId="0503B890">
            <w:pPr>
              <w:rPr>
                <w:rFonts w:hint="eastAsia" w:ascii="Arial"/>
              </w:rPr>
            </w:pPr>
            <w:r>
              <w:rPr>
                <w:rFonts w:hint="eastAsia" w:ascii="宋体" w:hAnsi="宋体" w:eastAsia="宋体" w:cs="宋体"/>
              </w:rPr>
              <w:t>以上投标设备不足之处请往下添加序号自行补充</w:t>
            </w:r>
          </w:p>
        </w:tc>
        <w:tc>
          <w:tcPr>
            <w:tcW w:w="2239" w:type="dxa"/>
          </w:tcPr>
          <w:p w14:paraId="16428CC9">
            <w:pPr>
              <w:rPr>
                <w:rFonts w:hint="eastAsia" w:ascii="Arial"/>
              </w:rPr>
            </w:pPr>
          </w:p>
        </w:tc>
        <w:tc>
          <w:tcPr>
            <w:tcW w:w="1120" w:type="dxa"/>
          </w:tcPr>
          <w:p w14:paraId="29893327">
            <w:pPr>
              <w:rPr>
                <w:rFonts w:hint="eastAsia" w:ascii="Arial"/>
              </w:rPr>
            </w:pPr>
          </w:p>
        </w:tc>
        <w:tc>
          <w:tcPr>
            <w:tcW w:w="1120" w:type="dxa"/>
          </w:tcPr>
          <w:p w14:paraId="7712D75C">
            <w:pPr>
              <w:rPr>
                <w:rFonts w:hint="eastAsia" w:ascii="Arial"/>
              </w:rPr>
            </w:pPr>
          </w:p>
        </w:tc>
        <w:tc>
          <w:tcPr>
            <w:tcW w:w="1682" w:type="dxa"/>
          </w:tcPr>
          <w:p w14:paraId="489E745F">
            <w:pPr>
              <w:rPr>
                <w:rFonts w:hint="eastAsia" w:ascii="Arial"/>
              </w:rPr>
            </w:pPr>
          </w:p>
        </w:tc>
        <w:tc>
          <w:tcPr>
            <w:tcW w:w="1921" w:type="dxa"/>
            <w:tcBorders>
              <w:right w:val="single" w:color="000000" w:sz="4" w:space="0"/>
            </w:tcBorders>
          </w:tcPr>
          <w:p w14:paraId="762897E6">
            <w:pPr>
              <w:rPr>
                <w:rFonts w:hint="eastAsia" w:ascii="Arial"/>
              </w:rPr>
            </w:pPr>
          </w:p>
        </w:tc>
        <w:tc>
          <w:tcPr>
            <w:tcW w:w="2385" w:type="dxa"/>
            <w:tcBorders>
              <w:left w:val="single" w:color="000000" w:sz="4" w:space="0"/>
            </w:tcBorders>
          </w:tcPr>
          <w:p w14:paraId="3DF53A7C">
            <w:pPr>
              <w:rPr>
                <w:rFonts w:hint="eastAsia" w:ascii="Arial"/>
              </w:rPr>
            </w:pPr>
          </w:p>
        </w:tc>
        <w:tc>
          <w:tcPr>
            <w:tcW w:w="1717" w:type="dxa"/>
          </w:tcPr>
          <w:p w14:paraId="0569262B">
            <w:pPr>
              <w:rPr>
                <w:rFonts w:hint="eastAsia" w:ascii="Arial"/>
              </w:rPr>
            </w:pPr>
          </w:p>
        </w:tc>
      </w:tr>
      <w:tr w14:paraId="683E9D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120" w:type="dxa"/>
            <w:gridSpan w:val="2"/>
            <w:tcBorders>
              <w:right w:val="single" w:color="000000" w:sz="4" w:space="0"/>
            </w:tcBorders>
          </w:tcPr>
          <w:p w14:paraId="29A2C37C">
            <w:pPr>
              <w:jc w:val="center"/>
              <w:rPr>
                <w:rFonts w:hint="eastAsia" w:ascii="宋体" w:hAnsi="宋体" w:eastAsia="宋体" w:cs="宋体"/>
                <w:spacing w:val="-6"/>
                <w:szCs w:val="21"/>
              </w:rPr>
            </w:pPr>
          </w:p>
        </w:tc>
        <w:tc>
          <w:tcPr>
            <w:tcW w:w="9872" w:type="dxa"/>
            <w:gridSpan w:val="6"/>
            <w:tcBorders>
              <w:right w:val="single" w:color="000000" w:sz="4" w:space="0"/>
            </w:tcBorders>
          </w:tcPr>
          <w:p w14:paraId="264DD46C">
            <w:pPr>
              <w:jc w:val="center"/>
              <w:rPr>
                <w:rFonts w:hint="eastAsia"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2385" w:type="dxa"/>
            <w:tcBorders>
              <w:left w:val="single" w:color="000000" w:sz="4" w:space="0"/>
            </w:tcBorders>
          </w:tcPr>
          <w:p w14:paraId="1BDDE1C5">
            <w:pPr>
              <w:rPr>
                <w:rFonts w:hint="eastAsia" w:ascii="Arial"/>
              </w:rPr>
            </w:pPr>
          </w:p>
        </w:tc>
        <w:tc>
          <w:tcPr>
            <w:tcW w:w="1717" w:type="dxa"/>
          </w:tcPr>
          <w:p w14:paraId="5066956B">
            <w:pPr>
              <w:rPr>
                <w:rFonts w:hint="eastAsia" w:ascii="Arial"/>
              </w:rPr>
            </w:pPr>
          </w:p>
        </w:tc>
      </w:tr>
    </w:tbl>
    <w:p w14:paraId="558E9B01">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761F7662">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15B78D94">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2791C7C9">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00859C5F">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34B09AA7">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BD161EE">
      <w:pPr>
        <w:spacing w:line="105" w:lineRule="exact"/>
        <w:rPr>
          <w:rFonts w:hint="eastAsia"/>
        </w:rPr>
      </w:pPr>
    </w:p>
    <w:p w14:paraId="39C14348">
      <w:pPr>
        <w:rPr>
          <w:rFonts w:hint="eastAsia"/>
        </w:rPr>
        <w:sectPr>
          <w:footerReference r:id="rId31" w:type="default"/>
          <w:pgSz w:w="16841" w:h="11907" w:orient="landscape"/>
          <w:pgMar w:top="400" w:right="1387" w:bottom="1168" w:left="1473" w:header="0" w:footer="990" w:gutter="0"/>
          <w:cols w:equalWidth="0" w:num="1">
            <w:col w:w="13980"/>
          </w:cols>
        </w:sectPr>
      </w:pPr>
    </w:p>
    <w:p w14:paraId="576D9185">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14:paraId="6704D798">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14:paraId="0AE41999">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60AB061C">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32F8481D">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1D82956E">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2A55A1E1">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30D3AD4">
      <w:pPr>
        <w:spacing w:line="172" w:lineRule="exact"/>
        <w:rPr>
          <w:rFonts w:hint="eastAsia"/>
        </w:rPr>
      </w:pPr>
    </w:p>
    <w:tbl>
      <w:tblPr>
        <w:tblStyle w:val="131"/>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114B44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519A381F">
            <w:pPr>
              <w:spacing w:line="296" w:lineRule="auto"/>
              <w:rPr>
                <w:rFonts w:hint="eastAsia" w:ascii="Arial"/>
              </w:rPr>
            </w:pPr>
          </w:p>
          <w:p w14:paraId="2854D3DD">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7E8CA44C">
            <w:pPr>
              <w:spacing w:line="295" w:lineRule="auto"/>
              <w:rPr>
                <w:rFonts w:hint="eastAsia" w:ascii="Arial"/>
              </w:rPr>
            </w:pPr>
          </w:p>
          <w:p w14:paraId="39C17073">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3EFDBF58">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6F05A392">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3AE9C471">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0850F66F">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4A09A2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11A5C208">
            <w:pPr>
              <w:rPr>
                <w:rFonts w:hint="eastAsia" w:ascii="Arial"/>
              </w:rPr>
            </w:pPr>
          </w:p>
        </w:tc>
        <w:tc>
          <w:tcPr>
            <w:tcW w:w="3530" w:type="dxa"/>
            <w:vMerge w:val="continue"/>
            <w:tcBorders>
              <w:top w:val="nil"/>
            </w:tcBorders>
          </w:tcPr>
          <w:p w14:paraId="2EE80375">
            <w:pPr>
              <w:rPr>
                <w:rFonts w:hint="eastAsia" w:ascii="Arial"/>
              </w:rPr>
            </w:pPr>
          </w:p>
        </w:tc>
        <w:tc>
          <w:tcPr>
            <w:tcW w:w="2159" w:type="dxa"/>
          </w:tcPr>
          <w:p w14:paraId="13423B32">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14:paraId="5C4FCA06">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14:paraId="0AF8388A">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3794BA04">
            <w:pPr>
              <w:spacing w:before="161" w:line="185" w:lineRule="auto"/>
              <w:ind w:left="1031"/>
              <w:rPr>
                <w:rFonts w:hint="eastAsia" w:ascii="宋体" w:hAnsi="宋体" w:eastAsia="宋体" w:cs="宋体"/>
                <w:szCs w:val="21"/>
              </w:rPr>
            </w:pPr>
            <w:r>
              <w:rPr>
                <w:rFonts w:ascii="宋体" w:hAnsi="宋体" w:eastAsia="宋体" w:cs="宋体"/>
                <w:szCs w:val="21"/>
              </w:rPr>
              <w:t>4</w:t>
            </w:r>
          </w:p>
        </w:tc>
      </w:tr>
      <w:tr w14:paraId="4448A6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66FCAD2">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14:paraId="7568D577">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428B2E73">
            <w:pPr>
              <w:rPr>
                <w:rFonts w:hint="eastAsia" w:ascii="Arial"/>
              </w:rPr>
            </w:pPr>
          </w:p>
        </w:tc>
        <w:tc>
          <w:tcPr>
            <w:tcW w:w="2186" w:type="dxa"/>
          </w:tcPr>
          <w:p w14:paraId="0E7579E8">
            <w:pPr>
              <w:rPr>
                <w:rFonts w:hint="eastAsia" w:ascii="Arial"/>
              </w:rPr>
            </w:pPr>
          </w:p>
        </w:tc>
        <w:tc>
          <w:tcPr>
            <w:tcW w:w="2596" w:type="dxa"/>
          </w:tcPr>
          <w:p w14:paraId="0F582943">
            <w:pPr>
              <w:rPr>
                <w:rFonts w:hint="eastAsia" w:ascii="Arial"/>
              </w:rPr>
            </w:pPr>
          </w:p>
        </w:tc>
        <w:tc>
          <w:tcPr>
            <w:tcW w:w="2164" w:type="dxa"/>
          </w:tcPr>
          <w:p w14:paraId="44B88D3B">
            <w:pPr>
              <w:rPr>
                <w:rFonts w:hint="eastAsia" w:ascii="Arial"/>
              </w:rPr>
            </w:pPr>
          </w:p>
        </w:tc>
      </w:tr>
      <w:tr w14:paraId="478FE1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07ADBA5">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14:paraId="5C41AC83">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567B2F8D">
            <w:pPr>
              <w:rPr>
                <w:rFonts w:hint="eastAsia" w:ascii="Arial"/>
              </w:rPr>
            </w:pPr>
          </w:p>
        </w:tc>
        <w:tc>
          <w:tcPr>
            <w:tcW w:w="2186" w:type="dxa"/>
          </w:tcPr>
          <w:p w14:paraId="299D2A89">
            <w:pPr>
              <w:rPr>
                <w:rFonts w:hint="eastAsia" w:ascii="Arial"/>
              </w:rPr>
            </w:pPr>
          </w:p>
        </w:tc>
        <w:tc>
          <w:tcPr>
            <w:tcW w:w="2596" w:type="dxa"/>
          </w:tcPr>
          <w:p w14:paraId="046D9991">
            <w:pPr>
              <w:rPr>
                <w:rFonts w:hint="eastAsia" w:ascii="Arial"/>
              </w:rPr>
            </w:pPr>
          </w:p>
        </w:tc>
        <w:tc>
          <w:tcPr>
            <w:tcW w:w="2164" w:type="dxa"/>
            <w:vMerge w:val="restart"/>
            <w:tcBorders>
              <w:bottom w:val="nil"/>
            </w:tcBorders>
          </w:tcPr>
          <w:p w14:paraId="32FF0779">
            <w:pPr>
              <w:spacing w:line="295" w:lineRule="auto"/>
              <w:rPr>
                <w:rFonts w:hint="eastAsia" w:ascii="Arial"/>
              </w:rPr>
            </w:pPr>
          </w:p>
          <w:p w14:paraId="19BBCD31">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644424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22792B21">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14:paraId="6ABA7768">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14:paraId="250BF4FE">
            <w:pPr>
              <w:rPr>
                <w:rFonts w:hint="eastAsia" w:ascii="Arial"/>
              </w:rPr>
            </w:pPr>
          </w:p>
        </w:tc>
        <w:tc>
          <w:tcPr>
            <w:tcW w:w="2186" w:type="dxa"/>
          </w:tcPr>
          <w:p w14:paraId="10EC48C1">
            <w:pPr>
              <w:rPr>
                <w:rFonts w:hint="eastAsia" w:ascii="Arial"/>
              </w:rPr>
            </w:pPr>
          </w:p>
        </w:tc>
        <w:tc>
          <w:tcPr>
            <w:tcW w:w="2596" w:type="dxa"/>
          </w:tcPr>
          <w:p w14:paraId="639C7C7E">
            <w:pPr>
              <w:rPr>
                <w:rFonts w:hint="eastAsia" w:ascii="Arial"/>
              </w:rPr>
            </w:pPr>
          </w:p>
        </w:tc>
        <w:tc>
          <w:tcPr>
            <w:tcW w:w="2164" w:type="dxa"/>
            <w:vMerge w:val="continue"/>
            <w:tcBorders>
              <w:top w:val="nil"/>
            </w:tcBorders>
          </w:tcPr>
          <w:p w14:paraId="7FF5E796">
            <w:pPr>
              <w:rPr>
                <w:rFonts w:hint="eastAsia" w:ascii="Arial"/>
              </w:rPr>
            </w:pPr>
          </w:p>
        </w:tc>
      </w:tr>
      <w:tr w14:paraId="7F4A14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EA62812">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14:paraId="2DEC566A">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38D02654">
            <w:pPr>
              <w:rPr>
                <w:rFonts w:hint="eastAsia" w:ascii="Arial"/>
              </w:rPr>
            </w:pPr>
          </w:p>
        </w:tc>
        <w:tc>
          <w:tcPr>
            <w:tcW w:w="2186" w:type="dxa"/>
          </w:tcPr>
          <w:p w14:paraId="7D6D71DA">
            <w:pPr>
              <w:rPr>
                <w:rFonts w:hint="eastAsia" w:ascii="Arial"/>
              </w:rPr>
            </w:pPr>
          </w:p>
        </w:tc>
        <w:tc>
          <w:tcPr>
            <w:tcW w:w="2596" w:type="dxa"/>
          </w:tcPr>
          <w:p w14:paraId="6BCAE6E8">
            <w:pPr>
              <w:rPr>
                <w:rFonts w:hint="eastAsia" w:ascii="Arial"/>
              </w:rPr>
            </w:pPr>
          </w:p>
        </w:tc>
        <w:tc>
          <w:tcPr>
            <w:tcW w:w="2164" w:type="dxa"/>
          </w:tcPr>
          <w:p w14:paraId="3DB1A6B8">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13945D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C9A2FE1">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14:paraId="3FFF7DE0">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14:paraId="5F2D8743">
            <w:pPr>
              <w:rPr>
                <w:rFonts w:hint="eastAsia" w:ascii="Arial"/>
              </w:rPr>
            </w:pPr>
          </w:p>
        </w:tc>
        <w:tc>
          <w:tcPr>
            <w:tcW w:w="2186" w:type="dxa"/>
          </w:tcPr>
          <w:p w14:paraId="5CDFE041">
            <w:pPr>
              <w:rPr>
                <w:rFonts w:hint="eastAsia" w:ascii="Arial"/>
              </w:rPr>
            </w:pPr>
          </w:p>
        </w:tc>
        <w:tc>
          <w:tcPr>
            <w:tcW w:w="2596" w:type="dxa"/>
          </w:tcPr>
          <w:p w14:paraId="51036D53">
            <w:pPr>
              <w:rPr>
                <w:rFonts w:hint="eastAsia" w:ascii="Arial"/>
              </w:rPr>
            </w:pPr>
          </w:p>
        </w:tc>
        <w:tc>
          <w:tcPr>
            <w:tcW w:w="2164" w:type="dxa"/>
          </w:tcPr>
          <w:p w14:paraId="12D92F69">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2ACC61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17E33556">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67BD5304">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7DF096D4">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3FA06C44">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582482EB">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0CE8FABB">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0AB071F1">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6FE45850">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4F8D6C2C">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5CA4C028">
      <w:pPr>
        <w:rPr>
          <w:rFonts w:hint="eastAsia"/>
          <w:sz w:val="24"/>
          <w:szCs w:val="24"/>
        </w:rPr>
        <w:sectPr>
          <w:footerReference r:id="rId32" w:type="default"/>
          <w:pgSz w:w="16841" w:h="11907"/>
          <w:pgMar w:top="400" w:right="1699" w:bottom="1184" w:left="1481" w:header="0" w:footer="1022" w:gutter="0"/>
          <w:cols w:space="720" w:num="1"/>
        </w:sectPr>
      </w:pPr>
    </w:p>
    <w:p w14:paraId="5F0E0D1D">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77BDB314">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163403E1">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5D5F925D">
      <w:pPr>
        <w:rPr>
          <w:rFonts w:hint="eastAsia"/>
        </w:rPr>
      </w:pPr>
    </w:p>
    <w:p w14:paraId="3B965819">
      <w:pPr>
        <w:spacing w:line="20" w:lineRule="exact"/>
        <w:rPr>
          <w:rFonts w:hint="eastAsia"/>
        </w:rPr>
      </w:pPr>
    </w:p>
    <w:tbl>
      <w:tblPr>
        <w:tblStyle w:val="131"/>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0B6F9F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151DA83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11E98E8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2CDBCB2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552987B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2228574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703F3B0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663A9C8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55389D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7BEA64D0">
            <w:pPr>
              <w:spacing w:before="300" w:line="186" w:lineRule="auto"/>
              <w:jc w:val="center"/>
              <w:rPr>
                <w:rFonts w:hint="eastAsia" w:ascii="宋体" w:hAnsi="宋体" w:eastAsia="宋体" w:cs="宋体"/>
                <w:szCs w:val="21"/>
              </w:rPr>
            </w:pPr>
            <w:r>
              <w:rPr>
                <w:rFonts w:ascii="宋体" w:hAnsi="宋体" w:eastAsia="宋体" w:cs="宋体"/>
                <w:szCs w:val="21"/>
              </w:rPr>
              <w:t>1</w:t>
            </w:r>
          </w:p>
        </w:tc>
        <w:tc>
          <w:tcPr>
            <w:tcW w:w="3625" w:type="dxa"/>
          </w:tcPr>
          <w:p w14:paraId="2BE0F09A">
            <w:pPr>
              <w:spacing w:before="266" w:line="221" w:lineRule="auto"/>
              <w:jc w:val="center"/>
              <w:rPr>
                <w:rFonts w:hint="eastAsia" w:ascii="宋体" w:hAnsi="宋体" w:eastAsia="宋体" w:cs="宋体"/>
                <w:szCs w:val="21"/>
              </w:rPr>
            </w:pPr>
            <w:r>
              <w:rPr>
                <w:rFonts w:hint="eastAsia" w:ascii="宋体" w:hAnsi="宋体" w:eastAsia="宋体" w:cs="宋体"/>
                <w:spacing w:val="-1"/>
                <w:szCs w:val="21"/>
                <w:highlight w:val="yellow"/>
              </w:rPr>
              <w:t>现场安装调试费</w:t>
            </w:r>
          </w:p>
        </w:tc>
        <w:tc>
          <w:tcPr>
            <w:tcW w:w="1126" w:type="dxa"/>
          </w:tcPr>
          <w:p w14:paraId="2FE60402">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39898A8B">
            <w:pPr>
              <w:spacing w:before="266" w:line="221" w:lineRule="auto"/>
              <w:jc w:val="center"/>
              <w:rPr>
                <w:rFonts w:hint="eastAsia" w:ascii="宋体" w:hAnsi="宋体" w:eastAsia="宋体" w:cs="宋体"/>
                <w:spacing w:val="-2"/>
                <w:szCs w:val="21"/>
              </w:rPr>
            </w:pPr>
          </w:p>
        </w:tc>
        <w:tc>
          <w:tcPr>
            <w:tcW w:w="1138" w:type="dxa"/>
          </w:tcPr>
          <w:p w14:paraId="0EB7C718">
            <w:pPr>
              <w:spacing w:before="266" w:line="221" w:lineRule="auto"/>
              <w:jc w:val="center"/>
              <w:rPr>
                <w:rFonts w:hint="eastAsia" w:ascii="宋体" w:hAnsi="宋体" w:eastAsia="宋体" w:cs="宋体"/>
                <w:spacing w:val="-2"/>
                <w:szCs w:val="21"/>
              </w:rPr>
            </w:pPr>
          </w:p>
        </w:tc>
        <w:tc>
          <w:tcPr>
            <w:tcW w:w="2449" w:type="dxa"/>
          </w:tcPr>
          <w:p w14:paraId="56B2BF62">
            <w:pPr>
              <w:rPr>
                <w:rFonts w:hint="eastAsia" w:ascii="Arial"/>
              </w:rPr>
            </w:pPr>
          </w:p>
        </w:tc>
        <w:tc>
          <w:tcPr>
            <w:tcW w:w="3328" w:type="dxa"/>
          </w:tcPr>
          <w:p w14:paraId="5CE932A7">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1E0B45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025B09BC">
            <w:pPr>
              <w:spacing w:before="302" w:line="185" w:lineRule="auto"/>
              <w:jc w:val="center"/>
              <w:rPr>
                <w:rFonts w:hint="eastAsia" w:ascii="宋体" w:hAnsi="宋体" w:eastAsia="宋体" w:cs="宋体"/>
                <w:szCs w:val="21"/>
              </w:rPr>
            </w:pPr>
            <w:r>
              <w:rPr>
                <w:rFonts w:ascii="宋体" w:hAnsi="宋体" w:eastAsia="宋体" w:cs="宋体"/>
                <w:szCs w:val="21"/>
              </w:rPr>
              <w:t>2</w:t>
            </w:r>
          </w:p>
        </w:tc>
        <w:tc>
          <w:tcPr>
            <w:tcW w:w="3625" w:type="dxa"/>
          </w:tcPr>
          <w:p w14:paraId="370A6C4C">
            <w:pPr>
              <w:spacing w:before="266" w:line="221" w:lineRule="auto"/>
              <w:jc w:val="center"/>
              <w:rPr>
                <w:rFonts w:hint="eastAsia" w:ascii="宋体" w:hAnsi="宋体" w:eastAsia="宋体" w:cs="宋体"/>
                <w:szCs w:val="21"/>
              </w:rPr>
            </w:pPr>
            <w:r>
              <w:rPr>
                <w:rFonts w:hint="eastAsia" w:ascii="宋体" w:hAnsi="宋体" w:eastAsia="宋体" w:cs="宋体"/>
                <w:szCs w:val="21"/>
                <w:highlight w:val="yellow"/>
              </w:rPr>
              <w:t>技术培训费</w:t>
            </w:r>
          </w:p>
        </w:tc>
        <w:tc>
          <w:tcPr>
            <w:tcW w:w="1126" w:type="dxa"/>
          </w:tcPr>
          <w:p w14:paraId="1596E988">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0FCD4903">
            <w:pPr>
              <w:spacing w:before="266" w:line="221" w:lineRule="auto"/>
              <w:jc w:val="center"/>
              <w:rPr>
                <w:rFonts w:hint="eastAsia" w:ascii="宋体" w:hAnsi="宋体" w:eastAsia="宋体" w:cs="宋体"/>
                <w:spacing w:val="-2"/>
                <w:szCs w:val="21"/>
              </w:rPr>
            </w:pPr>
          </w:p>
        </w:tc>
        <w:tc>
          <w:tcPr>
            <w:tcW w:w="1138" w:type="dxa"/>
          </w:tcPr>
          <w:p w14:paraId="0EF74BFD">
            <w:pPr>
              <w:spacing w:before="266" w:line="221" w:lineRule="auto"/>
              <w:jc w:val="center"/>
              <w:rPr>
                <w:rFonts w:hint="eastAsia" w:ascii="宋体" w:hAnsi="宋体" w:eastAsia="宋体" w:cs="宋体"/>
                <w:spacing w:val="-2"/>
                <w:szCs w:val="21"/>
              </w:rPr>
            </w:pPr>
          </w:p>
        </w:tc>
        <w:tc>
          <w:tcPr>
            <w:tcW w:w="2449" w:type="dxa"/>
          </w:tcPr>
          <w:p w14:paraId="6CB58B6D">
            <w:pPr>
              <w:rPr>
                <w:rFonts w:hint="eastAsia" w:ascii="Arial"/>
              </w:rPr>
            </w:pPr>
          </w:p>
        </w:tc>
        <w:tc>
          <w:tcPr>
            <w:tcW w:w="3328" w:type="dxa"/>
          </w:tcPr>
          <w:p w14:paraId="638A780D">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7324BB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2FEC9126">
            <w:pPr>
              <w:spacing w:before="306" w:line="182" w:lineRule="auto"/>
              <w:jc w:val="center"/>
              <w:rPr>
                <w:rFonts w:hint="eastAsia" w:ascii="宋体" w:hAnsi="宋体" w:eastAsia="宋体" w:cs="宋体"/>
                <w:szCs w:val="21"/>
              </w:rPr>
            </w:pPr>
            <w:r>
              <w:rPr>
                <w:rFonts w:hint="eastAsia" w:ascii="宋体" w:hAnsi="宋体" w:eastAsia="宋体" w:cs="宋体"/>
                <w:szCs w:val="21"/>
              </w:rPr>
              <w:t>3</w:t>
            </w:r>
          </w:p>
        </w:tc>
        <w:tc>
          <w:tcPr>
            <w:tcW w:w="3625" w:type="dxa"/>
            <w:vAlign w:val="center"/>
          </w:tcPr>
          <w:p w14:paraId="4A02C5C7">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719B36E4">
            <w:pPr>
              <w:spacing w:before="266" w:line="221" w:lineRule="auto"/>
              <w:jc w:val="center"/>
              <w:rPr>
                <w:rFonts w:hint="eastAsia" w:ascii="宋体" w:hAnsi="宋体" w:eastAsia="宋体" w:cs="宋体"/>
                <w:spacing w:val="-2"/>
                <w:szCs w:val="21"/>
              </w:rPr>
            </w:pPr>
          </w:p>
        </w:tc>
        <w:tc>
          <w:tcPr>
            <w:tcW w:w="1138" w:type="dxa"/>
          </w:tcPr>
          <w:p w14:paraId="33D305B7">
            <w:pPr>
              <w:spacing w:before="266" w:line="221" w:lineRule="auto"/>
              <w:jc w:val="center"/>
              <w:rPr>
                <w:rFonts w:hint="eastAsia" w:ascii="宋体" w:hAnsi="宋体" w:eastAsia="宋体" w:cs="宋体"/>
                <w:spacing w:val="-2"/>
                <w:szCs w:val="21"/>
              </w:rPr>
            </w:pPr>
          </w:p>
        </w:tc>
        <w:tc>
          <w:tcPr>
            <w:tcW w:w="1138" w:type="dxa"/>
          </w:tcPr>
          <w:p w14:paraId="4D9FEF7C">
            <w:pPr>
              <w:spacing w:before="266" w:line="221" w:lineRule="auto"/>
              <w:jc w:val="center"/>
              <w:rPr>
                <w:rFonts w:hint="eastAsia" w:ascii="宋体" w:hAnsi="宋体" w:eastAsia="宋体" w:cs="宋体"/>
                <w:spacing w:val="-2"/>
                <w:szCs w:val="21"/>
              </w:rPr>
            </w:pPr>
          </w:p>
        </w:tc>
        <w:tc>
          <w:tcPr>
            <w:tcW w:w="2449" w:type="dxa"/>
          </w:tcPr>
          <w:p w14:paraId="0363BC02">
            <w:pPr>
              <w:rPr>
                <w:rFonts w:hint="eastAsia" w:ascii="Arial"/>
              </w:rPr>
            </w:pPr>
          </w:p>
        </w:tc>
        <w:tc>
          <w:tcPr>
            <w:tcW w:w="3328" w:type="dxa"/>
          </w:tcPr>
          <w:p w14:paraId="24D0130C">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0C0B44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6639B2DD">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2F61FF30">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52CE4221">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18892C70">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6D9B784A">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38B7691B">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6D9AE50E">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0FF1DBED">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4128D707">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3AD22CD7">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1539A24">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6F973974">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5FF44F94">
      <w:pPr>
        <w:rPr>
          <w:rFonts w:hint="eastAsia"/>
        </w:rPr>
      </w:pPr>
    </w:p>
    <w:p w14:paraId="459981A6">
      <w:pPr>
        <w:pStyle w:val="18"/>
      </w:pPr>
    </w:p>
    <w:p w14:paraId="36781FD2">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718A5E79">
      <w:pPr>
        <w:spacing w:before="35" w:line="239" w:lineRule="auto"/>
        <w:ind w:left="724"/>
        <w:rPr>
          <w:rFonts w:hint="eastAsia" w:ascii="宋体" w:hAnsi="宋体" w:eastAsia="宋体" w:cs="宋体"/>
          <w:spacing w:val="-1"/>
          <w:sz w:val="24"/>
          <w:szCs w:val="24"/>
        </w:rPr>
        <w:sectPr>
          <w:footerReference r:id="rId33" w:type="default"/>
          <w:pgSz w:w="16841" w:h="11907"/>
          <w:pgMar w:top="400" w:right="1699" w:bottom="1184" w:left="1481" w:header="0" w:footer="1022" w:gutter="0"/>
          <w:cols w:space="720" w:num="1"/>
        </w:sectPr>
      </w:pPr>
    </w:p>
    <w:p w14:paraId="5C14AFF0">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7A360AF9">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61C2FCEA">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615AB960">
      <w:pPr>
        <w:spacing w:line="172" w:lineRule="exact"/>
        <w:rPr>
          <w:rFonts w:hint="eastAsia"/>
        </w:rPr>
      </w:pPr>
    </w:p>
    <w:tbl>
      <w:tblPr>
        <w:tblStyle w:val="131"/>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4E2629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62D7CC73">
            <w:pPr>
              <w:spacing w:before="100" w:line="186" w:lineRule="auto"/>
              <w:ind w:left="223"/>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20CFD892">
            <w:pPr>
              <w:spacing w:before="101" w:line="185" w:lineRule="auto"/>
              <w:ind w:left="122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423BBD81">
            <w:pPr>
              <w:spacing w:before="102" w:line="183" w:lineRule="auto"/>
              <w:ind w:left="100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701ECCA1">
            <w:pPr>
              <w:spacing w:before="101" w:line="185" w:lineRule="auto"/>
              <w:ind w:left="3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5F5D9B34">
            <w:pPr>
              <w:spacing w:before="103" w:line="182"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5110F10D">
            <w:pPr>
              <w:spacing w:before="102" w:line="183" w:lineRule="auto"/>
              <w:ind w:left="58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5F40E305">
            <w:pPr>
              <w:spacing w:before="103" w:line="182" w:lineRule="auto"/>
              <w:ind w:left="101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4D0EBD43">
            <w:pPr>
              <w:spacing w:before="102" w:line="183" w:lineRule="auto"/>
              <w:ind w:left="516"/>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5CCBB3B5">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6F2DFA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79F204C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2BF3CD8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0C40B4B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4203C36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7C67A59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3907369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5F25D8E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0E2231F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7B2C8D9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14:paraId="36A8BB8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6D09AD4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39CA81D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09F7812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3B1852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52C4D675">
            <w:pPr>
              <w:spacing w:before="237" w:line="186" w:lineRule="auto"/>
              <w:ind w:left="223"/>
              <w:rPr>
                <w:rFonts w:hint="eastAsia" w:ascii="宋体" w:hAnsi="宋体" w:eastAsia="宋体" w:cs="宋体"/>
                <w:szCs w:val="21"/>
              </w:rPr>
            </w:pPr>
            <w:r>
              <w:rPr>
                <w:rFonts w:ascii="宋体" w:hAnsi="宋体" w:eastAsia="宋体" w:cs="宋体"/>
                <w:szCs w:val="21"/>
              </w:rPr>
              <w:t>1</w:t>
            </w:r>
          </w:p>
        </w:tc>
        <w:tc>
          <w:tcPr>
            <w:tcW w:w="2543" w:type="dxa"/>
          </w:tcPr>
          <w:p w14:paraId="52E14511">
            <w:pPr>
              <w:rPr>
                <w:rFonts w:hint="eastAsia" w:ascii="Arial"/>
              </w:rPr>
            </w:pPr>
          </w:p>
        </w:tc>
        <w:tc>
          <w:tcPr>
            <w:tcW w:w="2100" w:type="dxa"/>
          </w:tcPr>
          <w:p w14:paraId="21B838C2">
            <w:pPr>
              <w:rPr>
                <w:rFonts w:hint="eastAsia" w:ascii="Arial"/>
              </w:rPr>
            </w:pPr>
          </w:p>
        </w:tc>
        <w:tc>
          <w:tcPr>
            <w:tcW w:w="840" w:type="dxa"/>
          </w:tcPr>
          <w:p w14:paraId="5B5D5D71">
            <w:pPr>
              <w:rPr>
                <w:rFonts w:hint="eastAsia" w:ascii="Arial"/>
              </w:rPr>
            </w:pPr>
          </w:p>
        </w:tc>
        <w:tc>
          <w:tcPr>
            <w:tcW w:w="2239" w:type="dxa"/>
          </w:tcPr>
          <w:p w14:paraId="029D6D3F">
            <w:pPr>
              <w:rPr>
                <w:rFonts w:hint="eastAsia" w:ascii="Arial"/>
              </w:rPr>
            </w:pPr>
          </w:p>
        </w:tc>
        <w:tc>
          <w:tcPr>
            <w:tcW w:w="1498" w:type="dxa"/>
          </w:tcPr>
          <w:p w14:paraId="3FDA6A5D">
            <w:pPr>
              <w:rPr>
                <w:rFonts w:hint="eastAsia" w:ascii="Arial"/>
              </w:rPr>
            </w:pPr>
          </w:p>
        </w:tc>
        <w:tc>
          <w:tcPr>
            <w:tcW w:w="1861" w:type="dxa"/>
          </w:tcPr>
          <w:p w14:paraId="77DC0265">
            <w:pPr>
              <w:rPr>
                <w:rFonts w:hint="eastAsia" w:ascii="Arial"/>
              </w:rPr>
            </w:pPr>
          </w:p>
        </w:tc>
        <w:tc>
          <w:tcPr>
            <w:tcW w:w="1120" w:type="dxa"/>
          </w:tcPr>
          <w:p w14:paraId="7F0C0B2D">
            <w:pPr>
              <w:rPr>
                <w:rFonts w:hint="eastAsia" w:ascii="Arial"/>
              </w:rPr>
            </w:pPr>
          </w:p>
        </w:tc>
        <w:tc>
          <w:tcPr>
            <w:tcW w:w="1125" w:type="dxa"/>
          </w:tcPr>
          <w:p w14:paraId="191433DD">
            <w:pPr>
              <w:rPr>
                <w:rFonts w:hint="eastAsia" w:ascii="Arial"/>
              </w:rPr>
            </w:pPr>
          </w:p>
        </w:tc>
      </w:tr>
      <w:tr w14:paraId="728699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078937EF">
            <w:pPr>
              <w:spacing w:before="239" w:line="185" w:lineRule="auto"/>
              <w:ind w:left="210"/>
              <w:rPr>
                <w:rFonts w:hint="eastAsia" w:ascii="宋体" w:hAnsi="宋体" w:eastAsia="宋体" w:cs="宋体"/>
                <w:szCs w:val="21"/>
              </w:rPr>
            </w:pPr>
            <w:r>
              <w:rPr>
                <w:rFonts w:ascii="宋体" w:hAnsi="宋体" w:eastAsia="宋体" w:cs="宋体"/>
                <w:szCs w:val="21"/>
              </w:rPr>
              <w:t>2</w:t>
            </w:r>
          </w:p>
        </w:tc>
        <w:tc>
          <w:tcPr>
            <w:tcW w:w="2543" w:type="dxa"/>
          </w:tcPr>
          <w:p w14:paraId="7B969B89">
            <w:pPr>
              <w:rPr>
                <w:rFonts w:hint="eastAsia" w:ascii="Arial"/>
              </w:rPr>
            </w:pPr>
          </w:p>
        </w:tc>
        <w:tc>
          <w:tcPr>
            <w:tcW w:w="2100" w:type="dxa"/>
          </w:tcPr>
          <w:p w14:paraId="6EDCF8D8">
            <w:pPr>
              <w:rPr>
                <w:rFonts w:hint="eastAsia" w:ascii="Arial"/>
              </w:rPr>
            </w:pPr>
          </w:p>
        </w:tc>
        <w:tc>
          <w:tcPr>
            <w:tcW w:w="840" w:type="dxa"/>
          </w:tcPr>
          <w:p w14:paraId="045F1892">
            <w:pPr>
              <w:rPr>
                <w:rFonts w:hint="eastAsia" w:ascii="Arial"/>
              </w:rPr>
            </w:pPr>
          </w:p>
        </w:tc>
        <w:tc>
          <w:tcPr>
            <w:tcW w:w="2239" w:type="dxa"/>
          </w:tcPr>
          <w:p w14:paraId="0AC5FBAD">
            <w:pPr>
              <w:rPr>
                <w:rFonts w:hint="eastAsia" w:ascii="Arial"/>
              </w:rPr>
            </w:pPr>
          </w:p>
        </w:tc>
        <w:tc>
          <w:tcPr>
            <w:tcW w:w="1498" w:type="dxa"/>
          </w:tcPr>
          <w:p w14:paraId="16ED6273">
            <w:pPr>
              <w:rPr>
                <w:rFonts w:hint="eastAsia" w:ascii="Arial"/>
              </w:rPr>
            </w:pPr>
          </w:p>
        </w:tc>
        <w:tc>
          <w:tcPr>
            <w:tcW w:w="1861" w:type="dxa"/>
          </w:tcPr>
          <w:p w14:paraId="45EA580C">
            <w:pPr>
              <w:rPr>
                <w:rFonts w:hint="eastAsia" w:ascii="Arial"/>
              </w:rPr>
            </w:pPr>
          </w:p>
        </w:tc>
        <w:tc>
          <w:tcPr>
            <w:tcW w:w="1120" w:type="dxa"/>
          </w:tcPr>
          <w:p w14:paraId="37F067A1">
            <w:pPr>
              <w:rPr>
                <w:rFonts w:hint="eastAsia" w:ascii="Arial"/>
              </w:rPr>
            </w:pPr>
          </w:p>
        </w:tc>
        <w:tc>
          <w:tcPr>
            <w:tcW w:w="1125" w:type="dxa"/>
          </w:tcPr>
          <w:p w14:paraId="5DCBA71D">
            <w:pPr>
              <w:rPr>
                <w:rFonts w:hint="eastAsia" w:ascii="Arial"/>
              </w:rPr>
            </w:pPr>
          </w:p>
        </w:tc>
      </w:tr>
      <w:tr w14:paraId="7F7817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6A07BA48">
            <w:pPr>
              <w:rPr>
                <w:rFonts w:hint="eastAsia" w:ascii="Arial"/>
              </w:rPr>
            </w:pPr>
          </w:p>
        </w:tc>
        <w:tc>
          <w:tcPr>
            <w:tcW w:w="2543" w:type="dxa"/>
          </w:tcPr>
          <w:p w14:paraId="446FC27B">
            <w:pPr>
              <w:rPr>
                <w:rFonts w:hint="eastAsia" w:ascii="Arial"/>
              </w:rPr>
            </w:pPr>
          </w:p>
        </w:tc>
        <w:tc>
          <w:tcPr>
            <w:tcW w:w="2100" w:type="dxa"/>
          </w:tcPr>
          <w:p w14:paraId="4B09A24E">
            <w:pPr>
              <w:rPr>
                <w:rFonts w:hint="eastAsia" w:ascii="Arial"/>
              </w:rPr>
            </w:pPr>
          </w:p>
        </w:tc>
        <w:tc>
          <w:tcPr>
            <w:tcW w:w="840" w:type="dxa"/>
          </w:tcPr>
          <w:p w14:paraId="6CF428C8">
            <w:pPr>
              <w:rPr>
                <w:rFonts w:hint="eastAsia" w:ascii="Arial"/>
              </w:rPr>
            </w:pPr>
          </w:p>
        </w:tc>
        <w:tc>
          <w:tcPr>
            <w:tcW w:w="2239" w:type="dxa"/>
          </w:tcPr>
          <w:p w14:paraId="37D7951D">
            <w:pPr>
              <w:rPr>
                <w:rFonts w:hint="eastAsia" w:ascii="Arial"/>
              </w:rPr>
            </w:pPr>
          </w:p>
        </w:tc>
        <w:tc>
          <w:tcPr>
            <w:tcW w:w="1498" w:type="dxa"/>
          </w:tcPr>
          <w:p w14:paraId="13D1214B">
            <w:pPr>
              <w:rPr>
                <w:rFonts w:hint="eastAsia" w:ascii="Arial"/>
              </w:rPr>
            </w:pPr>
          </w:p>
        </w:tc>
        <w:tc>
          <w:tcPr>
            <w:tcW w:w="1861" w:type="dxa"/>
          </w:tcPr>
          <w:p w14:paraId="7B1E90CC">
            <w:pPr>
              <w:rPr>
                <w:rFonts w:hint="eastAsia" w:ascii="Arial"/>
              </w:rPr>
            </w:pPr>
          </w:p>
        </w:tc>
        <w:tc>
          <w:tcPr>
            <w:tcW w:w="1120" w:type="dxa"/>
          </w:tcPr>
          <w:p w14:paraId="6E570A20">
            <w:pPr>
              <w:rPr>
                <w:rFonts w:hint="eastAsia" w:ascii="Arial"/>
              </w:rPr>
            </w:pPr>
          </w:p>
        </w:tc>
        <w:tc>
          <w:tcPr>
            <w:tcW w:w="1125" w:type="dxa"/>
          </w:tcPr>
          <w:p w14:paraId="10521BFA">
            <w:pPr>
              <w:rPr>
                <w:rFonts w:hint="eastAsia" w:ascii="Arial"/>
              </w:rPr>
            </w:pPr>
          </w:p>
        </w:tc>
      </w:tr>
      <w:tr w14:paraId="2B3CC4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3E467474">
            <w:pPr>
              <w:rPr>
                <w:rFonts w:hint="eastAsia" w:ascii="Arial"/>
              </w:rPr>
            </w:pPr>
          </w:p>
        </w:tc>
        <w:tc>
          <w:tcPr>
            <w:tcW w:w="2543" w:type="dxa"/>
          </w:tcPr>
          <w:p w14:paraId="6F25B821">
            <w:pPr>
              <w:rPr>
                <w:rFonts w:hint="eastAsia" w:ascii="Arial"/>
              </w:rPr>
            </w:pPr>
          </w:p>
        </w:tc>
        <w:tc>
          <w:tcPr>
            <w:tcW w:w="2100" w:type="dxa"/>
          </w:tcPr>
          <w:p w14:paraId="69BD7480">
            <w:pPr>
              <w:rPr>
                <w:rFonts w:hint="eastAsia" w:ascii="Arial"/>
              </w:rPr>
            </w:pPr>
          </w:p>
        </w:tc>
        <w:tc>
          <w:tcPr>
            <w:tcW w:w="840" w:type="dxa"/>
          </w:tcPr>
          <w:p w14:paraId="2C2AE272">
            <w:pPr>
              <w:rPr>
                <w:rFonts w:hint="eastAsia" w:ascii="Arial"/>
              </w:rPr>
            </w:pPr>
          </w:p>
        </w:tc>
        <w:tc>
          <w:tcPr>
            <w:tcW w:w="2239" w:type="dxa"/>
          </w:tcPr>
          <w:p w14:paraId="5219D5C5">
            <w:pPr>
              <w:rPr>
                <w:rFonts w:hint="eastAsia" w:ascii="Arial"/>
              </w:rPr>
            </w:pPr>
          </w:p>
        </w:tc>
        <w:tc>
          <w:tcPr>
            <w:tcW w:w="1498" w:type="dxa"/>
          </w:tcPr>
          <w:p w14:paraId="53E3F912">
            <w:pPr>
              <w:rPr>
                <w:rFonts w:hint="eastAsia" w:ascii="Arial"/>
              </w:rPr>
            </w:pPr>
          </w:p>
        </w:tc>
        <w:tc>
          <w:tcPr>
            <w:tcW w:w="1861" w:type="dxa"/>
          </w:tcPr>
          <w:p w14:paraId="101B5F46">
            <w:pPr>
              <w:rPr>
                <w:rFonts w:hint="eastAsia" w:ascii="Arial"/>
              </w:rPr>
            </w:pPr>
          </w:p>
        </w:tc>
        <w:tc>
          <w:tcPr>
            <w:tcW w:w="1120" w:type="dxa"/>
          </w:tcPr>
          <w:p w14:paraId="1945BEBF">
            <w:pPr>
              <w:rPr>
                <w:rFonts w:hint="eastAsia" w:ascii="Arial"/>
              </w:rPr>
            </w:pPr>
          </w:p>
        </w:tc>
        <w:tc>
          <w:tcPr>
            <w:tcW w:w="1125" w:type="dxa"/>
          </w:tcPr>
          <w:p w14:paraId="1235E109">
            <w:pPr>
              <w:rPr>
                <w:rFonts w:hint="eastAsia" w:ascii="Arial"/>
              </w:rPr>
            </w:pPr>
          </w:p>
        </w:tc>
      </w:tr>
      <w:tr w14:paraId="4D919A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3F4B9926">
            <w:pPr>
              <w:rPr>
                <w:rFonts w:hint="eastAsia" w:ascii="Arial"/>
              </w:rPr>
            </w:pPr>
          </w:p>
        </w:tc>
        <w:tc>
          <w:tcPr>
            <w:tcW w:w="2543" w:type="dxa"/>
          </w:tcPr>
          <w:p w14:paraId="12D30939">
            <w:pPr>
              <w:rPr>
                <w:rFonts w:hint="eastAsia" w:ascii="Arial"/>
              </w:rPr>
            </w:pPr>
          </w:p>
        </w:tc>
        <w:tc>
          <w:tcPr>
            <w:tcW w:w="2100" w:type="dxa"/>
          </w:tcPr>
          <w:p w14:paraId="572F5AFC">
            <w:pPr>
              <w:rPr>
                <w:rFonts w:hint="eastAsia" w:ascii="Arial"/>
              </w:rPr>
            </w:pPr>
          </w:p>
        </w:tc>
        <w:tc>
          <w:tcPr>
            <w:tcW w:w="840" w:type="dxa"/>
          </w:tcPr>
          <w:p w14:paraId="15071EFD">
            <w:pPr>
              <w:rPr>
                <w:rFonts w:hint="eastAsia" w:ascii="Arial"/>
              </w:rPr>
            </w:pPr>
          </w:p>
        </w:tc>
        <w:tc>
          <w:tcPr>
            <w:tcW w:w="2239" w:type="dxa"/>
          </w:tcPr>
          <w:p w14:paraId="117EEAA6">
            <w:pPr>
              <w:rPr>
                <w:rFonts w:hint="eastAsia" w:ascii="Arial"/>
              </w:rPr>
            </w:pPr>
          </w:p>
        </w:tc>
        <w:tc>
          <w:tcPr>
            <w:tcW w:w="1498" w:type="dxa"/>
          </w:tcPr>
          <w:p w14:paraId="6255145A">
            <w:pPr>
              <w:rPr>
                <w:rFonts w:hint="eastAsia" w:ascii="Arial"/>
              </w:rPr>
            </w:pPr>
          </w:p>
        </w:tc>
        <w:tc>
          <w:tcPr>
            <w:tcW w:w="1861" w:type="dxa"/>
          </w:tcPr>
          <w:p w14:paraId="56A2C492">
            <w:pPr>
              <w:rPr>
                <w:rFonts w:hint="eastAsia" w:ascii="Arial"/>
              </w:rPr>
            </w:pPr>
          </w:p>
        </w:tc>
        <w:tc>
          <w:tcPr>
            <w:tcW w:w="1120" w:type="dxa"/>
          </w:tcPr>
          <w:p w14:paraId="502B9190">
            <w:pPr>
              <w:rPr>
                <w:rFonts w:hint="eastAsia" w:ascii="Arial"/>
              </w:rPr>
            </w:pPr>
          </w:p>
        </w:tc>
        <w:tc>
          <w:tcPr>
            <w:tcW w:w="1125" w:type="dxa"/>
          </w:tcPr>
          <w:p w14:paraId="4EBF8624">
            <w:pPr>
              <w:rPr>
                <w:rFonts w:hint="eastAsia" w:ascii="Arial"/>
              </w:rPr>
            </w:pPr>
          </w:p>
        </w:tc>
      </w:tr>
      <w:tr w14:paraId="68B184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05AE137C">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5499E68C">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63ED15C3">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7DEC44ED">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4F5B8A0E">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24F9803D">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2DCBEE4E">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4C4E8927">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1849C72F">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6B73A6C4">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645A1950">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720C8A3A">
      <w:pPr>
        <w:spacing w:before="87" w:line="198" w:lineRule="auto"/>
        <w:ind w:left="411"/>
        <w:rPr>
          <w:rFonts w:hint="eastAsia" w:ascii="宋体" w:hAnsi="宋体" w:eastAsia="宋体" w:cs="宋体"/>
          <w:spacing w:val="-2"/>
          <w:sz w:val="24"/>
          <w:szCs w:val="24"/>
        </w:rPr>
        <w:sectPr>
          <w:footerReference r:id="rId34" w:type="default"/>
          <w:pgSz w:w="16841" w:h="11907"/>
          <w:pgMar w:top="400" w:right="1500" w:bottom="1184" w:left="1480" w:header="0" w:footer="1022" w:gutter="0"/>
          <w:cols w:space="720" w:num="1"/>
        </w:sectPr>
      </w:pPr>
    </w:p>
    <w:p w14:paraId="5F300652">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680E7AD3">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673CF188">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145380B5">
      <w:pPr>
        <w:spacing w:line="127" w:lineRule="exact"/>
        <w:rPr>
          <w:rFonts w:hint="eastAsia"/>
        </w:rPr>
      </w:pPr>
    </w:p>
    <w:tbl>
      <w:tblPr>
        <w:tblStyle w:val="131"/>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42D0DC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333B883D">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7BD635F6">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0E027D1B">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47CDC7AB">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697AF1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07D3FFE6">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14:paraId="6D973957">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2EDD7D38">
            <w:pPr>
              <w:rPr>
                <w:rFonts w:hint="eastAsia" w:ascii="Arial"/>
              </w:rPr>
            </w:pPr>
          </w:p>
        </w:tc>
        <w:tc>
          <w:tcPr>
            <w:tcW w:w="3362" w:type="dxa"/>
          </w:tcPr>
          <w:p w14:paraId="2AF44FD9">
            <w:pPr>
              <w:rPr>
                <w:rFonts w:hint="eastAsia" w:ascii="Arial"/>
              </w:rPr>
            </w:pPr>
          </w:p>
        </w:tc>
      </w:tr>
      <w:tr w14:paraId="291AE9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2A00AAC2">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14:paraId="40A29321">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6D494C46">
            <w:pPr>
              <w:rPr>
                <w:rFonts w:hint="eastAsia" w:ascii="Arial"/>
              </w:rPr>
            </w:pPr>
          </w:p>
        </w:tc>
        <w:tc>
          <w:tcPr>
            <w:tcW w:w="3362" w:type="dxa"/>
          </w:tcPr>
          <w:p w14:paraId="338754DD">
            <w:pPr>
              <w:rPr>
                <w:rFonts w:hint="eastAsia" w:ascii="Arial"/>
              </w:rPr>
            </w:pPr>
          </w:p>
        </w:tc>
      </w:tr>
      <w:tr w14:paraId="670969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409D7FA6">
            <w:pPr>
              <w:rPr>
                <w:rFonts w:hint="eastAsia" w:ascii="Arial"/>
              </w:rPr>
            </w:pPr>
          </w:p>
          <w:p w14:paraId="5E1E75F7">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14:paraId="3128BF04">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3BBB9300">
            <w:pPr>
              <w:rPr>
                <w:rFonts w:hint="eastAsia" w:ascii="Arial"/>
              </w:rPr>
            </w:pPr>
          </w:p>
        </w:tc>
        <w:tc>
          <w:tcPr>
            <w:tcW w:w="3362" w:type="dxa"/>
          </w:tcPr>
          <w:p w14:paraId="6ACEF404">
            <w:pPr>
              <w:rPr>
                <w:rFonts w:hint="eastAsia" w:ascii="Arial"/>
              </w:rPr>
            </w:pPr>
          </w:p>
        </w:tc>
      </w:tr>
      <w:tr w14:paraId="1ED95D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47E21BE2">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14:paraId="69704D80">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672D817E">
            <w:pPr>
              <w:rPr>
                <w:rFonts w:hint="eastAsia" w:ascii="Arial"/>
              </w:rPr>
            </w:pPr>
          </w:p>
        </w:tc>
        <w:tc>
          <w:tcPr>
            <w:tcW w:w="3362" w:type="dxa"/>
          </w:tcPr>
          <w:p w14:paraId="687C0848">
            <w:pPr>
              <w:rPr>
                <w:rFonts w:hint="eastAsia" w:ascii="Arial"/>
              </w:rPr>
            </w:pPr>
          </w:p>
        </w:tc>
      </w:tr>
      <w:tr w14:paraId="5DF34F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22A5A4B4">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62738BD7">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6C0B8EB2">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7DC65A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78BC8E9A">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04E64BF9">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2C5E6112">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502D808F">
      <w:pPr>
        <w:spacing w:line="291" w:lineRule="auto"/>
        <w:rPr>
          <w:rFonts w:hint="eastAsia" w:ascii="Arial"/>
        </w:rPr>
      </w:pPr>
    </w:p>
    <w:p w14:paraId="10752BA2">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5249F8D5">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581ABE6A">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392E7966">
      <w:pPr>
        <w:pStyle w:val="18"/>
      </w:pPr>
    </w:p>
    <w:p w14:paraId="7EC010C2">
      <w:pPr>
        <w:pStyle w:val="18"/>
      </w:pPr>
    </w:p>
    <w:p w14:paraId="663AAAC0">
      <w:pPr>
        <w:spacing w:before="140" w:line="220" w:lineRule="auto"/>
        <w:ind w:left="2" w:firstLine="464" w:firstLineChars="200"/>
        <w:rPr>
          <w:rFonts w:hint="eastAsia" w:ascii="宋体" w:hAnsi="宋体" w:eastAsia="宋体" w:cs="宋体"/>
          <w:spacing w:val="-2"/>
          <w:szCs w:val="21"/>
        </w:rPr>
        <w:sectPr>
          <w:footerReference r:id="rId35"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187089B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5ABE6924">
      <w:pPr>
        <w:rPr>
          <w:rFonts w:ascii="Calibri" w:hAnsi="Calibri" w:eastAsia="宋体" w:cs="Times New Roman"/>
          <w:szCs w:val="20"/>
        </w:rPr>
      </w:pPr>
    </w:p>
    <w:tbl>
      <w:tblPr>
        <w:tblStyle w:val="39"/>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FAFA3D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B5128CF">
            <w:pPr>
              <w:jc w:val="center"/>
              <w:rPr>
                <w:rFonts w:ascii="Times New Roman" w:hAnsi="Times New Roman" w:eastAsia="宋体" w:cs="Times New Roman"/>
                <w:b/>
                <w:szCs w:val="20"/>
              </w:rPr>
            </w:pPr>
            <w:r>
              <w:rPr>
                <w:rFonts w:hint="eastAsia" w:ascii="宋体" w:hAnsi="宋体" w:eastAsia="宋体" w:cs="宋体"/>
                <w:sz w:val="24"/>
                <w:szCs w:val="24"/>
                <w:u w:val="single"/>
              </w:rPr>
              <w:t>济南卡车制造公司党家庄厂区总三车间总装北线加固改造技改项目</w:t>
            </w:r>
          </w:p>
        </w:tc>
        <w:tc>
          <w:tcPr>
            <w:tcW w:w="2875" w:type="dxa"/>
            <w:tcBorders>
              <w:top w:val="single" w:color="auto" w:sz="4" w:space="0"/>
              <w:left w:val="single" w:color="auto" w:sz="4" w:space="0"/>
              <w:bottom w:val="single" w:color="auto" w:sz="4" w:space="0"/>
              <w:right w:val="single" w:color="auto" w:sz="4" w:space="0"/>
            </w:tcBorders>
            <w:vAlign w:val="center"/>
          </w:tcPr>
          <w:p w14:paraId="1D13D0B8">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68141CC3">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4EE774E2">
            <w:pPr>
              <w:jc w:val="center"/>
              <w:rPr>
                <w:rFonts w:ascii="Times New Roman" w:hAnsi="Times New Roman" w:eastAsia="宋体" w:cs="Times New Roman"/>
                <w:b/>
                <w:szCs w:val="20"/>
              </w:rPr>
            </w:pPr>
            <w:r>
              <w:rPr>
                <w:rFonts w:hint="eastAsia" w:ascii="宋体" w:hAnsi="宋体" w:eastAsia="宋体" w:cs="宋体"/>
                <w:b/>
                <w:szCs w:val="20"/>
              </w:rPr>
              <w:t>是否偏离</w:t>
            </w:r>
          </w:p>
          <w:p w14:paraId="7F4E9F4C">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0460CB8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45CE7B7">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3BEB13C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5F2ADD49">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D333FE2">
            <w:pPr>
              <w:jc w:val="center"/>
              <w:rPr>
                <w:rFonts w:ascii="Times New Roman" w:hAnsi="Times New Roman" w:eastAsia="宋体" w:cs="Times New Roman"/>
                <w:b/>
                <w:szCs w:val="20"/>
              </w:rPr>
            </w:pPr>
          </w:p>
        </w:tc>
      </w:tr>
      <w:tr w14:paraId="71FA28C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F113978">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01EB005F">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452B432">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7BD4AAE">
            <w:pPr>
              <w:jc w:val="center"/>
              <w:rPr>
                <w:rFonts w:ascii="Times New Roman" w:hAnsi="Times New Roman" w:eastAsia="宋体" w:cs="Times New Roman"/>
                <w:b/>
                <w:szCs w:val="21"/>
              </w:rPr>
            </w:pPr>
          </w:p>
        </w:tc>
      </w:tr>
      <w:tr w14:paraId="5DC09E2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AFF1384">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63D5A30C">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150AF7A3">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0009ED9">
            <w:pPr>
              <w:jc w:val="center"/>
              <w:rPr>
                <w:rFonts w:ascii="Times New Roman" w:hAnsi="Times New Roman" w:eastAsia="宋体" w:cs="Times New Roman"/>
                <w:b/>
                <w:szCs w:val="20"/>
              </w:rPr>
            </w:pPr>
          </w:p>
        </w:tc>
      </w:tr>
      <w:tr w14:paraId="3CD0A1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A75A7F6">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2EFE4975">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FFD2396">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C1B58DC">
            <w:pPr>
              <w:jc w:val="center"/>
              <w:rPr>
                <w:rFonts w:ascii="Times New Roman" w:hAnsi="Times New Roman" w:eastAsia="宋体" w:cs="Times New Roman"/>
                <w:b/>
                <w:szCs w:val="21"/>
              </w:rPr>
            </w:pPr>
          </w:p>
          <w:p w14:paraId="2ED26F81">
            <w:pPr>
              <w:jc w:val="center"/>
              <w:rPr>
                <w:rFonts w:ascii="Times New Roman" w:hAnsi="Times New Roman" w:eastAsia="宋体" w:cs="Times New Roman"/>
                <w:b/>
                <w:szCs w:val="21"/>
              </w:rPr>
            </w:pPr>
          </w:p>
          <w:p w14:paraId="190BCB68">
            <w:pPr>
              <w:jc w:val="center"/>
              <w:rPr>
                <w:rFonts w:ascii="Times New Roman" w:hAnsi="Times New Roman" w:eastAsia="宋体" w:cs="Times New Roman"/>
                <w:b/>
                <w:szCs w:val="21"/>
              </w:rPr>
            </w:pPr>
          </w:p>
          <w:p w14:paraId="5E901CE7">
            <w:pPr>
              <w:jc w:val="center"/>
              <w:rPr>
                <w:rFonts w:ascii="Times New Roman" w:hAnsi="Times New Roman" w:eastAsia="宋体" w:cs="Times New Roman"/>
                <w:b/>
                <w:szCs w:val="21"/>
              </w:rPr>
            </w:pPr>
          </w:p>
          <w:p w14:paraId="26E5BBEF">
            <w:pPr>
              <w:jc w:val="center"/>
              <w:rPr>
                <w:rFonts w:ascii="Times New Roman" w:hAnsi="Times New Roman" w:eastAsia="宋体" w:cs="Times New Roman"/>
                <w:b/>
                <w:szCs w:val="21"/>
              </w:rPr>
            </w:pPr>
          </w:p>
          <w:p w14:paraId="5AA5383B">
            <w:pPr>
              <w:jc w:val="center"/>
              <w:rPr>
                <w:rFonts w:ascii="Times New Roman" w:hAnsi="Times New Roman" w:eastAsia="宋体" w:cs="Times New Roman"/>
                <w:b/>
                <w:szCs w:val="21"/>
              </w:rPr>
            </w:pPr>
          </w:p>
          <w:p w14:paraId="65DDB1BB">
            <w:pPr>
              <w:jc w:val="center"/>
              <w:rPr>
                <w:rFonts w:ascii="Times New Roman" w:hAnsi="Times New Roman" w:eastAsia="宋体" w:cs="Times New Roman"/>
                <w:b/>
                <w:szCs w:val="21"/>
              </w:rPr>
            </w:pPr>
          </w:p>
          <w:p w14:paraId="252661A2">
            <w:pPr>
              <w:jc w:val="center"/>
              <w:rPr>
                <w:rFonts w:ascii="Times New Roman" w:hAnsi="Times New Roman" w:eastAsia="宋体" w:cs="Times New Roman"/>
                <w:b/>
                <w:szCs w:val="21"/>
              </w:rPr>
            </w:pPr>
          </w:p>
          <w:p w14:paraId="13212F23">
            <w:pPr>
              <w:jc w:val="center"/>
              <w:rPr>
                <w:rFonts w:ascii="Times New Roman" w:hAnsi="Times New Roman" w:eastAsia="宋体" w:cs="Times New Roman"/>
                <w:b/>
                <w:szCs w:val="21"/>
              </w:rPr>
            </w:pPr>
          </w:p>
          <w:p w14:paraId="79D490DF">
            <w:pPr>
              <w:jc w:val="center"/>
              <w:rPr>
                <w:rFonts w:ascii="Times New Roman" w:hAnsi="Times New Roman" w:eastAsia="宋体" w:cs="Times New Roman"/>
                <w:b/>
                <w:szCs w:val="21"/>
              </w:rPr>
            </w:pPr>
          </w:p>
          <w:p w14:paraId="1A95DA7E">
            <w:pPr>
              <w:jc w:val="center"/>
              <w:rPr>
                <w:rFonts w:ascii="Times New Roman" w:hAnsi="Times New Roman" w:eastAsia="宋体" w:cs="Times New Roman"/>
                <w:b/>
                <w:szCs w:val="21"/>
              </w:rPr>
            </w:pPr>
          </w:p>
          <w:p w14:paraId="3E400369">
            <w:pPr>
              <w:jc w:val="center"/>
              <w:rPr>
                <w:rFonts w:ascii="Times New Roman" w:hAnsi="Times New Roman" w:eastAsia="宋体" w:cs="Times New Roman"/>
                <w:b/>
                <w:szCs w:val="21"/>
              </w:rPr>
            </w:pPr>
          </w:p>
          <w:p w14:paraId="3D4D6E14">
            <w:pPr>
              <w:jc w:val="center"/>
              <w:rPr>
                <w:rFonts w:ascii="Times New Roman" w:hAnsi="Times New Roman" w:eastAsia="宋体" w:cs="Times New Roman"/>
                <w:b/>
                <w:szCs w:val="21"/>
              </w:rPr>
            </w:pPr>
          </w:p>
          <w:p w14:paraId="37695EB2">
            <w:pPr>
              <w:jc w:val="center"/>
              <w:rPr>
                <w:rFonts w:ascii="Times New Roman" w:hAnsi="Times New Roman" w:eastAsia="宋体" w:cs="Times New Roman"/>
                <w:b/>
                <w:szCs w:val="21"/>
              </w:rPr>
            </w:pPr>
          </w:p>
          <w:p w14:paraId="3276AF61">
            <w:pPr>
              <w:jc w:val="center"/>
              <w:rPr>
                <w:rFonts w:ascii="Times New Roman" w:hAnsi="Times New Roman" w:eastAsia="宋体" w:cs="Times New Roman"/>
                <w:b/>
                <w:szCs w:val="21"/>
              </w:rPr>
            </w:pPr>
          </w:p>
          <w:p w14:paraId="7D22B71A">
            <w:pPr>
              <w:jc w:val="center"/>
              <w:rPr>
                <w:rFonts w:ascii="Times New Roman" w:hAnsi="Times New Roman" w:eastAsia="宋体" w:cs="Times New Roman"/>
                <w:b/>
                <w:szCs w:val="21"/>
              </w:rPr>
            </w:pPr>
          </w:p>
          <w:p w14:paraId="3698C97D">
            <w:pPr>
              <w:jc w:val="center"/>
              <w:rPr>
                <w:rFonts w:ascii="Times New Roman" w:hAnsi="Times New Roman" w:eastAsia="宋体" w:cs="Times New Roman"/>
                <w:b/>
                <w:szCs w:val="20"/>
              </w:rPr>
            </w:pPr>
          </w:p>
        </w:tc>
      </w:tr>
      <w:tr w14:paraId="20F7C00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24D1166">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422F3DD6">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95D1130">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1DD72CD3">
            <w:pPr>
              <w:jc w:val="center"/>
              <w:rPr>
                <w:rFonts w:ascii="Times New Roman" w:hAnsi="Times New Roman" w:eastAsia="宋体" w:cs="Times New Roman"/>
                <w:b/>
                <w:szCs w:val="20"/>
              </w:rPr>
            </w:pPr>
          </w:p>
        </w:tc>
      </w:tr>
    </w:tbl>
    <w:p w14:paraId="0DBC20D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5BBD2DF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50C2C065">
      <w:pPr>
        <w:rPr>
          <w:rFonts w:ascii="宋体" w:hAnsi="Calibri" w:eastAsia="宋体" w:cs="Times New Roman"/>
          <w:szCs w:val="20"/>
        </w:rPr>
      </w:pPr>
    </w:p>
    <w:p w14:paraId="42E9376C">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782C5BEA">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5121A1BD">
      <w:pPr>
        <w:spacing w:line="272" w:lineRule="auto"/>
        <w:rPr>
          <w:rFonts w:hint="eastAsia" w:ascii="Arial"/>
        </w:rPr>
      </w:pPr>
    </w:p>
    <w:p w14:paraId="7010EF60">
      <w:pPr>
        <w:spacing w:before="75" w:line="228" w:lineRule="auto"/>
        <w:ind w:left="134"/>
        <w:rPr>
          <w:rFonts w:hint="eastAsia"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szCs w:val="24"/>
          <w:u w:val="single"/>
        </w:rPr>
        <w:t>济南卡车制造公司党家庄厂区总三车间总装北线加固改造技改项目</w:t>
      </w:r>
    </w:p>
    <w:p w14:paraId="5AB86135">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4CC302BA">
      <w:pPr>
        <w:rPr>
          <w:rFonts w:hint="eastAsia"/>
        </w:rPr>
      </w:pPr>
    </w:p>
    <w:p w14:paraId="765AB4FF">
      <w:pPr>
        <w:spacing w:line="109" w:lineRule="exact"/>
        <w:rPr>
          <w:rFonts w:hint="eastAsia"/>
        </w:rPr>
      </w:pPr>
    </w:p>
    <w:tbl>
      <w:tblPr>
        <w:tblStyle w:val="131"/>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5EB4BB27">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6C733DFA">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02E648F5">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315D2104">
      <w:pPr>
        <w:keepNext/>
        <w:keepLines/>
        <w:rPr>
          <w:rFonts w:ascii="Times New Roman" w:hAnsi="Times New Roman" w:eastAsia="宋体" w:cs="Times New Roman"/>
          <w:b/>
          <w:bCs/>
          <w:color w:val="000000"/>
          <w:sz w:val="24"/>
          <w:szCs w:val="24"/>
        </w:rPr>
      </w:pPr>
    </w:p>
    <w:p w14:paraId="1F770AD9">
      <w:pPr>
        <w:spacing w:before="75" w:line="227" w:lineRule="auto"/>
        <w:ind w:left="135"/>
        <w:rPr>
          <w:rFonts w:hint="eastAsia" w:ascii="宋体" w:hAnsi="宋体" w:eastAsia="宋体" w:cs="宋体"/>
          <w:spacing w:val="-2"/>
          <w:sz w:val="24"/>
          <w:szCs w:val="24"/>
        </w:rPr>
      </w:pPr>
    </w:p>
    <w:p w14:paraId="061A3F98">
      <w:pPr>
        <w:spacing w:before="75" w:line="227" w:lineRule="auto"/>
        <w:ind w:left="135"/>
        <w:rPr>
          <w:rFonts w:hint="eastAsia" w:ascii="宋体" w:hAnsi="宋体" w:eastAsia="宋体" w:cs="宋体"/>
          <w:spacing w:val="-2"/>
          <w:sz w:val="24"/>
          <w:szCs w:val="24"/>
        </w:rPr>
      </w:pPr>
    </w:p>
    <w:p w14:paraId="757F387F">
      <w:pPr>
        <w:spacing w:before="75" w:line="227" w:lineRule="auto"/>
        <w:ind w:left="135"/>
        <w:rPr>
          <w:rFonts w:hint="eastAsia" w:eastAsia="宋体"/>
          <w:sz w:val="24"/>
          <w:szCs w:val="24"/>
        </w:rPr>
        <w:sectPr>
          <w:footerReference r:id="rId36"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1905210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6303F28C">
      <w:pPr>
        <w:spacing w:line="240" w:lineRule="exact"/>
        <w:jc w:val="center"/>
        <w:rPr>
          <w:rFonts w:ascii="宋体" w:hAnsi="Calibri" w:eastAsia="宋体" w:cs="Times New Roman"/>
          <w:b/>
          <w:bCs/>
          <w:sz w:val="36"/>
          <w:szCs w:val="20"/>
        </w:rPr>
      </w:pPr>
    </w:p>
    <w:p w14:paraId="6EDE13A5">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u w:val="single"/>
        </w:rPr>
        <w:t>济南卡车制造公司党家庄厂区总三车间总装北线加固改造技改项目</w:t>
      </w:r>
    </w:p>
    <w:p w14:paraId="15A9E9D2">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中国重汽集团济南卡车股份有限公司：</w:t>
      </w:r>
    </w:p>
    <w:p w14:paraId="323178FE">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14:paraId="0394FF5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49D239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A24719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01F42F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FF26C7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ADDB65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0BD60E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3405B5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8968DE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4BC0E8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DD3D4E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2E039D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5E91CD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B2C986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494A64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374985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75EB29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CAFF81D">
      <w:pPr>
        <w:spacing w:line="360" w:lineRule="auto"/>
        <w:ind w:firstLine="480" w:firstLineChars="200"/>
        <w:rPr>
          <w:rFonts w:hint="eastAsia" w:ascii="宋体" w:hAnsi="宋体" w:eastAsia="宋体" w:cs="Times New Roman"/>
          <w:sz w:val="24"/>
          <w:szCs w:val="20"/>
          <w:u w:val="single"/>
        </w:rPr>
      </w:pPr>
    </w:p>
    <w:p w14:paraId="49AACCA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66089C6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6897377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57C69CD">
      <w:pPr>
        <w:rPr>
          <w:rFonts w:ascii="宋体" w:hAnsi="Calibri" w:eastAsia="宋体" w:cs="宋体"/>
          <w:b/>
          <w:bCs/>
          <w:color w:val="000000"/>
          <w:sz w:val="28"/>
          <w:szCs w:val="20"/>
        </w:rPr>
      </w:pPr>
    </w:p>
    <w:p w14:paraId="71AA01B5">
      <w:pPr>
        <w:pStyle w:val="18"/>
        <w:rPr>
          <w:rFonts w:hAnsi="Calibri" w:eastAsia="宋体" w:cs="宋体"/>
          <w:b/>
          <w:bCs/>
          <w:color w:val="000000"/>
          <w:sz w:val="28"/>
          <w:szCs w:val="20"/>
        </w:rPr>
      </w:pPr>
    </w:p>
    <w:p w14:paraId="07750E06">
      <w:pPr>
        <w:rPr>
          <w:rFonts w:ascii="宋体" w:hAnsi="Calibri" w:eastAsia="宋体" w:cs="宋体"/>
          <w:b/>
          <w:bCs/>
          <w:color w:val="000000"/>
          <w:sz w:val="28"/>
          <w:szCs w:val="20"/>
        </w:rPr>
      </w:pPr>
    </w:p>
    <w:p w14:paraId="41A22F8C">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1AD7093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4B75D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6A02C0E5">
            <w:pPr>
              <w:jc w:val="center"/>
              <w:rPr>
                <w:rFonts w:ascii="Times New Roman" w:hAnsi="Times New Roman" w:eastAsia="宋体" w:cs="Times New Roman"/>
                <w:b/>
                <w:szCs w:val="20"/>
              </w:rPr>
            </w:pPr>
          </w:p>
          <w:p w14:paraId="6371F422">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5BD91654">
            <w:pPr>
              <w:rPr>
                <w:rFonts w:ascii="Times New Roman" w:hAnsi="Times New Roman" w:eastAsia="等线" w:cs="Times New Roman"/>
                <w:b/>
                <w:sz w:val="30"/>
                <w:szCs w:val="30"/>
              </w:rPr>
            </w:pPr>
          </w:p>
          <w:p w14:paraId="2B90F2F4">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rPr>
              <w:t>0</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14:paraId="7DB67FCE">
            <w:pPr>
              <w:jc w:val="center"/>
              <w:rPr>
                <w:rFonts w:ascii="Times New Roman" w:hAnsi="Times New Roman" w:eastAsia="宋体" w:cs="Times New Roman"/>
                <w:b/>
                <w:szCs w:val="20"/>
              </w:rPr>
            </w:pPr>
          </w:p>
          <w:p w14:paraId="41B7F635">
            <w:pPr>
              <w:jc w:val="center"/>
              <w:rPr>
                <w:rFonts w:ascii="Times New Roman" w:hAnsi="Times New Roman" w:eastAsia="宋体" w:cs="Times New Roman"/>
                <w:b/>
                <w:szCs w:val="20"/>
              </w:rPr>
            </w:pPr>
          </w:p>
          <w:p w14:paraId="558351E9">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sz w:val="24"/>
                <w:szCs w:val="24"/>
                <w:u w:val="single"/>
              </w:rPr>
              <w:t>济南卡车制造公司</w:t>
            </w:r>
            <w:r>
              <w:rPr>
                <w:rFonts w:hint="eastAsia" w:ascii="宋体" w:hAnsi="宋体" w:eastAsia="宋体" w:cs="宋体"/>
                <w:sz w:val="24"/>
                <w:szCs w:val="24"/>
                <w:u w:val="single"/>
                <w:lang w:val="en-US" w:eastAsia="zh-CN"/>
              </w:rPr>
              <w:t>党家庄</w:t>
            </w:r>
            <w:r>
              <w:rPr>
                <w:rFonts w:hint="eastAsia" w:ascii="宋体" w:hAnsi="宋体" w:eastAsia="宋体" w:cs="宋体"/>
                <w:sz w:val="24"/>
                <w:szCs w:val="24"/>
                <w:u w:val="single"/>
              </w:rPr>
              <w:t>厂区</w:t>
            </w:r>
            <w:r>
              <w:rPr>
                <w:rFonts w:hint="eastAsia" w:ascii="宋体" w:hAnsi="宋体" w:eastAsia="宋体" w:cs="宋体"/>
                <w:sz w:val="24"/>
                <w:szCs w:val="24"/>
                <w:u w:val="single"/>
                <w:lang w:val="en-US" w:eastAsia="zh-CN"/>
              </w:rPr>
              <w:t>总三车间总装北线加固改造技改</w:t>
            </w:r>
            <w:r>
              <w:rPr>
                <w:rFonts w:hint="eastAsia" w:ascii="宋体" w:hAnsi="宋体" w:eastAsia="宋体" w:cs="宋体"/>
                <w:sz w:val="24"/>
                <w:szCs w:val="24"/>
                <w:u w:val="single"/>
              </w:rPr>
              <w:t>项目</w:t>
            </w:r>
          </w:p>
          <w:p w14:paraId="6B7425C9">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4A63EF0D">
            <w:pPr>
              <w:jc w:val="center"/>
              <w:rPr>
                <w:rFonts w:ascii="Times New Roman" w:hAnsi="Times New Roman" w:eastAsia="宋体" w:cs="Times New Roman"/>
                <w:b/>
                <w:szCs w:val="20"/>
              </w:rPr>
            </w:pPr>
            <w:r>
              <w:rPr>
                <w:rFonts w:hint="eastAsia" w:ascii="宋体" w:hAnsi="宋体" w:eastAsia="宋体" w:cs="宋体"/>
                <w:b/>
                <w:szCs w:val="20"/>
              </w:rPr>
              <w:t>地址：</w:t>
            </w:r>
          </w:p>
          <w:p w14:paraId="7989E252">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31A5B8B2">
            <w:pPr>
              <w:jc w:val="center"/>
              <w:rPr>
                <w:rFonts w:ascii="Times New Roman" w:hAnsi="Times New Roman" w:eastAsia="宋体" w:cs="Times New Roman"/>
                <w:b/>
                <w:szCs w:val="20"/>
              </w:rPr>
            </w:pPr>
            <w:r>
              <w:rPr>
                <w:rFonts w:hint="eastAsia" w:ascii="宋体" w:hAnsi="宋体" w:eastAsia="宋体" w:cs="宋体"/>
                <w:b/>
                <w:szCs w:val="20"/>
              </w:rPr>
              <w:t>传真：</w:t>
            </w:r>
          </w:p>
          <w:p w14:paraId="7537C218">
            <w:pPr>
              <w:jc w:val="center"/>
              <w:rPr>
                <w:rFonts w:ascii="Times New Roman" w:hAnsi="Times New Roman" w:eastAsia="宋体" w:cs="Times New Roman"/>
                <w:b/>
                <w:szCs w:val="20"/>
              </w:rPr>
            </w:pPr>
          </w:p>
          <w:p w14:paraId="66A0A8F9">
            <w:pPr>
              <w:jc w:val="center"/>
              <w:rPr>
                <w:rFonts w:ascii="Times New Roman" w:hAnsi="Times New Roman" w:eastAsia="宋体" w:cs="Times New Roman"/>
                <w:b/>
                <w:szCs w:val="20"/>
              </w:rPr>
            </w:pPr>
          </w:p>
        </w:tc>
      </w:tr>
    </w:tbl>
    <w:p w14:paraId="688F33D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43450B8E">
      <w:pPr>
        <w:pStyle w:val="18"/>
      </w:pPr>
    </w:p>
    <w:p w14:paraId="4E7BB0B9">
      <w:pPr>
        <w:jc w:val="right"/>
        <w:rPr>
          <w:rFonts w:hint="eastAsia" w:asciiTheme="minorEastAsia" w:hAnsiTheme="minorEastAsia" w:cstheme="minorEastAsia"/>
          <w:sz w:val="20"/>
          <w:szCs w:val="20"/>
        </w:rPr>
      </w:pPr>
    </w:p>
    <w:p w14:paraId="449A916F">
      <w:pPr>
        <w:jc w:val="right"/>
        <w:rPr>
          <w:rFonts w:hint="eastAsia" w:asciiTheme="minorEastAsia" w:hAnsiTheme="minorEastAsia" w:cstheme="minorEastAsia"/>
          <w:sz w:val="20"/>
          <w:szCs w:val="20"/>
        </w:rPr>
      </w:pPr>
    </w:p>
    <w:p w14:paraId="3CE09C65">
      <w:pPr>
        <w:rPr>
          <w:rFonts w:hint="eastAsia"/>
        </w:rPr>
        <w:sectPr>
          <w:headerReference r:id="rId38" w:type="first"/>
          <w:footerReference r:id="rId40" w:type="first"/>
          <w:headerReference r:id="rId37" w:type="default"/>
          <w:footerReference r:id="rId39" w:type="default"/>
          <w:pgSz w:w="11906" w:h="16838"/>
          <w:pgMar w:top="1588" w:right="1418" w:bottom="1134" w:left="1418" w:header="851" w:footer="992" w:gutter="0"/>
          <w:cols w:space="720" w:num="1"/>
          <w:titlePg/>
          <w:docGrid w:type="lines" w:linePitch="312" w:charSpace="0"/>
        </w:sectPr>
      </w:pPr>
    </w:p>
    <w:p w14:paraId="4F3B499D">
      <w:pPr>
        <w:outlineLvl w:val="2"/>
        <w:rPr>
          <w:rFonts w:hint="eastAsia"/>
        </w:rPr>
      </w:pPr>
      <w:r>
        <w:rPr>
          <w:rFonts w:hint="eastAsia" w:ascii="Times New Roman" w:hAnsi="Times New Roman" w:eastAsia="宋体" w:cs="Times New Roman"/>
          <w:b/>
          <w:bCs/>
          <w:color w:val="000000"/>
          <w:sz w:val="24"/>
          <w:szCs w:val="24"/>
        </w:rPr>
        <w:t>附件14评分标准</w:t>
      </w:r>
    </w:p>
    <w:p w14:paraId="2A8ACA37">
      <w:pPr>
        <w:keepNext/>
        <w:keepLines/>
        <w:spacing w:before="156" w:beforeLines="50" w:after="156" w:afterLines="50" w:line="360" w:lineRule="auto"/>
        <w:jc w:val="center"/>
        <w:rPr>
          <w:rFonts w:hint="eastAsia" w:ascii="宋体" w:hAnsi="宋体" w:eastAsia="宋体" w:cs="Times New Roman"/>
          <w:b/>
          <w:bCs/>
          <w:sz w:val="24"/>
          <w:szCs w:val="24"/>
        </w:rPr>
      </w:pPr>
      <w:r>
        <w:rPr>
          <w:rFonts w:hint="eastAsia" w:ascii="宋体" w:hAnsi="宋体" w:eastAsia="宋体" w:cs="Times New Roman"/>
          <w:b/>
          <w:bCs/>
          <w:sz w:val="24"/>
          <w:szCs w:val="24"/>
        </w:rPr>
        <w:t>评审表（100分）</w:t>
      </w:r>
    </w:p>
    <w:tbl>
      <w:tblPr>
        <w:tblStyle w:val="39"/>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851"/>
        <w:gridCol w:w="639"/>
        <w:gridCol w:w="650"/>
        <w:gridCol w:w="6153"/>
      </w:tblGrid>
      <w:tr w14:paraId="3FF4A41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78BFFB9D">
            <w:pPr>
              <w:spacing w:line="320" w:lineRule="exact"/>
              <w:ind w:right="34" w:rightChars="16"/>
              <w:jc w:val="center"/>
              <w:rPr>
                <w:rFonts w:hint="eastAsia"/>
                <w:b/>
                <w:szCs w:val="21"/>
              </w:rPr>
            </w:pPr>
            <w:r>
              <w:rPr>
                <w:rFonts w:hint="eastAsia"/>
                <w:b/>
              </w:rPr>
              <w:t>评标因素</w:t>
            </w:r>
          </w:p>
        </w:tc>
        <w:tc>
          <w:tcPr>
            <w:tcW w:w="851" w:type="dxa"/>
            <w:tcBorders>
              <w:top w:val="single" w:color="auto" w:sz="4" w:space="0"/>
              <w:left w:val="single" w:color="auto" w:sz="4" w:space="0"/>
              <w:bottom w:val="single" w:color="auto" w:sz="4" w:space="0"/>
              <w:right w:val="single" w:color="auto" w:sz="4" w:space="0"/>
            </w:tcBorders>
            <w:vAlign w:val="center"/>
          </w:tcPr>
          <w:p w14:paraId="25F56F7C">
            <w:pPr>
              <w:spacing w:line="320" w:lineRule="exact"/>
              <w:ind w:right="34" w:rightChars="16"/>
              <w:jc w:val="center"/>
              <w:rPr>
                <w:rFonts w:hint="eastAsia"/>
                <w:b/>
                <w:szCs w:val="21"/>
              </w:rPr>
            </w:pPr>
            <w:r>
              <w:rPr>
                <w:rFonts w:hint="eastAsia"/>
                <w:b/>
              </w:rPr>
              <w:t>总分</w:t>
            </w:r>
          </w:p>
        </w:tc>
        <w:tc>
          <w:tcPr>
            <w:tcW w:w="639" w:type="dxa"/>
            <w:tcBorders>
              <w:top w:val="single" w:color="auto" w:sz="4" w:space="0"/>
              <w:left w:val="single" w:color="auto" w:sz="4" w:space="0"/>
              <w:bottom w:val="single" w:color="auto" w:sz="4" w:space="0"/>
              <w:right w:val="single" w:color="auto" w:sz="4" w:space="0"/>
            </w:tcBorders>
            <w:vAlign w:val="center"/>
          </w:tcPr>
          <w:p w14:paraId="33EA4523">
            <w:pPr>
              <w:spacing w:line="320" w:lineRule="exact"/>
              <w:ind w:right="34" w:rightChars="16"/>
              <w:jc w:val="center"/>
              <w:rPr>
                <w:rFonts w:hint="eastAsia" w:eastAsia="宋体"/>
                <w:b/>
                <w:szCs w:val="21"/>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5D6D1CE5">
            <w:pPr>
              <w:spacing w:line="320" w:lineRule="exact"/>
              <w:ind w:right="34" w:rightChars="16"/>
              <w:jc w:val="center"/>
              <w:rPr>
                <w:rFonts w:hint="eastAsia"/>
                <w:b/>
                <w:szCs w:val="21"/>
              </w:rPr>
            </w:pPr>
            <w:r>
              <w:rPr>
                <w:rFonts w:hint="eastAsia"/>
                <w:b/>
              </w:rPr>
              <w:t>最高</w:t>
            </w:r>
          </w:p>
          <w:p w14:paraId="7183CB83">
            <w:pPr>
              <w:spacing w:line="320" w:lineRule="exact"/>
              <w:ind w:right="34" w:rightChars="16"/>
              <w:jc w:val="center"/>
              <w:rPr>
                <w:rFonts w:hint="eastAsia"/>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052BB216">
            <w:pPr>
              <w:spacing w:line="320" w:lineRule="exact"/>
              <w:ind w:right="34" w:rightChars="16"/>
              <w:jc w:val="center"/>
              <w:rPr>
                <w:rFonts w:hint="eastAsia"/>
                <w:b/>
                <w:szCs w:val="21"/>
              </w:rPr>
            </w:pPr>
            <w:r>
              <w:rPr>
                <w:rFonts w:hint="eastAsia"/>
                <w:b/>
              </w:rPr>
              <w:t>评分标准</w:t>
            </w:r>
          </w:p>
        </w:tc>
      </w:tr>
      <w:tr w14:paraId="16E9162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345BAD7E">
            <w:pPr>
              <w:jc w:val="center"/>
              <w:rPr>
                <w:rFonts w:hint="eastAsia" w:ascii="宋体" w:eastAsia="宋体"/>
              </w:rPr>
            </w:pPr>
            <w:r>
              <w:rPr>
                <w:rFonts w:hint="eastAsia" w:ascii="宋体"/>
              </w:rPr>
              <w:t>技术标</w:t>
            </w:r>
          </w:p>
        </w:tc>
        <w:tc>
          <w:tcPr>
            <w:tcW w:w="851" w:type="dxa"/>
            <w:vMerge w:val="restart"/>
            <w:tcBorders>
              <w:top w:val="single" w:color="auto" w:sz="4" w:space="0"/>
              <w:left w:val="single" w:color="auto" w:sz="4" w:space="0"/>
              <w:right w:val="single" w:color="auto" w:sz="4" w:space="0"/>
            </w:tcBorders>
            <w:vAlign w:val="center"/>
          </w:tcPr>
          <w:p w14:paraId="08C48E2F">
            <w:pPr>
              <w:spacing w:line="440" w:lineRule="exact"/>
              <w:jc w:val="center"/>
              <w:rPr>
                <w:rFonts w:hint="eastAsia" w:ascii="宋体" w:eastAsia="宋体"/>
              </w:rPr>
            </w:pPr>
            <w:r>
              <w:rPr>
                <w:rFonts w:hint="eastAsia" w:ascii="宋体"/>
                <w:b/>
                <w:bCs/>
              </w:rPr>
              <w:t>100分</w:t>
            </w:r>
            <w:r>
              <w:rPr>
                <w:rFonts w:hint="eastAsia" w:ascii="宋体"/>
                <w:b/>
                <w:bCs/>
                <w:highlight w:val="yellow"/>
              </w:rPr>
              <w:t>（40%）</w:t>
            </w:r>
          </w:p>
        </w:tc>
        <w:tc>
          <w:tcPr>
            <w:tcW w:w="639" w:type="dxa"/>
            <w:tcBorders>
              <w:top w:val="single" w:color="auto" w:sz="4" w:space="0"/>
              <w:left w:val="single" w:color="auto" w:sz="4" w:space="0"/>
              <w:right w:val="single" w:color="auto" w:sz="4" w:space="0"/>
            </w:tcBorders>
            <w:vAlign w:val="center"/>
          </w:tcPr>
          <w:p w14:paraId="7E0E4CD9">
            <w:pPr>
              <w:jc w:val="center"/>
              <w:rPr>
                <w:rFonts w:hint="eastAsia" w:ascii="宋体"/>
              </w:rPr>
            </w:pPr>
            <w:r>
              <w:rPr>
                <w:rFonts w:hint="eastAsia" w:ascii="宋体" w:hAnsi="宋体"/>
              </w:rPr>
              <w:t>技术方案</w:t>
            </w:r>
          </w:p>
        </w:tc>
        <w:tc>
          <w:tcPr>
            <w:tcW w:w="650" w:type="dxa"/>
            <w:tcBorders>
              <w:top w:val="single" w:color="auto" w:sz="4" w:space="0"/>
              <w:left w:val="single" w:color="auto" w:sz="4" w:space="0"/>
              <w:bottom w:val="single" w:color="auto" w:sz="4" w:space="0"/>
              <w:right w:val="single" w:color="auto" w:sz="4" w:space="0"/>
            </w:tcBorders>
            <w:vAlign w:val="center"/>
          </w:tcPr>
          <w:p w14:paraId="7BC04FD6">
            <w:pPr>
              <w:spacing w:line="440" w:lineRule="exact"/>
              <w:jc w:val="center"/>
              <w:rPr>
                <w:rFonts w:hint="eastAsia" w:ascii="宋体"/>
              </w:rPr>
            </w:pPr>
            <w:r>
              <w:rPr>
                <w:rFonts w:hint="eastAsia" w:ascii="宋体"/>
              </w:rPr>
              <w:t>60</w:t>
            </w:r>
          </w:p>
        </w:tc>
        <w:tc>
          <w:tcPr>
            <w:tcW w:w="6153" w:type="dxa"/>
            <w:tcBorders>
              <w:top w:val="single" w:color="auto" w:sz="4" w:space="0"/>
              <w:left w:val="single" w:color="auto" w:sz="4" w:space="0"/>
              <w:bottom w:val="single" w:color="auto" w:sz="4" w:space="0"/>
              <w:right w:val="single" w:color="auto" w:sz="4" w:space="0"/>
            </w:tcBorders>
            <w:vAlign w:val="center"/>
          </w:tcPr>
          <w:p w14:paraId="503BF9CC">
            <w:pPr>
              <w:widowControl/>
              <w:jc w:val="left"/>
              <w:rPr>
                <w:rFonts w:ascii="Arial" w:hAnsi="Arial" w:cs="Arial"/>
                <w:kern w:val="0"/>
                <w:szCs w:val="21"/>
              </w:rPr>
            </w:pPr>
            <w:r>
              <w:rPr>
                <w:rFonts w:hint="eastAsia" w:ascii="Arial" w:hAnsi="Arial" w:cs="Arial"/>
                <w:kern w:val="0"/>
                <w:szCs w:val="21"/>
              </w:rPr>
              <w:t>（1）定制系统方案达到招标要求，设备主要部件或核心部件，具备自身技术优势，打分1-15分。</w:t>
            </w:r>
          </w:p>
          <w:p w14:paraId="429CC818">
            <w:pPr>
              <w:widowControl/>
              <w:jc w:val="left"/>
              <w:rPr>
                <w:rFonts w:ascii="Arial" w:hAnsi="Arial" w:cs="Arial"/>
                <w:kern w:val="0"/>
                <w:szCs w:val="21"/>
              </w:rPr>
            </w:pPr>
            <w:r>
              <w:rPr>
                <w:rFonts w:hint="eastAsia" w:ascii="Arial" w:hAnsi="Arial" w:cs="Arial"/>
                <w:kern w:val="0"/>
                <w:szCs w:val="21"/>
              </w:rPr>
              <w:t>（2）达到招标要求的前提下，系统配置更加周全，其精度、参数、技术水平、可靠性等优势明显，打分1-15分。</w:t>
            </w:r>
          </w:p>
          <w:p w14:paraId="3C45279F">
            <w:pPr>
              <w:widowControl/>
              <w:jc w:val="left"/>
              <w:rPr>
                <w:rFonts w:ascii="Arial" w:hAnsi="Arial" w:cs="Arial"/>
                <w:kern w:val="0"/>
                <w:szCs w:val="21"/>
              </w:rPr>
            </w:pPr>
            <w:r>
              <w:rPr>
                <w:rFonts w:hint="eastAsia" w:ascii="Arial" w:hAnsi="Arial" w:cs="Arial"/>
                <w:kern w:val="0"/>
                <w:szCs w:val="21"/>
              </w:rPr>
              <w:t>（3）应具有专业化试验软件，数据处理有独到之处，系统开放程度高，打分1-15分。</w:t>
            </w:r>
          </w:p>
          <w:p w14:paraId="280EE337">
            <w:pPr>
              <w:widowControl/>
              <w:jc w:val="left"/>
              <w:rPr>
                <w:rFonts w:ascii="Arial" w:hAnsi="Arial" w:cs="Arial"/>
                <w:kern w:val="0"/>
                <w:szCs w:val="21"/>
              </w:rPr>
            </w:pPr>
            <w:r>
              <w:rPr>
                <w:rFonts w:hint="eastAsia" w:ascii="Arial" w:hAnsi="Arial" w:cs="Arial"/>
                <w:kern w:val="0"/>
                <w:szCs w:val="21"/>
              </w:rPr>
              <w:t>（4）关键系统技术支持资料、数据处理说明、操作说明详细完整，打分1-15分。</w:t>
            </w:r>
          </w:p>
        </w:tc>
      </w:tr>
      <w:tr w14:paraId="5B541FF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5FA9F8F4">
            <w:pPr>
              <w:widowControl/>
              <w:jc w:val="center"/>
              <w:rPr>
                <w:rFonts w:hint="eastAsia" w:ascii="宋体"/>
              </w:rPr>
            </w:pPr>
          </w:p>
        </w:tc>
        <w:tc>
          <w:tcPr>
            <w:tcW w:w="851" w:type="dxa"/>
            <w:vMerge w:val="continue"/>
            <w:tcBorders>
              <w:left w:val="single" w:color="auto" w:sz="4" w:space="0"/>
              <w:right w:val="single" w:color="auto" w:sz="4" w:space="0"/>
            </w:tcBorders>
            <w:vAlign w:val="center"/>
          </w:tcPr>
          <w:p w14:paraId="4933FDA9">
            <w:pPr>
              <w:widowControl/>
              <w:jc w:val="center"/>
              <w:rPr>
                <w:rFonts w:hint="eastAsia" w:ascii="宋体"/>
              </w:rPr>
            </w:pPr>
          </w:p>
        </w:tc>
        <w:tc>
          <w:tcPr>
            <w:tcW w:w="639" w:type="dxa"/>
            <w:tcBorders>
              <w:top w:val="single" w:color="auto" w:sz="4" w:space="0"/>
              <w:left w:val="single" w:color="auto" w:sz="4" w:space="0"/>
              <w:bottom w:val="single" w:color="auto" w:sz="4" w:space="0"/>
              <w:right w:val="single" w:color="auto" w:sz="4" w:space="0"/>
            </w:tcBorders>
            <w:vAlign w:val="center"/>
          </w:tcPr>
          <w:p w14:paraId="55207C62">
            <w:pPr>
              <w:jc w:val="center"/>
              <w:rPr>
                <w:rFonts w:hint="eastAsia" w:ascii="宋体" w:hAnsi="宋体"/>
              </w:rPr>
            </w:pPr>
            <w:r>
              <w:rPr>
                <w:rFonts w:hint="eastAsia" w:ascii="宋体" w:hAnsi="宋体"/>
              </w:rPr>
              <w:t>质量保障</w:t>
            </w:r>
          </w:p>
        </w:tc>
        <w:tc>
          <w:tcPr>
            <w:tcW w:w="650" w:type="dxa"/>
            <w:tcBorders>
              <w:top w:val="single" w:color="auto" w:sz="4" w:space="0"/>
              <w:left w:val="single" w:color="auto" w:sz="4" w:space="0"/>
              <w:bottom w:val="nil"/>
              <w:right w:val="single" w:color="auto" w:sz="4" w:space="0"/>
            </w:tcBorders>
            <w:vAlign w:val="center"/>
          </w:tcPr>
          <w:p w14:paraId="75EA9280">
            <w:pPr>
              <w:spacing w:line="440" w:lineRule="exact"/>
              <w:jc w:val="center"/>
              <w:rPr>
                <w:rFonts w:hint="eastAsia" w:ascii="宋体"/>
                <w:szCs w:val="21"/>
              </w:rPr>
            </w:pPr>
            <w:r>
              <w:rPr>
                <w:rFonts w:hint="eastAsia" w:ascii="宋体"/>
              </w:rPr>
              <w:t>10</w:t>
            </w:r>
          </w:p>
        </w:tc>
        <w:tc>
          <w:tcPr>
            <w:tcW w:w="6153" w:type="dxa"/>
            <w:tcBorders>
              <w:top w:val="single" w:color="auto" w:sz="4" w:space="0"/>
              <w:left w:val="single" w:color="auto" w:sz="4" w:space="0"/>
              <w:bottom w:val="nil"/>
              <w:right w:val="single" w:color="auto" w:sz="4" w:space="0"/>
            </w:tcBorders>
            <w:vAlign w:val="center"/>
          </w:tcPr>
          <w:p w14:paraId="67DA78A0">
            <w:pPr>
              <w:widowControl/>
              <w:jc w:val="left"/>
              <w:rPr>
                <w:rFonts w:ascii="Arial" w:hAnsi="Arial" w:cs="Arial"/>
                <w:kern w:val="0"/>
                <w:szCs w:val="21"/>
              </w:rPr>
            </w:pPr>
            <w:r>
              <w:rPr>
                <w:rFonts w:hint="eastAsia" w:ascii="Arial" w:hAnsi="Arial" w:cs="Arial"/>
                <w:kern w:val="0"/>
                <w:szCs w:val="21"/>
              </w:rPr>
              <w:t>由评标委员会成员独立进行客观、公正的评价，按照优、良、一般进行赋分，优得8-10分，良得5-8分，一般得1-5分。</w:t>
            </w:r>
          </w:p>
        </w:tc>
      </w:tr>
      <w:tr w14:paraId="7B2BF79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1CAA56F5">
            <w:pPr>
              <w:widowControl/>
              <w:jc w:val="center"/>
              <w:rPr>
                <w:rFonts w:hint="eastAsia" w:ascii="宋体"/>
              </w:rPr>
            </w:pPr>
          </w:p>
        </w:tc>
        <w:tc>
          <w:tcPr>
            <w:tcW w:w="851" w:type="dxa"/>
            <w:vMerge w:val="continue"/>
            <w:tcBorders>
              <w:left w:val="single" w:color="auto" w:sz="4" w:space="0"/>
              <w:right w:val="single" w:color="auto" w:sz="4" w:space="0"/>
            </w:tcBorders>
            <w:vAlign w:val="center"/>
          </w:tcPr>
          <w:p w14:paraId="209B6BC3">
            <w:pPr>
              <w:widowControl/>
              <w:jc w:val="center"/>
              <w:rPr>
                <w:rFonts w:hint="eastAsia" w:ascii="宋体"/>
              </w:rPr>
            </w:pPr>
          </w:p>
        </w:tc>
        <w:tc>
          <w:tcPr>
            <w:tcW w:w="639" w:type="dxa"/>
            <w:tcBorders>
              <w:top w:val="single" w:color="auto" w:sz="4" w:space="0"/>
              <w:left w:val="single" w:color="auto" w:sz="4" w:space="0"/>
              <w:bottom w:val="single" w:color="auto" w:sz="4" w:space="0"/>
              <w:right w:val="single" w:color="auto" w:sz="4" w:space="0"/>
            </w:tcBorders>
            <w:vAlign w:val="center"/>
          </w:tcPr>
          <w:p w14:paraId="0F96C4B3">
            <w:pPr>
              <w:jc w:val="center"/>
              <w:rPr>
                <w:rFonts w:hint="eastAsia" w:ascii="宋体" w:hAnsi="宋体"/>
              </w:rPr>
            </w:pPr>
            <w:r>
              <w:rPr>
                <w:rFonts w:hint="eastAsia" w:ascii="宋体" w:hAnsi="宋体"/>
              </w:rPr>
              <w:t>业绩</w:t>
            </w:r>
          </w:p>
        </w:tc>
        <w:tc>
          <w:tcPr>
            <w:tcW w:w="650" w:type="dxa"/>
            <w:tcBorders>
              <w:top w:val="single" w:color="auto" w:sz="4" w:space="0"/>
              <w:left w:val="single" w:color="auto" w:sz="4" w:space="0"/>
              <w:bottom w:val="nil"/>
              <w:right w:val="single" w:color="auto" w:sz="4" w:space="0"/>
            </w:tcBorders>
            <w:vAlign w:val="center"/>
          </w:tcPr>
          <w:p w14:paraId="4C3A185E">
            <w:pPr>
              <w:jc w:val="center"/>
              <w:rPr>
                <w:rFonts w:hint="eastAsia" w:ascii="宋体" w:eastAsia="宋体"/>
                <w:szCs w:val="21"/>
              </w:rPr>
            </w:pPr>
            <w:r>
              <w:rPr>
                <w:rFonts w:hint="eastAsia" w:ascii="宋体"/>
                <w:szCs w:val="21"/>
              </w:rPr>
              <w:t>10</w:t>
            </w:r>
          </w:p>
        </w:tc>
        <w:tc>
          <w:tcPr>
            <w:tcW w:w="6153" w:type="dxa"/>
            <w:tcBorders>
              <w:top w:val="single" w:color="auto" w:sz="4" w:space="0"/>
              <w:left w:val="single" w:color="auto" w:sz="4" w:space="0"/>
              <w:bottom w:val="nil"/>
              <w:right w:val="single" w:color="auto" w:sz="4" w:space="0"/>
            </w:tcBorders>
            <w:vAlign w:val="center"/>
          </w:tcPr>
          <w:p w14:paraId="7E4DEE1F">
            <w:pPr>
              <w:widowControl/>
              <w:jc w:val="left"/>
              <w:rPr>
                <w:rFonts w:ascii="Arial" w:hAnsi="Arial" w:cs="Arial"/>
                <w:kern w:val="0"/>
                <w:szCs w:val="21"/>
              </w:rPr>
            </w:pPr>
            <w:r>
              <w:rPr>
                <w:rFonts w:hint="eastAsia" w:ascii="Arial" w:hAnsi="Arial" w:cs="Arial"/>
                <w:kern w:val="0"/>
                <w:szCs w:val="21"/>
              </w:rPr>
              <w:t>由评标委员会成员独立进行客观、公正的评价，按照业绩数量进行赋分，相同业绩每一个得1分，类似业绩,每一个得1分。本条款得分最高10分。同类型业绩:投标人在2022年1月1日（时间以签订日期为准）以来在中国与本标同类型且参数规格相符的产品,以合同复印件加盖公章为准（须有客户联系方式及联系人以供招标人核实确认）。与本标同类型但参数规格明显不同的产品,属于类似业绩。</w:t>
            </w:r>
          </w:p>
        </w:tc>
      </w:tr>
      <w:tr w14:paraId="349F57A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736D79E5">
            <w:pPr>
              <w:widowControl/>
              <w:jc w:val="center"/>
              <w:rPr>
                <w:rFonts w:hint="eastAsia" w:ascii="宋体"/>
              </w:rPr>
            </w:pPr>
          </w:p>
        </w:tc>
        <w:tc>
          <w:tcPr>
            <w:tcW w:w="851" w:type="dxa"/>
            <w:vMerge w:val="continue"/>
            <w:tcBorders>
              <w:left w:val="single" w:color="auto" w:sz="4" w:space="0"/>
              <w:right w:val="single" w:color="auto" w:sz="4" w:space="0"/>
            </w:tcBorders>
            <w:vAlign w:val="center"/>
          </w:tcPr>
          <w:p w14:paraId="3AC63198">
            <w:pPr>
              <w:widowControl/>
              <w:jc w:val="center"/>
              <w:rPr>
                <w:rFonts w:hint="eastAsia" w:ascii="宋体"/>
              </w:rPr>
            </w:pPr>
          </w:p>
        </w:tc>
        <w:tc>
          <w:tcPr>
            <w:tcW w:w="639" w:type="dxa"/>
            <w:tcBorders>
              <w:top w:val="single" w:color="auto" w:sz="4" w:space="0"/>
              <w:left w:val="single" w:color="auto" w:sz="4" w:space="0"/>
              <w:bottom w:val="single" w:color="auto" w:sz="4" w:space="0"/>
              <w:right w:val="single" w:color="auto" w:sz="4" w:space="0"/>
            </w:tcBorders>
            <w:vAlign w:val="center"/>
          </w:tcPr>
          <w:p w14:paraId="34E240BE">
            <w:pPr>
              <w:jc w:val="center"/>
              <w:rPr>
                <w:rFonts w:hint="eastAsia" w:ascii="宋体" w:hAnsi="宋体"/>
              </w:rPr>
            </w:pPr>
            <w:r>
              <w:rPr>
                <w:rFonts w:hint="eastAsia" w:ascii="宋体" w:hAnsi="宋体"/>
              </w:rPr>
              <w:t>交货期</w:t>
            </w:r>
          </w:p>
        </w:tc>
        <w:tc>
          <w:tcPr>
            <w:tcW w:w="650" w:type="dxa"/>
            <w:tcBorders>
              <w:top w:val="single" w:color="auto" w:sz="4" w:space="0"/>
              <w:left w:val="single" w:color="auto" w:sz="4" w:space="0"/>
              <w:bottom w:val="nil"/>
              <w:right w:val="single" w:color="auto" w:sz="4" w:space="0"/>
            </w:tcBorders>
            <w:vAlign w:val="center"/>
          </w:tcPr>
          <w:p w14:paraId="44306847">
            <w:pPr>
              <w:jc w:val="center"/>
              <w:rPr>
                <w:rFonts w:hint="eastAsia"/>
              </w:rPr>
            </w:pPr>
            <w:r>
              <w:rPr>
                <w:rFonts w:hint="eastAsia" w:ascii="宋体"/>
              </w:rPr>
              <w:t>10</w:t>
            </w:r>
          </w:p>
        </w:tc>
        <w:tc>
          <w:tcPr>
            <w:tcW w:w="6153" w:type="dxa"/>
            <w:tcBorders>
              <w:top w:val="single" w:color="auto" w:sz="4" w:space="0"/>
              <w:left w:val="single" w:color="auto" w:sz="4" w:space="0"/>
              <w:bottom w:val="nil"/>
              <w:right w:val="single" w:color="auto" w:sz="4" w:space="0"/>
            </w:tcBorders>
            <w:vAlign w:val="center"/>
          </w:tcPr>
          <w:p w14:paraId="17381DB2">
            <w:pPr>
              <w:widowControl/>
              <w:jc w:val="left"/>
              <w:rPr>
                <w:rFonts w:ascii="Arial" w:hAnsi="Arial" w:cs="Arial"/>
                <w:kern w:val="0"/>
                <w:szCs w:val="21"/>
              </w:rPr>
            </w:pPr>
            <w:r>
              <w:rPr>
                <w:rFonts w:hint="eastAsia" w:ascii="Arial" w:hAnsi="Arial" w:cs="Arial"/>
                <w:kern w:val="0"/>
                <w:szCs w:val="21"/>
              </w:rPr>
              <w:t>由评标委员会成员独立进行客观、公正的评价，按照到货周期进行赋分，到货期≤2个月得10分，2＜到货期≤3个月得5-9分，3＜到货期≤4个月得1-5分。</w:t>
            </w:r>
          </w:p>
        </w:tc>
      </w:tr>
      <w:tr w14:paraId="7919C92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48B4A7B5">
            <w:pPr>
              <w:widowControl/>
              <w:jc w:val="center"/>
              <w:rPr>
                <w:rFonts w:hint="eastAsia" w:ascii="宋体"/>
              </w:rPr>
            </w:pPr>
          </w:p>
        </w:tc>
        <w:tc>
          <w:tcPr>
            <w:tcW w:w="851" w:type="dxa"/>
            <w:vMerge w:val="continue"/>
            <w:tcBorders>
              <w:left w:val="single" w:color="auto" w:sz="4" w:space="0"/>
              <w:bottom w:val="single" w:color="auto" w:sz="4" w:space="0"/>
              <w:right w:val="single" w:color="auto" w:sz="4" w:space="0"/>
            </w:tcBorders>
            <w:vAlign w:val="center"/>
          </w:tcPr>
          <w:p w14:paraId="41A94074">
            <w:pPr>
              <w:widowControl/>
              <w:jc w:val="center"/>
              <w:rPr>
                <w:rFonts w:hint="eastAsia" w:ascii="宋体"/>
              </w:rPr>
            </w:pPr>
          </w:p>
        </w:tc>
        <w:tc>
          <w:tcPr>
            <w:tcW w:w="639" w:type="dxa"/>
            <w:tcBorders>
              <w:top w:val="single" w:color="auto" w:sz="4" w:space="0"/>
              <w:left w:val="single" w:color="auto" w:sz="4" w:space="0"/>
              <w:bottom w:val="single" w:color="auto" w:sz="4" w:space="0"/>
              <w:right w:val="single" w:color="auto" w:sz="4" w:space="0"/>
            </w:tcBorders>
            <w:vAlign w:val="center"/>
          </w:tcPr>
          <w:p w14:paraId="7C01A167">
            <w:pPr>
              <w:jc w:val="center"/>
              <w:rPr>
                <w:rFonts w:hint="eastAsia" w:ascii="宋体" w:hAnsi="宋体"/>
              </w:rPr>
            </w:pPr>
            <w:r>
              <w:rPr>
                <w:rFonts w:hint="eastAsia" w:ascii="宋体" w:hAnsi="宋体"/>
              </w:rPr>
              <w:t>现场答疑</w:t>
            </w:r>
          </w:p>
        </w:tc>
        <w:tc>
          <w:tcPr>
            <w:tcW w:w="650" w:type="dxa"/>
            <w:tcBorders>
              <w:top w:val="single" w:color="auto" w:sz="4" w:space="0"/>
              <w:left w:val="single" w:color="auto" w:sz="4" w:space="0"/>
              <w:bottom w:val="nil"/>
              <w:right w:val="single" w:color="auto" w:sz="4" w:space="0"/>
            </w:tcBorders>
            <w:vAlign w:val="center"/>
          </w:tcPr>
          <w:p w14:paraId="2A1D1AB0">
            <w:pPr>
              <w:jc w:val="center"/>
              <w:rPr>
                <w:rFonts w:hint="eastAsia" w:ascii="宋体"/>
              </w:rPr>
            </w:pPr>
            <w:r>
              <w:rPr>
                <w:rFonts w:hint="eastAsia" w:ascii="宋体"/>
              </w:rPr>
              <w:t>10</w:t>
            </w:r>
          </w:p>
        </w:tc>
        <w:tc>
          <w:tcPr>
            <w:tcW w:w="6153" w:type="dxa"/>
            <w:tcBorders>
              <w:top w:val="single" w:color="auto" w:sz="4" w:space="0"/>
              <w:left w:val="single" w:color="auto" w:sz="4" w:space="0"/>
              <w:bottom w:val="nil"/>
              <w:right w:val="single" w:color="auto" w:sz="4" w:space="0"/>
            </w:tcBorders>
            <w:vAlign w:val="center"/>
          </w:tcPr>
          <w:p w14:paraId="6C31E62B">
            <w:pPr>
              <w:widowControl/>
              <w:jc w:val="left"/>
              <w:rPr>
                <w:rFonts w:ascii="Arial" w:hAnsi="Arial" w:cs="Arial"/>
                <w:kern w:val="0"/>
                <w:szCs w:val="21"/>
              </w:rPr>
            </w:pPr>
            <w:r>
              <w:rPr>
                <w:rFonts w:hint="eastAsia" w:ascii="Arial" w:hAnsi="Arial" w:cs="Arial"/>
                <w:kern w:val="0"/>
                <w:szCs w:val="21"/>
              </w:rPr>
              <w:t>由评标委员会成员独立进行客观、公正的评价，针对投标人代表对方案、技术优势的讲解，以及就该项目难点对于评标专家现场提问的回答，打分1-10分。</w:t>
            </w:r>
          </w:p>
        </w:tc>
      </w:tr>
      <w:tr w14:paraId="5E8ABCB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75398533">
            <w:pPr>
              <w:jc w:val="center"/>
              <w:rPr>
                <w:rFonts w:hint="eastAsia" w:ascii="宋体" w:eastAsia="宋体"/>
                <w:szCs w:val="21"/>
              </w:rPr>
            </w:pPr>
            <w:r>
              <w:rPr>
                <w:rFonts w:hint="eastAsia" w:ascii="宋体"/>
                <w:szCs w:val="21"/>
              </w:rPr>
              <w:t>商务标</w:t>
            </w:r>
          </w:p>
        </w:tc>
        <w:tc>
          <w:tcPr>
            <w:tcW w:w="851" w:type="dxa"/>
            <w:tcBorders>
              <w:top w:val="single" w:color="auto" w:sz="4" w:space="0"/>
              <w:left w:val="single" w:color="auto" w:sz="4" w:space="0"/>
              <w:bottom w:val="single" w:color="auto" w:sz="4" w:space="0"/>
              <w:right w:val="single" w:color="auto" w:sz="4" w:space="0"/>
            </w:tcBorders>
            <w:vAlign w:val="center"/>
          </w:tcPr>
          <w:p w14:paraId="6F164917">
            <w:pPr>
              <w:jc w:val="center"/>
              <w:rPr>
                <w:rFonts w:hint="eastAsia" w:ascii="宋体" w:eastAsia="宋体"/>
                <w:b/>
                <w:szCs w:val="21"/>
              </w:rPr>
            </w:pPr>
            <w:r>
              <w:rPr>
                <w:rFonts w:hint="eastAsia" w:ascii="宋体"/>
                <w:b/>
                <w:szCs w:val="21"/>
              </w:rPr>
              <w:t>100分</w:t>
            </w:r>
            <w:r>
              <w:rPr>
                <w:rFonts w:hint="eastAsia" w:ascii="宋体"/>
                <w:b/>
                <w:szCs w:val="21"/>
                <w:highlight w:val="yellow"/>
              </w:rPr>
              <w:t>（60%）</w:t>
            </w:r>
          </w:p>
        </w:tc>
        <w:tc>
          <w:tcPr>
            <w:tcW w:w="639" w:type="dxa"/>
            <w:tcBorders>
              <w:top w:val="single" w:color="auto" w:sz="4" w:space="0"/>
              <w:left w:val="single" w:color="auto" w:sz="4" w:space="0"/>
              <w:bottom w:val="single" w:color="auto" w:sz="4" w:space="0"/>
              <w:right w:val="single" w:color="auto" w:sz="4" w:space="0"/>
            </w:tcBorders>
            <w:vAlign w:val="center"/>
          </w:tcPr>
          <w:p w14:paraId="4B0A2164">
            <w:pPr>
              <w:jc w:val="center"/>
              <w:rPr>
                <w:rFonts w:hint="eastAsia" w:ascii="宋体"/>
                <w:b/>
                <w:szCs w:val="21"/>
              </w:rPr>
            </w:pPr>
            <w:r>
              <w:rPr>
                <w:rFonts w:hint="eastAsia" w:ascii="宋体" w:hAnsi="宋体"/>
              </w:rPr>
              <w:t>投标报价</w:t>
            </w:r>
          </w:p>
        </w:tc>
        <w:tc>
          <w:tcPr>
            <w:tcW w:w="650" w:type="dxa"/>
            <w:tcBorders>
              <w:top w:val="single" w:color="auto" w:sz="4" w:space="0"/>
              <w:left w:val="single" w:color="auto" w:sz="4" w:space="0"/>
              <w:bottom w:val="nil"/>
              <w:right w:val="single" w:color="auto" w:sz="4" w:space="0"/>
            </w:tcBorders>
            <w:vAlign w:val="center"/>
          </w:tcPr>
          <w:p w14:paraId="64B910FE">
            <w:pPr>
              <w:spacing w:line="440" w:lineRule="exact"/>
              <w:jc w:val="center"/>
              <w:rPr>
                <w:rFonts w:hint="eastAsia" w:ascii="宋体" w:hAnsi="宋体" w:eastAsia="宋体"/>
              </w:rPr>
            </w:pPr>
            <w:r>
              <w:rPr>
                <w:rFonts w:hint="eastAsia" w:ascii="宋体" w:hAnsi="宋体"/>
              </w:rPr>
              <w:t>100</w:t>
            </w:r>
          </w:p>
        </w:tc>
        <w:tc>
          <w:tcPr>
            <w:tcW w:w="6153" w:type="dxa"/>
            <w:tcBorders>
              <w:top w:val="single" w:color="auto" w:sz="4" w:space="0"/>
              <w:left w:val="single" w:color="auto" w:sz="4" w:space="0"/>
              <w:bottom w:val="nil"/>
              <w:right w:val="single" w:color="auto" w:sz="4" w:space="0"/>
            </w:tcBorders>
            <w:vAlign w:val="center"/>
          </w:tcPr>
          <w:p w14:paraId="6DFC3EC6">
            <w:pPr>
              <w:widowControl/>
              <w:jc w:val="left"/>
              <w:rPr>
                <w:rFonts w:ascii="Arial" w:hAnsi="Arial" w:cs="Arial"/>
                <w:kern w:val="0"/>
                <w:szCs w:val="21"/>
              </w:rPr>
            </w:pPr>
            <w:r>
              <w:rPr>
                <w:rFonts w:ascii="Arial" w:hAnsi="Arial" w:cs="Arial"/>
                <w:kern w:val="0"/>
                <w:szCs w:val="21"/>
              </w:rPr>
              <w:t>1.</w:t>
            </w:r>
            <w:r>
              <w:rPr>
                <w:rFonts w:hint="eastAsia" w:ascii="Arial" w:hAnsi="Arial" w:cs="Arial"/>
                <w:kern w:val="0"/>
                <w:szCs w:val="21"/>
              </w:rPr>
              <w:t>商务标得分=当前轮次最低价/供方投标价X商务标总分。</w:t>
            </w:r>
          </w:p>
          <w:p w14:paraId="1DC050B7">
            <w:pPr>
              <w:tabs>
                <w:tab w:val="left" w:pos="7854"/>
              </w:tabs>
              <w:spacing w:line="280" w:lineRule="exact"/>
              <w:rPr>
                <w:rFonts w:hint="eastAsia"/>
                <w:highlight w:val="yellow"/>
              </w:rPr>
            </w:pPr>
            <w:r>
              <w:rPr>
                <w:rFonts w:ascii="Arial" w:hAnsi="Arial" w:cs="Arial"/>
                <w:kern w:val="0"/>
                <w:szCs w:val="21"/>
              </w:rPr>
              <w:t>2.评标价格均以元（RMB）为单位计算，百分率、得分值小数点后保留二位，第三位四舍五入。</w:t>
            </w:r>
          </w:p>
        </w:tc>
      </w:tr>
      <w:tr w14:paraId="442BE43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14:paraId="2466C66C">
            <w:pPr>
              <w:rPr>
                <w:rFonts w:hint="eastAsia" w:ascii="宋体"/>
                <w:szCs w:val="21"/>
              </w:rPr>
            </w:pPr>
            <w:r>
              <w:rPr>
                <w:rFonts w:hint="eastAsia" w:ascii="宋体" w:hAnsi="宋体"/>
              </w:rPr>
              <w:t>备注：</w:t>
            </w:r>
          </w:p>
          <w:p w14:paraId="6059C7A8">
            <w:pPr>
              <w:rPr>
                <w:rFonts w:hint="eastAsia" w:ascii="宋体"/>
              </w:rPr>
            </w:pPr>
            <w:r>
              <w:rPr>
                <w:rFonts w:hint="eastAsia" w:ascii="宋体" w:hAnsi="宋体"/>
              </w:rPr>
              <w:t>1、通过初审者为有效投标。</w:t>
            </w:r>
          </w:p>
          <w:p w14:paraId="3C6C212F">
            <w:pPr>
              <w:rPr>
                <w:rFonts w:hint="default" w:ascii="宋体" w:eastAsiaTheme="minorEastAsia"/>
                <w:b/>
                <w:bCs/>
                <w:color w:val="FF0000"/>
                <w:sz w:val="18"/>
                <w:szCs w:val="18"/>
                <w:lang w:val="en-US" w:eastAsia="zh-CN"/>
              </w:rPr>
            </w:pPr>
            <w:r>
              <w:rPr>
                <w:rFonts w:hint="eastAsia" w:ascii="宋体" w:hAnsi="宋体"/>
              </w:rPr>
              <w:t>2、</w:t>
            </w:r>
            <w:r>
              <w:rPr>
                <w:rFonts w:hint="eastAsia" w:ascii="??" w:hAnsi="??"/>
              </w:rPr>
              <w:t>综合评价值相同的，依照价格、技术、商务、服务及其他评价内容的优先次序，根据分项评价值进行排名。</w:t>
            </w:r>
            <w:r>
              <w:rPr>
                <w:rFonts w:hint="eastAsia" w:ascii="宋体" w:hAnsi="宋体"/>
              </w:rPr>
              <w:t>若上述排名皆相同的，则由全体评委成员无记名投票，得票高者排序在前。</w:t>
            </w:r>
            <w:r>
              <w:rPr>
                <w:rFonts w:hint="eastAsia" w:ascii="宋体" w:hAnsi="宋体"/>
                <w:lang w:val="en-US" w:eastAsia="zh-CN"/>
              </w:rPr>
              <w:t>技术标分数</w:t>
            </w:r>
            <w:r>
              <w:rPr>
                <w:rFonts w:hint="eastAsia" w:ascii="宋体" w:hAnsi="宋体"/>
                <w:highlight w:val="yellow"/>
                <w:lang w:val="en-US" w:eastAsia="zh-CN"/>
              </w:rPr>
              <w:t>80分</w:t>
            </w:r>
            <w:r>
              <w:rPr>
                <w:rFonts w:hint="eastAsia" w:ascii="宋体" w:hAnsi="宋体"/>
                <w:lang w:val="en-US" w:eastAsia="zh-CN"/>
              </w:rPr>
              <w:t>以上入围商务标，以下的技术标淘汰。</w:t>
            </w:r>
          </w:p>
          <w:p w14:paraId="0EEB5084">
            <w:pPr>
              <w:rPr>
                <w:rFonts w:hint="eastAsia" w:ascii="宋体" w:hAnsi="宋体"/>
              </w:rPr>
            </w:pPr>
            <w:r>
              <w:rPr>
                <w:rFonts w:hint="eastAsia" w:ascii="宋体" w:hAnsi="宋体"/>
              </w:rPr>
              <w:t>3、评委打分超过得分界限或未按本方法赋分时，该评委的打分按废票处理。</w:t>
            </w:r>
          </w:p>
          <w:p w14:paraId="1108410C">
            <w:pPr>
              <w:rPr>
                <w:rFonts w:hint="eastAsia" w:ascii="宋体"/>
                <w:szCs w:val="21"/>
              </w:rPr>
            </w:pPr>
            <w:r>
              <w:rPr>
                <w:rFonts w:hint="eastAsia" w:ascii="宋体" w:hAnsi="宋体"/>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50FB57C2">
      <w:pPr>
        <w:pStyle w:val="18"/>
        <w:outlineLvl w:val="2"/>
        <w:rPr>
          <w:rFonts w:hint="eastAsia" w:hAnsi="宋体" w:eastAsia="宋体" w:cs="宋体"/>
          <w:b/>
          <w:bCs/>
          <w:color w:val="000000"/>
          <w:sz w:val="24"/>
          <w:szCs w:val="24"/>
        </w:rPr>
      </w:pPr>
    </w:p>
    <w:p w14:paraId="6B3D57DE">
      <w:pPr>
        <w:pStyle w:val="18"/>
        <w:outlineLvl w:val="2"/>
        <w:rPr>
          <w:rFonts w:hint="eastAsia" w:hAnsi="宋体" w:eastAsia="宋体" w:cs="宋体"/>
          <w:b/>
          <w:bCs/>
          <w:color w:val="000000"/>
          <w:sz w:val="24"/>
          <w:szCs w:val="24"/>
        </w:rPr>
      </w:pPr>
    </w:p>
    <w:p w14:paraId="0F4F6A45">
      <w:pPr>
        <w:pStyle w:val="18"/>
        <w:outlineLvl w:val="2"/>
        <w:rPr>
          <w:rFonts w:hint="eastAsia" w:hAnsi="宋体" w:eastAsia="宋体" w:cs="宋体"/>
          <w:b/>
          <w:bCs/>
          <w:color w:val="000000"/>
          <w:sz w:val="24"/>
          <w:szCs w:val="24"/>
        </w:rPr>
      </w:pPr>
    </w:p>
    <w:p w14:paraId="5E40B4EF">
      <w:pPr>
        <w:pStyle w:val="18"/>
        <w:outlineLvl w:val="2"/>
        <w:rPr>
          <w:rFonts w:hint="eastAsia" w:hAnsi="宋体" w:eastAsia="宋体" w:cs="宋体"/>
          <w:b/>
          <w:bCs/>
          <w:color w:val="000000"/>
          <w:sz w:val="24"/>
          <w:szCs w:val="24"/>
        </w:rPr>
      </w:pPr>
    </w:p>
    <w:p w14:paraId="197C9743">
      <w:pPr>
        <w:pStyle w:val="18"/>
        <w:outlineLvl w:val="2"/>
        <w:rPr>
          <w:rFonts w:hint="eastAsia" w:hAnsi="宋体" w:eastAsia="宋体" w:cs="宋体"/>
          <w:b/>
          <w:bCs/>
          <w:color w:val="000000"/>
          <w:sz w:val="24"/>
          <w:szCs w:val="24"/>
        </w:rPr>
      </w:pPr>
    </w:p>
    <w:p w14:paraId="72CB74CE">
      <w:pPr>
        <w:pStyle w:val="18"/>
        <w:outlineLvl w:val="2"/>
        <w:rPr>
          <w:rFonts w:hint="eastAsia"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14:paraId="13A4E590">
      <w:pPr>
        <w:pStyle w:val="18"/>
        <w:rPr>
          <w:rFonts w:eastAsia="宋体"/>
        </w:rPr>
      </w:pPr>
    </w:p>
    <w:p w14:paraId="2F46E0D7">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1E5ACA2E">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015A5C5C">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0CC1B010">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72"/>
                    <a:stretch>
                      <a:fillRect/>
                    </a:stretch>
                  </pic:blipFill>
                  <pic:spPr>
                    <a:xfrm>
                      <a:off x="0" y="0"/>
                      <a:ext cx="5760085" cy="2933377"/>
                    </a:xfrm>
                    <a:prstGeom prst="rect">
                      <a:avLst/>
                    </a:prstGeom>
                  </pic:spPr>
                </pic:pic>
              </a:graphicData>
            </a:graphic>
          </wp:inline>
        </w:drawing>
      </w:r>
    </w:p>
    <w:p w14:paraId="02CAD8C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0862183">
      <w:pPr>
        <w:snapToGrid w:val="0"/>
        <w:spacing w:line="312" w:lineRule="auto"/>
        <w:rPr>
          <w:rFonts w:hint="eastAsia"/>
        </w:rPr>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73"/>
                    <a:stretch>
                      <a:fillRect/>
                    </a:stretch>
                  </pic:blipFill>
                  <pic:spPr>
                    <a:xfrm>
                      <a:off x="0" y="0"/>
                      <a:ext cx="5760085" cy="2766707"/>
                    </a:xfrm>
                    <a:prstGeom prst="rect">
                      <a:avLst/>
                    </a:prstGeom>
                  </pic:spPr>
                </pic:pic>
              </a:graphicData>
            </a:graphic>
          </wp:inline>
        </w:drawing>
      </w:r>
    </w:p>
    <w:p w14:paraId="1966C7C1">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029A72FC">
      <w:pPr>
        <w:snapToGrid w:val="0"/>
        <w:spacing w:line="312" w:lineRule="auto"/>
        <w:rPr>
          <w:rFonts w:hint="eastAsia"/>
        </w:rPr>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74"/>
                    <a:stretch>
                      <a:fillRect/>
                    </a:stretch>
                  </pic:blipFill>
                  <pic:spPr>
                    <a:xfrm>
                      <a:off x="0" y="0"/>
                      <a:ext cx="5760085" cy="2870054"/>
                    </a:xfrm>
                    <a:prstGeom prst="rect">
                      <a:avLst/>
                    </a:prstGeom>
                  </pic:spPr>
                </pic:pic>
              </a:graphicData>
            </a:graphic>
          </wp:inline>
        </w:drawing>
      </w:r>
    </w:p>
    <w:p w14:paraId="35537BE8">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1556B0E8">
      <w:pPr>
        <w:snapToGrid w:val="0"/>
        <w:spacing w:line="312" w:lineRule="auto"/>
        <w:rPr>
          <w:rFonts w:hint="eastAsia"/>
        </w:rPr>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75"/>
                    <a:stretch>
                      <a:fillRect/>
                    </a:stretch>
                  </pic:blipFill>
                  <pic:spPr>
                    <a:xfrm>
                      <a:off x="0" y="0"/>
                      <a:ext cx="5760085" cy="2853375"/>
                    </a:xfrm>
                    <a:prstGeom prst="rect">
                      <a:avLst/>
                    </a:prstGeom>
                  </pic:spPr>
                </pic:pic>
              </a:graphicData>
            </a:graphic>
          </wp:inline>
        </w:drawing>
      </w:r>
    </w:p>
    <w:p w14:paraId="42558E09">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135672AD">
      <w:pPr>
        <w:pStyle w:val="18"/>
      </w:pPr>
    </w:p>
    <w:p w14:paraId="369D9CD7">
      <w:pPr>
        <w:rPr>
          <w:rFonts w:hint="eastAsia"/>
        </w:rPr>
      </w:pPr>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76"/>
                    <a:stretch>
                      <a:fillRect/>
                    </a:stretch>
                  </pic:blipFill>
                  <pic:spPr>
                    <a:xfrm>
                      <a:off x="0" y="0"/>
                      <a:ext cx="5760085" cy="2810122"/>
                    </a:xfrm>
                    <a:prstGeom prst="rect">
                      <a:avLst/>
                    </a:prstGeom>
                  </pic:spPr>
                </pic:pic>
              </a:graphicData>
            </a:graphic>
          </wp:inline>
        </w:drawing>
      </w:r>
    </w:p>
    <w:p w14:paraId="24DA5575">
      <w:pPr>
        <w:pStyle w:val="18"/>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77"/>
                    <a:stretch>
                      <a:fillRect/>
                    </a:stretch>
                  </pic:blipFill>
                  <pic:spPr>
                    <a:xfrm>
                      <a:off x="0" y="0"/>
                      <a:ext cx="5760085" cy="2820042"/>
                    </a:xfrm>
                    <a:prstGeom prst="rect">
                      <a:avLst/>
                    </a:prstGeom>
                  </pic:spPr>
                </pic:pic>
              </a:graphicData>
            </a:graphic>
          </wp:inline>
        </w:drawing>
      </w:r>
    </w:p>
    <w:p w14:paraId="04C2D69C">
      <w:pPr>
        <w:pStyle w:val="18"/>
      </w:pPr>
    </w:p>
    <w:p w14:paraId="585265B0">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6A5AAC88">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1A2B1E10">
      <w:pPr>
        <w:pStyle w:val="18"/>
      </w:pPr>
      <w:r>
        <w:rPr>
          <w:rFonts w:hint="eastAsia" w:hAnsi="宋体" w:eastAsia="宋体" w:cs="宋体"/>
          <w:b/>
          <w:bCs/>
          <w:color w:val="000000"/>
          <w:sz w:val="24"/>
          <w:szCs w:val="28"/>
          <w:highlight w:val="yellow"/>
        </w:rPr>
        <w:t>2.配套能力“供货类别”填“工艺设备”，业务主管部门选择“工艺工匠研究院”。</w:t>
      </w:r>
    </w:p>
    <w:p w14:paraId="40087556">
      <w:pPr>
        <w:pStyle w:val="18"/>
        <w:sectPr>
          <w:headerReference r:id="rId42" w:type="first"/>
          <w:footerReference r:id="rId44" w:type="first"/>
          <w:headerReference r:id="rId41" w:type="default"/>
          <w:footerReference r:id="rId43" w:type="default"/>
          <w:pgSz w:w="11906" w:h="16838"/>
          <w:pgMar w:top="1588" w:right="1418" w:bottom="1134" w:left="1418" w:header="851" w:footer="992" w:gutter="0"/>
          <w:cols w:space="720" w:num="1"/>
          <w:titlePg/>
          <w:docGrid w:type="lines" w:linePitch="312" w:charSpace="0"/>
        </w:sectPr>
      </w:pPr>
    </w:p>
    <w:p w14:paraId="0197F5E9">
      <w:pPr>
        <w:pStyle w:val="18"/>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475A4D2B">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7"/>
          <w:rFonts w:hint="eastAsia" w:ascii="宋体" w:hAnsi="宋体" w:eastAsia="宋体" w:cs="宋体"/>
          <w:sz w:val="24"/>
          <w:szCs w:val="24"/>
        </w:rPr>
        <w:t>https://ecaitong.sinotruk.com:8012/</w:t>
      </w:r>
      <w:r>
        <w:rPr>
          <w:rStyle w:val="47"/>
          <w:rFonts w:hint="eastAsia" w:ascii="宋体" w:hAnsi="宋体" w:eastAsia="宋体" w:cs="宋体"/>
          <w:sz w:val="24"/>
          <w:szCs w:val="24"/>
        </w:rPr>
        <w:fldChar w:fldCharType="end"/>
      </w:r>
    </w:p>
    <w:p w14:paraId="16090A30">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4CDBA96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14726A0D">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EBFDE94">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2A818F56">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0A4C68A4">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78"/>
                    <a:stretch>
                      <a:fillRect/>
                    </a:stretch>
                  </pic:blipFill>
                  <pic:spPr>
                    <a:xfrm>
                      <a:off x="0" y="0"/>
                      <a:ext cx="5760085" cy="2269864"/>
                    </a:xfrm>
                    <a:prstGeom prst="rect">
                      <a:avLst/>
                    </a:prstGeom>
                  </pic:spPr>
                </pic:pic>
              </a:graphicData>
            </a:graphic>
          </wp:inline>
        </w:drawing>
      </w:r>
    </w:p>
    <w:p w14:paraId="581575B9">
      <w:pPr>
        <w:rPr>
          <w:rFonts w:hint="eastAsia"/>
        </w:rPr>
      </w:pPr>
    </w:p>
    <w:p w14:paraId="2D8758A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0B88D9D">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78674251">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79"/>
                    <a:stretch>
                      <a:fillRect/>
                    </a:stretch>
                  </pic:blipFill>
                  <pic:spPr>
                    <a:xfrm>
                      <a:off x="0" y="0"/>
                      <a:ext cx="5760085" cy="2125673"/>
                    </a:xfrm>
                    <a:prstGeom prst="rect">
                      <a:avLst/>
                    </a:prstGeom>
                  </pic:spPr>
                </pic:pic>
              </a:graphicData>
            </a:graphic>
          </wp:inline>
        </w:drawing>
      </w:r>
    </w:p>
    <w:p w14:paraId="3A0ECA86">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68C6EFD2">
      <w:pPr>
        <w:pStyle w:val="18"/>
      </w:pPr>
      <w:r>
        <w:rPr>
          <w:rFonts w:hint="eastAsia" w:hAnsi="宋体" w:eastAsia="宋体" w:cs="宋体"/>
          <w:color w:val="000000"/>
          <w:sz w:val="24"/>
          <w:szCs w:val="28"/>
          <w:highlight w:val="yellow"/>
        </w:rPr>
        <w:t>注意：系统内的投标报价单位为“万元”，如开标现场发现填错报价，即直接淘汰。</w:t>
      </w:r>
    </w:p>
    <w:p w14:paraId="30B2836B">
      <w:pPr>
        <w:pStyle w:val="6"/>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80"/>
                    <a:stretch>
                      <a:fillRect/>
                    </a:stretch>
                  </pic:blipFill>
                  <pic:spPr>
                    <a:xfrm>
                      <a:off x="0" y="0"/>
                      <a:ext cx="5490210" cy="2669498"/>
                    </a:xfrm>
                    <a:prstGeom prst="rect">
                      <a:avLst/>
                    </a:prstGeom>
                  </pic:spPr>
                </pic:pic>
              </a:graphicData>
            </a:graphic>
          </wp:inline>
        </w:drawing>
      </w:r>
    </w:p>
    <w:p w14:paraId="5FFC179C">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4552640">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73D70ED6">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32797865">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81"/>
                    <a:stretch>
                      <a:fillRect/>
                    </a:stretch>
                  </pic:blipFill>
                  <pic:spPr>
                    <a:xfrm>
                      <a:off x="0" y="0"/>
                      <a:ext cx="5490210" cy="1992743"/>
                    </a:xfrm>
                    <a:prstGeom prst="rect">
                      <a:avLst/>
                    </a:prstGeom>
                  </pic:spPr>
                </pic:pic>
              </a:graphicData>
            </a:graphic>
          </wp:inline>
        </w:drawing>
      </w:r>
    </w:p>
    <w:p w14:paraId="4538B8A1">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3F1C5FF">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7E557A3F">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177ED54A">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3B636FFB">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F9DB8F2">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4AD9A5B">
      <w:pPr>
        <w:pStyle w:val="6"/>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82"/>
                    <a:stretch>
                      <a:fillRect/>
                    </a:stretch>
                  </pic:blipFill>
                  <pic:spPr>
                    <a:xfrm>
                      <a:off x="0" y="0"/>
                      <a:ext cx="5490210" cy="2544669"/>
                    </a:xfrm>
                    <a:prstGeom prst="rect">
                      <a:avLst/>
                    </a:prstGeom>
                  </pic:spPr>
                </pic:pic>
              </a:graphicData>
            </a:graphic>
          </wp:inline>
        </w:drawing>
      </w:r>
    </w:p>
    <w:p w14:paraId="5043D9E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3BFA53D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4C5AD4DF">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7C2AE906">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83"/>
                    <a:stretch>
                      <a:fillRect/>
                    </a:stretch>
                  </pic:blipFill>
                  <pic:spPr>
                    <a:xfrm>
                      <a:off x="0" y="0"/>
                      <a:ext cx="5760085" cy="1956600"/>
                    </a:xfrm>
                    <a:prstGeom prst="rect">
                      <a:avLst/>
                    </a:prstGeom>
                  </pic:spPr>
                </pic:pic>
              </a:graphicData>
            </a:graphic>
          </wp:inline>
        </w:drawing>
      </w:r>
    </w:p>
    <w:p w14:paraId="775766F6">
      <w:pPr>
        <w:pStyle w:val="18"/>
        <w:rPr>
          <w:rFonts w:hint="eastAsia" w:hAnsi="宋体" w:eastAsia="宋体" w:cs="Times New Roman"/>
          <w:b/>
          <w:color w:val="000000"/>
          <w:sz w:val="24"/>
          <w:szCs w:val="24"/>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08F3F75-17F3-4BA6-98E0-54F5219217A3}"/>
  </w:font>
  <w:font w:name="黑体">
    <w:panose1 w:val="02010609060101010101"/>
    <w:charset w:val="86"/>
    <w:family w:val="auto"/>
    <w:pitch w:val="default"/>
    <w:sig w:usb0="800002BF" w:usb1="38CF7CFA" w:usb2="00000016" w:usb3="00000000" w:csb0="00040001" w:csb1="00000000"/>
    <w:embedRegular r:id="rId2" w:fontKey="{CBA46566-4A11-4AB6-9BE2-F3660F0171D6}"/>
  </w:font>
  <w:font w:name="Courier New">
    <w:panose1 w:val="02070309020205020404"/>
    <w:charset w:val="01"/>
    <w:family w:val="modern"/>
    <w:pitch w:val="default"/>
    <w:sig w:usb0="E0002EFF" w:usb1="C0007843" w:usb2="00000009" w:usb3="00000000" w:csb0="400001FF" w:csb1="FFFF0000"/>
    <w:embedRegular r:id="rId3" w:fontKey="{4E19BE61-77EB-4415-8BAB-F36FFF816D16}"/>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4" w:fontKey="{203AE28C-8C47-4CDA-8F6A-A56A220E0FB5}"/>
  </w:font>
  <w:font w:name="等线">
    <w:panose1 w:val="02010600030101010101"/>
    <w:charset w:val="86"/>
    <w:family w:val="auto"/>
    <w:pitch w:val="default"/>
    <w:sig w:usb0="A00002BF" w:usb1="38CF7CFA" w:usb2="00000016" w:usb3="00000000" w:csb0="0004000F" w:csb1="00000000"/>
    <w:embedRegular r:id="rId5" w:fontKey="{D4CEB6C3-9043-4151-AE47-BFA0A7703B05}"/>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embedRegular r:id="rId6" w:fontKey="{B7E4C371-3ED7-4169-9EAF-6CD445C68A0E}"/>
  </w:font>
  <w:font w:name="仿宋_GB2312">
    <w:altName w:val="仿宋"/>
    <w:panose1 w:val="00000000000000000000"/>
    <w:charset w:val="86"/>
    <w:family w:val="modern"/>
    <w:pitch w:val="default"/>
    <w:sig w:usb0="00000000" w:usb1="00000000" w:usb2="00000000" w:usb3="00000000" w:csb0="00040000" w:csb1="00000000"/>
    <w:embedRegular r:id="rId7" w:fontKey="{6F5CDBDD-E2D3-4557-A5FD-475483A853D5}"/>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embedRegular r:id="rId8" w:fontKey="{F15BEE24-FFF8-4CBD-A276-CF0C38A0159D}"/>
  </w:font>
  <w:font w:name="楷体">
    <w:panose1 w:val="02010609060101010101"/>
    <w:charset w:val="86"/>
    <w:family w:val="modern"/>
    <w:pitch w:val="default"/>
    <w:sig w:usb0="800002BF" w:usb1="38CF7CFA" w:usb2="00000016" w:usb3="00000000" w:csb0="00040001" w:csb1="00000000"/>
    <w:embedRegular r:id="rId9" w:fontKey="{0FC70D37-36D6-4EF7-A432-2CC02DEB04A0}"/>
  </w:font>
  <w:font w:name="华文仿宋">
    <w:panose1 w:val="02010600040101010101"/>
    <w:charset w:val="86"/>
    <w:family w:val="auto"/>
    <w:pitch w:val="default"/>
    <w:sig w:usb0="00000287" w:usb1="080F0000" w:usb2="00000000" w:usb3="00000000" w:csb0="0004009F" w:csb1="DFD70000"/>
    <w:embedRegular r:id="rId10" w:fontKey="{932F83AB-D39C-4405-8920-CF0F41D40B38}"/>
  </w:font>
  <w:font w:name="方正小标宋简体">
    <w:panose1 w:val="02000000000000000000"/>
    <w:charset w:val="86"/>
    <w:family w:val="script"/>
    <w:pitch w:val="default"/>
    <w:sig w:usb0="A00002BF" w:usb1="184F6CFA" w:usb2="00000012" w:usb3="00000000" w:csb0="00040001" w:csb1="00000000"/>
    <w:embedRegular r:id="rId11" w:fontKey="{B886C1A7-A590-4139-AA1B-84D58365DBE9}"/>
  </w:font>
  <w:font w:name="Wingdings 2">
    <w:panose1 w:val="05020102010507070707"/>
    <w:charset w:val="02"/>
    <w:family w:val="roman"/>
    <w:pitch w:val="default"/>
    <w:sig w:usb0="00000000" w:usb1="00000000" w:usb2="00000000" w:usb3="00000000" w:csb0="80000000" w:csb1="00000000"/>
    <w:embedRegular r:id="rId12" w:fontKey="{F6092A54-0FCB-41BA-8722-37C2D1284C84}"/>
  </w:font>
  <w:font w:name="??">
    <w:altName w:val="Times New Roman"/>
    <w:panose1 w:val="00000000000000000000"/>
    <w:charset w:val="00"/>
    <w:family w:val="roman"/>
    <w:pitch w:val="default"/>
    <w:sig w:usb0="00000000" w:usb1="00000000" w:usb2="00000000" w:usb3="00000000" w:csb0="00000001" w:csb1="00000000"/>
  </w:font>
  <w:font w:name="WPSEMBED1">
    <w:panose1 w:val="02010600040101010101"/>
    <w:charset w:val="86"/>
    <w:family w:val="auto"/>
    <w:pitch w:val="default"/>
    <w:sig w:usb0="00000287" w:usb1="080F0000" w:usb2="00000000" w:usb3="00000000" w:csb0="0004009F" w:csb1="DFD7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 w:name="WPSEMBED2">
    <w:panose1 w:val="050201020105070707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C6493">
    <w:pPr>
      <w:pStyle w:val="23"/>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F5BA7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32F5BA7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F08890">
    <w:pPr>
      <w:pStyle w:val="23"/>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008F94">
                          <w:pPr>
                            <w:pStyle w:val="23"/>
                            <w:rPr>
                              <w:rFonts w:hint="eastAsia"/>
                            </w:rPr>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56008F94">
                    <w:pPr>
                      <w:pStyle w:val="23"/>
                      <w:rPr>
                        <w:rFonts w:hint="eastAsia"/>
                      </w:rPr>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F3D140">
    <w:pPr>
      <w:pStyle w:val="23"/>
      <w:jc w:val="center"/>
      <w:rPr>
        <w:rFonts w:hint="eastAsia"/>
      </w:rP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EA9647">
                          <w:pPr>
                            <w:pStyle w:val="23"/>
                            <w:rPr>
                              <w:rFonts w:hint="eastAsia"/>
                            </w:rPr>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40EA9647">
                    <w:pPr>
                      <w:pStyle w:val="23"/>
                      <w:rPr>
                        <w:rFonts w:hint="eastAsia"/>
                      </w:rPr>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0A6A6B">
    <w:pPr>
      <w:pStyle w:val="23"/>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913BBD">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1F913BBD">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FD69B2">
    <w:pPr>
      <w:pStyle w:val="23"/>
      <w:jc w:val="center"/>
      <w:rPr>
        <w:rFonts w:hint="eastAsia"/>
      </w:rPr>
    </w:pPr>
    <w: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F494C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23F494C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307FB0">
    <w:pPr>
      <w:pStyle w:val="23"/>
      <w:rPr>
        <w:rFonts w:hint="eastAsia"/>
      </w:rPr>
    </w:pPr>
    <w: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2C0A7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2B2C0A7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EE80D5">
    <w:pPr>
      <w:pStyle w:val="23"/>
      <w:jc w:val="center"/>
      <w:rPr>
        <w:rFonts w:hint="eastAsia"/>
      </w:rPr>
    </w:pPr>
    <w: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4033DB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54033DB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D53EA8">
    <w:pPr>
      <w:pStyle w:val="23"/>
      <w:rPr>
        <w:rFonts w:hint="eastAsia"/>
      </w:rPr>
    </w:pPr>
    <w: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59E05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1459E05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3367A2">
    <w:pPr>
      <w:pStyle w:val="23"/>
      <w:jc w:val="center"/>
      <w:rPr>
        <w:rFonts w:hint="eastAsia"/>
      </w:rPr>
    </w:pPr>
    <w: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E27578">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63E27578">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EA6675">
    <w:pPr>
      <w:pStyle w:val="23"/>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CAA94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16CAA94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4958D3">
    <w:pPr>
      <w:pStyle w:val="23"/>
      <w:jc w:val="center"/>
      <w:rPr>
        <w:rFonts w:hint="eastAsia"/>
      </w:rPr>
    </w:pPr>
    <w: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023C7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67023C7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6483B9">
    <w:pPr>
      <w:pStyle w:val="23"/>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424550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5424550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55E609">
    <w:pPr>
      <w:spacing w:line="182" w:lineRule="auto"/>
      <w:ind w:left="6866"/>
      <w:rPr>
        <w:rFonts w:hint="eastAsia" w:ascii="宋体" w:hAnsi="宋体" w:eastAsia="宋体" w:cs="宋体"/>
        <w:sz w:val="18"/>
        <w:szCs w:val="18"/>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3E3E81">
    <w:pPr>
      <w:pStyle w:val="23"/>
      <w:rPr>
        <w:rFonts w:hint="eastAsia"/>
      </w:rPr>
    </w:pPr>
    <w: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09384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5F09384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93CB22">
    <w:pPr>
      <w:pStyle w:val="23"/>
      <w:jc w:val="center"/>
      <w:rPr>
        <w:rFonts w:hint="eastAsia"/>
      </w:rPr>
    </w:pPr>
    <w:r>
      <mc:AlternateContent>
        <mc:Choice Requires="wps">
          <w:drawing>
            <wp:anchor distT="0" distB="0" distL="114300" distR="114300" simplePos="0" relativeHeight="2516858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DE9F9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58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37DE9F9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E89354">
    <w:pPr>
      <w:spacing w:line="182" w:lineRule="auto"/>
      <w:ind w:left="6866"/>
      <w:rPr>
        <w:rFonts w:hint="eastAsia" w:ascii="宋体" w:hAnsi="宋体" w:eastAsia="宋体" w:cs="宋体"/>
        <w:sz w:val="18"/>
        <w:szCs w:val="18"/>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3E8EAE">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FCBA7F">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D5B49A">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282620">
    <w:pPr>
      <w:spacing w:line="182" w:lineRule="auto"/>
      <w:ind w:left="6857"/>
      <w:rPr>
        <w:rFonts w:hint="eastAsia"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D184BC">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889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971441">
                          <w:pPr>
                            <w:pStyle w:val="23"/>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89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3C971441">
                    <w:pPr>
                      <w:pStyle w:val="23"/>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3A3435">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899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E5B066">
                          <w:pPr>
                            <w:pStyle w:val="23"/>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99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40E5B066">
                    <w:pPr>
                      <w:pStyle w:val="23"/>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136C7A">
    <w:pPr>
      <w:pStyle w:val="23"/>
      <w:tabs>
        <w:tab w:val="clear" w:pos="4153"/>
      </w:tabs>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C76407">
                          <w:pPr>
                            <w:pStyle w:val="23"/>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10C76407">
                    <w:pPr>
                      <w:pStyle w:val="23"/>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97BADF">
    <w:pPr>
      <w:pStyle w:val="23"/>
      <w:jc w:val="center"/>
      <w:rPr>
        <w:rFonts w:hint="eastAsia"/>
      </w:rPr>
    </w:pPr>
    <w:r>
      <mc:AlternateContent>
        <mc:Choice Requires="wps">
          <w:drawing>
            <wp:anchor distT="0" distB="0" distL="114300" distR="114300" simplePos="0" relativeHeight="2516869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CF8E48">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69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1DCF8E48">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D71365">
    <w:pPr>
      <w:pStyle w:val="23"/>
      <w:jc w:val="center"/>
      <w:rPr>
        <w:rFonts w:hint="eastAsia"/>
      </w:rPr>
    </w:pPr>
    <w:r>
      <mc:AlternateContent>
        <mc:Choice Requires="wps">
          <w:drawing>
            <wp:anchor distT="0" distB="0" distL="114300" distR="114300" simplePos="0" relativeHeight="2516910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ACD1C2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910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14:paraId="5ACD1C2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C8B31F">
    <w:pPr>
      <w:pStyle w:val="23"/>
      <w:jc w:val="center"/>
      <w:rPr>
        <w:rFonts w:hint="eastAsia"/>
      </w:rPr>
    </w:pPr>
    <w:r>
      <mc:AlternateContent>
        <mc:Choice Requires="wps">
          <w:drawing>
            <wp:anchor distT="0" distB="0" distL="114300" distR="114300" simplePos="0" relativeHeight="2516879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F469F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79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5F469F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467797">
    <w:pPr>
      <w:pStyle w:val="23"/>
      <w:jc w:val="center"/>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9E257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29E257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8C2D9B">
    <w:pPr>
      <w:pStyle w:val="23"/>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3F831A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u1VaEzAgAAZAQAAA4AAAAAAAAAAQAgAAAAHwEAAGRycy9lMm9Eb2MueG1sUEsF&#10;BgAAAAAGAAYAWQEAAMQFAAAAAA==&#10;">
              <v:fill on="f" focussize="0,0"/>
              <v:stroke on="f" weight="0.5pt"/>
              <v:imagedata o:title=""/>
              <o:lock v:ext="edit" aspectratio="f"/>
              <v:textbox inset="0mm,0mm,0mm,0mm" style="mso-fit-shape-to-text:t;">
                <w:txbxContent>
                  <w:p w14:paraId="03F831A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993DC0">
    <w:pPr>
      <w:pStyle w:val="23"/>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2A030A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7b30z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V7b30zAgAAZQQAAA4AAAAAAAAAAQAgAAAAHwEAAGRycy9lMm9Eb2MueG1sUEsF&#10;BgAAAAAGAAYAWQEAAMQFAAAAAA==&#10;">
              <v:fill on="f" focussize="0,0"/>
              <v:stroke on="f" weight="0.5pt"/>
              <v:imagedata o:title=""/>
              <o:lock v:ext="edit" aspectratio="f"/>
              <v:textbox inset="0mm,0mm,0mm,0mm" style="mso-fit-shape-to-text:t;">
                <w:txbxContent>
                  <w:p w14:paraId="52A030A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28</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732B4">
    <w:pPr>
      <w:pStyle w:val="23"/>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C52603D">
                          <w:pPr>
                            <w:pStyle w:val="23"/>
                            <w:rPr>
                              <w:rFonts w:hint="eastAsia"/>
                            </w:rPr>
                          </w:pPr>
                          <w:r>
                            <w:fldChar w:fldCharType="begin"/>
                          </w:r>
                          <w:r>
                            <w:instrText xml:space="preserve"> PAGE  \* MERGEFORMAT </w:instrText>
                          </w:r>
                          <w:r>
                            <w:fldChar w:fldCharType="separate"/>
                          </w:r>
                          <w:r>
                            <w:t>- 2 -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1Z10szAgAAZQQAAA4AAAAAAAAAAQAgAAAAHwEAAGRycy9lMm9Eb2MueG1sUEsF&#10;BgAAAAAGAAYAWQEAAMQFAAAAAA==&#10;">
              <v:fill on="f" focussize="0,0"/>
              <v:stroke on="f" weight="0.5pt"/>
              <v:imagedata o:title=""/>
              <o:lock v:ext="edit" aspectratio="f"/>
              <v:textbox inset="0mm,0mm,0mm,0mm" style="mso-fit-shape-to-text:t;">
                <w:txbxContent>
                  <w:p w14:paraId="0C52603D">
                    <w:pPr>
                      <w:pStyle w:val="23"/>
                      <w:rPr>
                        <w:rFonts w:hint="eastAsia"/>
                      </w:rPr>
                    </w:pPr>
                    <w:r>
                      <w:fldChar w:fldCharType="begin"/>
                    </w:r>
                    <w:r>
                      <w:instrText xml:space="preserve"> PAGE  \* MERGEFORMAT </w:instrText>
                    </w:r>
                    <w:r>
                      <w:fldChar w:fldCharType="separate"/>
                    </w:r>
                    <w:r>
                      <w:t>- 2 -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78EC7">
    <w:pPr>
      <w:pStyle w:val="23"/>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7CB056">
                          <w:pPr>
                            <w:pStyle w:val="23"/>
                            <w:rPr>
                              <w:rFonts w:hint="eastAsia"/>
                            </w:rPr>
                          </w:pPr>
                          <w:r>
                            <w:t xml:space="preserve">第 </w:t>
                          </w:r>
                          <w:r>
                            <w:fldChar w:fldCharType="begin"/>
                          </w:r>
                          <w:r>
                            <w:instrText xml:space="preserve"> PAGE  \* MERGEFORMAT </w:instrText>
                          </w:r>
                          <w:r>
                            <w:fldChar w:fldCharType="separate"/>
                          </w:r>
                          <w:r>
                            <w:t>0</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4"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p9teNLgIAAFcEAAAOAAAAAAAAAAEAIAAAAB8BAABkcnMvZTJvRG9jLnhtbFBLBQYAAAAA&#10;BgAGAFkBAAC/BQAAAAA=&#10;">
              <v:fill on="f" focussize="0,0"/>
              <v:stroke on="f" weight="0.5pt"/>
              <v:imagedata o:title=""/>
              <o:lock v:ext="edit" aspectratio="f"/>
              <v:textbox inset="0mm,0mm,0mm,0mm" style="mso-fit-shape-to-text:t;">
                <w:txbxContent>
                  <w:p w14:paraId="2D7CB056">
                    <w:pPr>
                      <w:pStyle w:val="23"/>
                      <w:rPr>
                        <w:rFonts w:hint="eastAsia"/>
                      </w:rPr>
                    </w:pPr>
                    <w:r>
                      <w:t xml:space="preserve">第 </w:t>
                    </w:r>
                    <w:r>
                      <w:fldChar w:fldCharType="begin"/>
                    </w:r>
                    <w:r>
                      <w:instrText xml:space="preserve"> PAGE  \* MERGEFORMAT </w:instrText>
                    </w:r>
                    <w:r>
                      <w:fldChar w:fldCharType="separate"/>
                    </w:r>
                    <w:r>
                      <w:t>0</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566E23">
                          <w:pPr>
                            <w:pStyle w:val="23"/>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1c48UtAgAAVgQAAA4AAAAAAAAAAQAgAAAAHwEAAGRycy9lMm9Eb2MueG1sUEsFBgAAAAAG&#10;AAYAWQEAAL4FAAAAAA==&#10;">
              <v:fill on="f" focussize="0,0"/>
              <v:stroke on="f" weight="0.5pt"/>
              <v:imagedata o:title=""/>
              <o:lock v:ext="edit" aspectratio="f"/>
              <v:textbox inset="0mm,0mm,0mm,0mm" style="mso-fit-shape-to-text:t;">
                <w:txbxContent>
                  <w:p w14:paraId="2B566E23">
                    <w:pPr>
                      <w:pStyle w:val="23"/>
                      <w:rPr>
                        <w:rFonts w:hint="eastAsia"/>
                      </w:rPr>
                    </w:pP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F073E3">
                          <w:pPr>
                            <w:pStyle w:val="23"/>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l32v0sAgAAVg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Xfa/SwCAABWBAAADgAAAAAAAAABACAAAAAfAQAAZHJzL2Uyb0RvYy54bWxQSwUGAAAAAAYA&#10;BgBZAQAAvQUAAAAA&#10;">
              <v:fill on="f" focussize="0,0"/>
              <v:stroke on="f" weight="0.5pt"/>
              <v:imagedata o:title=""/>
              <o:lock v:ext="edit" aspectratio="f"/>
              <v:textbox inset="0mm,0mm,0mm,0mm" style="mso-fit-shape-to-text:t;">
                <w:txbxContent>
                  <w:p w14:paraId="10F073E3">
                    <w:pPr>
                      <w:pStyle w:val="23"/>
                      <w:rPr>
                        <w:rFonts w:hint="eastAsia"/>
                      </w:rPr>
                    </w:pP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41" name="文本框 6"/>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7EC3E9">
                          <w:pPr>
                            <w:pStyle w:val="23"/>
                            <w:rPr>
                              <w:rFonts w:hint="eastAsia"/>
                            </w:rPr>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6" o:spid="_x0000_s1026" o:spt="202" type="#_x0000_t202" style="position:absolute;left:0pt;margin-left:222.35pt;margin-top:0.25pt;height:18.75pt;width:59.25pt;mso-position-horizontal-relative:margin;z-index:251660288;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fMXktYAAAAHAQAADwAAAAAAAAABACAAAAAiAAAAZHJzL2Rvd25yZXYueG1s&#10;UEsBAhQAFAAAAAgAh07iQAyD538zAgAAVgQAAA4AAAAAAAAAAQAgAAAAJQEAAGRycy9lMm9Eb2Mu&#10;eG1sUEsFBgAAAAAGAAYAWQEAAMoFAAAAAA==&#10;">
              <v:fill on="f" focussize="0,0"/>
              <v:stroke on="f" weight="0.5pt"/>
              <v:imagedata o:title=""/>
              <o:lock v:ext="edit" aspectratio="f"/>
              <v:textbox inset="0mm,0mm,0mm,0mm">
                <w:txbxContent>
                  <w:p w14:paraId="297EC3E9">
                    <w:pPr>
                      <w:pStyle w:val="23"/>
                      <w:rPr>
                        <w:rFonts w:hint="eastAsia"/>
                      </w:rPr>
                    </w:pPr>
                  </w:p>
                </w:txbxContent>
              </v:textbox>
            </v:shape>
          </w:pict>
        </mc:Fallback>
      </mc:AlternateContent>
    </w:r>
  </w:p>
  <w:p w14:paraId="4BFFAAEE">
    <w:pPr>
      <w:pStyle w:val="23"/>
      <w:rPr>
        <w:rFonts w:hint="eastAsia"/>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83F50D">
    <w:pPr>
      <w:pStyle w:val="23"/>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4F7B29">
                          <w:pPr>
                            <w:pStyle w:val="23"/>
                            <w:rPr>
                              <w:rFonts w:hint="eastAsia"/>
                            </w:rPr>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yDbvMtAgAAVg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yDbvMtAgAAVgQAAA4AAAAAAAAAAQAgAAAAHwEAAGRycy9lMm9Eb2MueG1sUEsFBgAAAAAG&#10;AAYAWQEAAL4FAAAAAA==&#10;">
              <v:fill on="f" focussize="0,0"/>
              <v:stroke on="f" weight="0.5pt"/>
              <v:imagedata o:title=""/>
              <o:lock v:ext="edit" aspectratio="f"/>
              <v:textbox inset="0mm,0mm,0mm,0mm" style="mso-fit-shape-to-text:t;">
                <w:txbxContent>
                  <w:p w14:paraId="464F7B29">
                    <w:pPr>
                      <w:pStyle w:val="23"/>
                      <w:rPr>
                        <w:rFonts w:hint="eastAsia"/>
                      </w:rPr>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1DE3936">
                          <w:pPr>
                            <w:pStyle w:val="23"/>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gIHTgtAgAAVg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gIHTgtAgAAVgQAAA4AAAAAAAAAAQAgAAAAHwEAAGRycy9lMm9Eb2MueG1sUEsFBgAAAAAG&#10;AAYAWQEAAL4FAAAAAA==&#10;">
              <v:fill on="f" focussize="0,0"/>
              <v:stroke on="f" weight="0.5pt"/>
              <v:imagedata o:title=""/>
              <o:lock v:ext="edit" aspectratio="f"/>
              <v:textbox inset="0mm,0mm,0mm,0mm" style="mso-fit-shape-to-text:t;">
                <w:txbxContent>
                  <w:p w14:paraId="11DE3936">
                    <w:pPr>
                      <w:pStyle w:val="23"/>
                      <w:rPr>
                        <w:rFonts w:hint="eastAsia"/>
                      </w:rPr>
                    </w:pPr>
                  </w:p>
                </w:txbxContent>
              </v:textbox>
            </v:shape>
          </w:pict>
        </mc:Fallback>
      </mc:AlternateContent>
    </w: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D07E43">
                          <w:pPr>
                            <w:pStyle w:val="23"/>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YnLvItAgAAVgQAAA4AAAAAAAAAAQAgAAAAHwEAAGRycy9lMm9Eb2MueG1sUEsFBgAAAAAG&#10;AAYAWQEAAL4FAAAAAA==&#10;">
              <v:fill on="f" focussize="0,0"/>
              <v:stroke on="f" weight="0.5pt"/>
              <v:imagedata o:title=""/>
              <o:lock v:ext="edit" aspectratio="f"/>
              <v:textbox inset="0mm,0mm,0mm,0mm" style="mso-fit-shape-to-text:t;">
                <w:txbxContent>
                  <w:p w14:paraId="27D07E43">
                    <w:pPr>
                      <w:pStyle w:val="23"/>
                      <w:rPr>
                        <w:rFonts w:hint="eastAsia"/>
                      </w:rPr>
                    </w:pPr>
                  </w:p>
                </w:txbxContent>
              </v:textbox>
            </v:shape>
          </w:pict>
        </mc:Fallback>
      </mc:AlternateContent>
    </w:r>
    <w:r>
      <mc:AlternateContent>
        <mc:Choice Requires="wps">
          <w:drawing>
            <wp:anchor distT="0" distB="0" distL="114300" distR="114300" simplePos="0" relativeHeight="251668480"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45"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73846D">
                          <w:pPr>
                            <w:pStyle w:val="23"/>
                            <w:rPr>
                              <w:rFonts w:hint="eastAsia"/>
                            </w:rPr>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7" o:spid="_x0000_s1026" o:spt="202" type="#_x0000_t202" style="position:absolute;left:0pt;margin-left:222.35pt;margin-top:0.25pt;height:18.75pt;width:59.25pt;mso-position-horizontal-relative:margin;z-index:251668480;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fMXktYAAAAHAQAADwAAAAAAAAABACAAAAAiAAAAZHJzL2Rvd25yZXYueG1s&#10;UEsBAhQAFAAAAAgAh07iQNGM5ZQzAgAAVgQAAA4AAAAAAAAAAQAgAAAAJQEAAGRycy9lMm9Eb2Mu&#10;eG1sUEsFBgAAAAAGAAYAWQEAAMoFAAAAAA==&#10;">
              <v:fill on="f" focussize="0,0"/>
              <v:stroke on="f" weight="0.5pt"/>
              <v:imagedata o:title=""/>
              <o:lock v:ext="edit" aspectratio="f"/>
              <v:textbox inset="0mm,0mm,0mm,0mm">
                <w:txbxContent>
                  <w:p w14:paraId="5573846D">
                    <w:pPr>
                      <w:pStyle w:val="23"/>
                      <w:rPr>
                        <w:rFonts w:hint="eastAsia"/>
                      </w:rPr>
                    </w:pPr>
                  </w:p>
                </w:txbxContent>
              </v:textbox>
            </v:shape>
          </w:pict>
        </mc:Fallback>
      </mc:AlternateContent>
    </w:r>
  </w:p>
  <w:p w14:paraId="792D9312">
    <w:pPr>
      <w:pStyle w:val="23"/>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D70215">
    <w:pPr>
      <w:pStyle w:val="24"/>
      <w:pBdr>
        <w:bottom w:val="none" w:color="auto" w:sz="0" w:space="1"/>
      </w:pBdr>
      <w:rPr>
        <w:rFonts w:hint="eastAsia"/>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18327">
    <w:pPr>
      <w:pStyle w:val="24"/>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788DBE">
    <w:pPr>
      <w:pStyle w:val="24"/>
      <w:pBdr>
        <w:bottom w:val="none" w:color="auto" w:sz="0" w:space="0"/>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0EF0BA">
    <w:pPr>
      <w:pStyle w:val="24"/>
      <w:pBdr>
        <w:bottom w:val="none" w:color="auto" w:sz="0" w:space="0"/>
      </w:pBd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2EBDB8">
    <w:pPr>
      <w:pStyle w:val="24"/>
      <w:pBdr>
        <w:bottom w:val="none" w:color="auto" w:sz="0" w:space="0"/>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7F20B3">
    <w:pPr>
      <w:pStyle w:val="24"/>
      <w:pBdr>
        <w:bottom w:val="none" w:color="auto" w:sz="0" w:space="1"/>
      </w:pBdr>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849DBB">
    <w:pPr>
      <w:pStyle w:val="24"/>
      <w:pBdr>
        <w:bottom w:val="none" w:color="auto" w:sz="0" w:space="1"/>
      </w:pBdr>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91323D">
    <w:pPr>
      <w:pStyle w:val="24"/>
      <w:rPr>
        <w:rFonts w:hint="eastAsia"/>
      </w:rPr>
    </w:pPr>
  </w:p>
  <w:p w14:paraId="404E58B5">
    <w:pPr>
      <w:pStyle w:val="24"/>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7CDEED">
    <w:pPr>
      <w:pStyle w:val="24"/>
      <w:rPr>
        <w:rFonts w:hint="eastAsia"/>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39498A">
    <w:pPr>
      <w:pStyle w:val="24"/>
      <w:rPr>
        <w:rFonts w:hint="eastAsia"/>
      </w:rPr>
    </w:pPr>
  </w:p>
  <w:p w14:paraId="0840B40D">
    <w:pPr>
      <w:pStyle w:val="24"/>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0A14D0"/>
    <w:multiLevelType w:val="singleLevel"/>
    <w:tmpl w:val="9D0A14D0"/>
    <w:lvl w:ilvl="0" w:tentative="0">
      <w:start w:val="5"/>
      <w:numFmt w:val="chineseCounting"/>
      <w:suff w:val="space"/>
      <w:lvlText w:val="第%1章"/>
      <w:lvlJc w:val="left"/>
      <w:rPr>
        <w:rFonts w:hint="eastAsia"/>
      </w:rPr>
    </w:lvl>
  </w:abstractNum>
  <w:abstractNum w:abstractNumId="1">
    <w:nsid w:val="A6849FB6"/>
    <w:multiLevelType w:val="singleLevel"/>
    <w:tmpl w:val="A6849FB6"/>
    <w:lvl w:ilvl="0" w:tentative="0">
      <w:start w:val="2"/>
      <w:numFmt w:val="chineseCounting"/>
      <w:suff w:val="nothing"/>
      <w:lvlText w:val="%1、"/>
      <w:lvlJc w:val="left"/>
      <w:rPr>
        <w:rFonts w:hint="eastAsia"/>
      </w:rPr>
    </w:lvl>
  </w:abstractNum>
  <w:abstractNum w:abstractNumId="2">
    <w:nsid w:val="A8BAE70E"/>
    <w:multiLevelType w:val="singleLevel"/>
    <w:tmpl w:val="A8BAE70E"/>
    <w:lvl w:ilvl="0" w:tentative="0">
      <w:start w:val="1"/>
      <w:numFmt w:val="bullet"/>
      <w:lvlText w:val=""/>
      <w:lvlJc w:val="left"/>
      <w:pPr>
        <w:ind w:left="420" w:hanging="420"/>
      </w:pPr>
      <w:rPr>
        <w:rFonts w:hint="default" w:ascii="Wingdings" w:hAnsi="Wingdings"/>
      </w:rPr>
    </w:lvl>
  </w:abstractNum>
  <w:abstractNum w:abstractNumId="3">
    <w:nsid w:val="00000005"/>
    <w:multiLevelType w:val="multilevel"/>
    <w:tmpl w:val="0000000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pStyle w:val="135"/>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4">
    <w:nsid w:val="06882CE3"/>
    <w:multiLevelType w:val="multilevel"/>
    <w:tmpl w:val="06882CE3"/>
    <w:lvl w:ilvl="0" w:tentative="0">
      <w:start w:val="1"/>
      <w:numFmt w:val="decimal"/>
      <w:pStyle w:val="161"/>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5">
    <w:nsid w:val="06DF48CC"/>
    <w:multiLevelType w:val="multilevel"/>
    <w:tmpl w:val="06DF48CC"/>
    <w:lvl w:ilvl="0" w:tentative="0">
      <w:start w:val="1"/>
      <w:numFmt w:val="japaneseCounting"/>
      <w:lvlText w:val="%1、"/>
      <w:lvlJc w:val="left"/>
      <w:pPr>
        <w:ind w:left="500" w:hanging="500"/>
      </w:pPr>
      <w:rPr>
        <w:rFonts w:hint="default"/>
        <w:b/>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6">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7">
    <w:nsid w:val="39A4E181"/>
    <w:multiLevelType w:val="singleLevel"/>
    <w:tmpl w:val="39A4E181"/>
    <w:lvl w:ilvl="0" w:tentative="0">
      <w:start w:val="1"/>
      <w:numFmt w:val="bullet"/>
      <w:lvlText w:val=""/>
      <w:lvlJc w:val="left"/>
      <w:pPr>
        <w:ind w:left="420" w:hanging="420"/>
      </w:pPr>
      <w:rPr>
        <w:rFonts w:hint="default" w:ascii="Wingdings" w:hAnsi="Wingdings"/>
      </w:rPr>
    </w:lvl>
  </w:abstractNum>
  <w:abstractNum w:abstractNumId="8">
    <w:nsid w:val="446AE577"/>
    <w:multiLevelType w:val="singleLevel"/>
    <w:tmpl w:val="446AE577"/>
    <w:lvl w:ilvl="0" w:tentative="0">
      <w:start w:val="1"/>
      <w:numFmt w:val="bullet"/>
      <w:lvlText w:val=""/>
      <w:lvlJc w:val="left"/>
      <w:pPr>
        <w:ind w:left="420" w:hanging="420"/>
      </w:pPr>
      <w:rPr>
        <w:rFonts w:hint="default" w:ascii="Wingdings" w:hAnsi="Wingdings"/>
      </w:rPr>
    </w:lvl>
  </w:abstractNum>
  <w:abstractNum w:abstractNumId="9">
    <w:nsid w:val="6415197C"/>
    <w:multiLevelType w:val="singleLevel"/>
    <w:tmpl w:val="6415197C"/>
    <w:lvl w:ilvl="0" w:tentative="0">
      <w:start w:val="1"/>
      <w:numFmt w:val="decimal"/>
      <w:suff w:val="nothing"/>
      <w:lvlText w:val="%1．"/>
      <w:lvlJc w:val="left"/>
      <w:pPr>
        <w:ind w:left="0" w:firstLine="400"/>
      </w:pPr>
      <w:rPr>
        <w:rFonts w:hint="default"/>
      </w:rPr>
    </w:lvl>
  </w:abstractNum>
  <w:abstractNum w:abstractNumId="10">
    <w:nsid w:val="646260FA"/>
    <w:multiLevelType w:val="multilevel"/>
    <w:tmpl w:val="646260FA"/>
    <w:lvl w:ilvl="0" w:tentative="0">
      <w:start w:val="1"/>
      <w:numFmt w:val="decimal"/>
      <w:pStyle w:val="158"/>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1">
    <w:nsid w:val="656A6EAE"/>
    <w:multiLevelType w:val="multilevel"/>
    <w:tmpl w:val="656A6EAE"/>
    <w:lvl w:ilvl="0" w:tentative="0">
      <w:start w:val="1"/>
      <w:numFmt w:val="chineseCountingThousand"/>
      <w:pStyle w:val="16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2">
    <w:nsid w:val="6E8C6948"/>
    <w:multiLevelType w:val="singleLevel"/>
    <w:tmpl w:val="6E8C6948"/>
    <w:lvl w:ilvl="0" w:tentative="0">
      <w:start w:val="1"/>
      <w:numFmt w:val="chineseCounting"/>
      <w:suff w:val="space"/>
      <w:lvlText w:val="第%1部分"/>
      <w:lvlJc w:val="left"/>
      <w:rPr>
        <w:rFonts w:hint="eastAsia"/>
      </w:rPr>
    </w:lvl>
  </w:abstractNum>
  <w:abstractNum w:abstractNumId="13">
    <w:nsid w:val="7A612DE2"/>
    <w:multiLevelType w:val="singleLevel"/>
    <w:tmpl w:val="7A612DE2"/>
    <w:lvl w:ilvl="0" w:tentative="0">
      <w:start w:val="2"/>
      <w:numFmt w:val="decimal"/>
      <w:lvlText w:val="%1."/>
      <w:lvlJc w:val="left"/>
      <w:pPr>
        <w:tabs>
          <w:tab w:val="left" w:pos="312"/>
        </w:tabs>
      </w:pPr>
    </w:lvl>
  </w:abstractNum>
  <w:num w:numId="1">
    <w:abstractNumId w:val="3"/>
  </w:num>
  <w:num w:numId="2">
    <w:abstractNumId w:val="10"/>
  </w:num>
  <w:num w:numId="3">
    <w:abstractNumId w:val="4"/>
  </w:num>
  <w:num w:numId="4">
    <w:abstractNumId w:val="11"/>
  </w:num>
  <w:num w:numId="5">
    <w:abstractNumId w:val="12"/>
  </w:num>
  <w:num w:numId="6">
    <w:abstractNumId w:val="1"/>
  </w:num>
  <w:num w:numId="7">
    <w:abstractNumId w:val="13"/>
  </w:num>
  <w:num w:numId="8">
    <w:abstractNumId w:val="6"/>
  </w:num>
  <w:num w:numId="9">
    <w:abstractNumId w:val="2"/>
  </w:num>
  <w:num w:numId="10">
    <w:abstractNumId w:val="8"/>
  </w:num>
  <w:num w:numId="11">
    <w:abstractNumId w:val="5"/>
  </w:num>
  <w:num w:numId="12">
    <w:abstractNumId w:val="9"/>
  </w:num>
  <w:num w:numId="13">
    <w:abstractNumId w:val="7"/>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M4YzFjOWU0Nzg0NmRkMzI1ZDk2YmYxNGU0NmE0YTUifQ=="/>
    <w:docVar w:name="KSO_WPS_MARK_KEY" w:val="288773bf-0df4-413a-9f38-c1906dd68f40"/>
  </w:docVars>
  <w:rsids>
    <w:rsidRoot w:val="0056018A"/>
    <w:rsid w:val="000139F5"/>
    <w:rsid w:val="00022B06"/>
    <w:rsid w:val="0003340E"/>
    <w:rsid w:val="00036836"/>
    <w:rsid w:val="00047097"/>
    <w:rsid w:val="0005777A"/>
    <w:rsid w:val="00065382"/>
    <w:rsid w:val="00080223"/>
    <w:rsid w:val="000A5309"/>
    <w:rsid w:val="000D6544"/>
    <w:rsid w:val="000D6A51"/>
    <w:rsid w:val="000F45A3"/>
    <w:rsid w:val="001C1EE3"/>
    <w:rsid w:val="001C713C"/>
    <w:rsid w:val="001D75B9"/>
    <w:rsid w:val="00200F05"/>
    <w:rsid w:val="00201505"/>
    <w:rsid w:val="00220056"/>
    <w:rsid w:val="002626ED"/>
    <w:rsid w:val="00265A40"/>
    <w:rsid w:val="00282FDE"/>
    <w:rsid w:val="0029130A"/>
    <w:rsid w:val="003A4540"/>
    <w:rsid w:val="003B4D7D"/>
    <w:rsid w:val="003E0AB3"/>
    <w:rsid w:val="003F4954"/>
    <w:rsid w:val="00401C42"/>
    <w:rsid w:val="004076DE"/>
    <w:rsid w:val="00460AFB"/>
    <w:rsid w:val="00470130"/>
    <w:rsid w:val="00483B0A"/>
    <w:rsid w:val="004B5126"/>
    <w:rsid w:val="004C6FB1"/>
    <w:rsid w:val="004F7838"/>
    <w:rsid w:val="00503391"/>
    <w:rsid w:val="00552960"/>
    <w:rsid w:val="0056018A"/>
    <w:rsid w:val="00567344"/>
    <w:rsid w:val="005829DC"/>
    <w:rsid w:val="005C0B4E"/>
    <w:rsid w:val="005C421F"/>
    <w:rsid w:val="005E20BB"/>
    <w:rsid w:val="005F16F0"/>
    <w:rsid w:val="0065185D"/>
    <w:rsid w:val="00680629"/>
    <w:rsid w:val="00686C52"/>
    <w:rsid w:val="006F1414"/>
    <w:rsid w:val="007432BF"/>
    <w:rsid w:val="007525BF"/>
    <w:rsid w:val="00757DF0"/>
    <w:rsid w:val="007800DC"/>
    <w:rsid w:val="007838AA"/>
    <w:rsid w:val="00783D5E"/>
    <w:rsid w:val="00785FD6"/>
    <w:rsid w:val="007B212D"/>
    <w:rsid w:val="00806A61"/>
    <w:rsid w:val="00810733"/>
    <w:rsid w:val="00824BFD"/>
    <w:rsid w:val="008453B3"/>
    <w:rsid w:val="008951DA"/>
    <w:rsid w:val="008D3B56"/>
    <w:rsid w:val="008D5CEF"/>
    <w:rsid w:val="009360F9"/>
    <w:rsid w:val="00964F00"/>
    <w:rsid w:val="009B511E"/>
    <w:rsid w:val="009E0F5E"/>
    <w:rsid w:val="00A21EB2"/>
    <w:rsid w:val="00A31561"/>
    <w:rsid w:val="00A42B17"/>
    <w:rsid w:val="00A54E95"/>
    <w:rsid w:val="00A64E43"/>
    <w:rsid w:val="00A80564"/>
    <w:rsid w:val="00A960B2"/>
    <w:rsid w:val="00AE6633"/>
    <w:rsid w:val="00B01FF1"/>
    <w:rsid w:val="00B72516"/>
    <w:rsid w:val="00B92C97"/>
    <w:rsid w:val="00BA3C70"/>
    <w:rsid w:val="00BB4E42"/>
    <w:rsid w:val="00BF0E19"/>
    <w:rsid w:val="00C01073"/>
    <w:rsid w:val="00C7536C"/>
    <w:rsid w:val="00C855F6"/>
    <w:rsid w:val="00C92F53"/>
    <w:rsid w:val="00CD5223"/>
    <w:rsid w:val="00CE4E0B"/>
    <w:rsid w:val="00CE5010"/>
    <w:rsid w:val="00CE6E17"/>
    <w:rsid w:val="00D0528A"/>
    <w:rsid w:val="00D11B37"/>
    <w:rsid w:val="00D408EF"/>
    <w:rsid w:val="00D506B7"/>
    <w:rsid w:val="00D5145C"/>
    <w:rsid w:val="00D64DAE"/>
    <w:rsid w:val="00D729A1"/>
    <w:rsid w:val="00D81BAB"/>
    <w:rsid w:val="00DB5225"/>
    <w:rsid w:val="00DD1E5E"/>
    <w:rsid w:val="00DE6417"/>
    <w:rsid w:val="00E16182"/>
    <w:rsid w:val="00E1627A"/>
    <w:rsid w:val="00E34C35"/>
    <w:rsid w:val="00E650A8"/>
    <w:rsid w:val="00E70F69"/>
    <w:rsid w:val="00E8160A"/>
    <w:rsid w:val="00E878B4"/>
    <w:rsid w:val="00EB355F"/>
    <w:rsid w:val="00EB3D00"/>
    <w:rsid w:val="00F71720"/>
    <w:rsid w:val="00FE040F"/>
    <w:rsid w:val="00FE42B3"/>
    <w:rsid w:val="00FF1C92"/>
    <w:rsid w:val="012B4701"/>
    <w:rsid w:val="014832F2"/>
    <w:rsid w:val="014D51C1"/>
    <w:rsid w:val="01714809"/>
    <w:rsid w:val="01C52478"/>
    <w:rsid w:val="025C7FF6"/>
    <w:rsid w:val="027408EE"/>
    <w:rsid w:val="02963F39"/>
    <w:rsid w:val="02B3095A"/>
    <w:rsid w:val="02BA7274"/>
    <w:rsid w:val="02C32E43"/>
    <w:rsid w:val="03251978"/>
    <w:rsid w:val="0325718A"/>
    <w:rsid w:val="03AF786B"/>
    <w:rsid w:val="03D802AA"/>
    <w:rsid w:val="042921B6"/>
    <w:rsid w:val="043B72BB"/>
    <w:rsid w:val="04450729"/>
    <w:rsid w:val="04461EC1"/>
    <w:rsid w:val="04504B3F"/>
    <w:rsid w:val="04AD02B8"/>
    <w:rsid w:val="04DE51C8"/>
    <w:rsid w:val="04DF17D4"/>
    <w:rsid w:val="05412745"/>
    <w:rsid w:val="05424E5C"/>
    <w:rsid w:val="05491761"/>
    <w:rsid w:val="055C1AD8"/>
    <w:rsid w:val="05A351AD"/>
    <w:rsid w:val="05C82B50"/>
    <w:rsid w:val="05F35BCE"/>
    <w:rsid w:val="05F4028C"/>
    <w:rsid w:val="05F9748A"/>
    <w:rsid w:val="06266F78"/>
    <w:rsid w:val="063E7B7A"/>
    <w:rsid w:val="06582413"/>
    <w:rsid w:val="067E33B8"/>
    <w:rsid w:val="06E82FCB"/>
    <w:rsid w:val="06F34B95"/>
    <w:rsid w:val="06F91350"/>
    <w:rsid w:val="07463CDF"/>
    <w:rsid w:val="07571DAC"/>
    <w:rsid w:val="07646254"/>
    <w:rsid w:val="07C25EE2"/>
    <w:rsid w:val="084859A3"/>
    <w:rsid w:val="08DD171B"/>
    <w:rsid w:val="08E64121"/>
    <w:rsid w:val="090D588C"/>
    <w:rsid w:val="091B712C"/>
    <w:rsid w:val="0942017F"/>
    <w:rsid w:val="09BA1FBB"/>
    <w:rsid w:val="09CB139F"/>
    <w:rsid w:val="09FB7366"/>
    <w:rsid w:val="0A0106F5"/>
    <w:rsid w:val="0A08601B"/>
    <w:rsid w:val="0A0E456B"/>
    <w:rsid w:val="0A112AB7"/>
    <w:rsid w:val="0A4E5482"/>
    <w:rsid w:val="0AAA504A"/>
    <w:rsid w:val="0AB06448"/>
    <w:rsid w:val="0AD71BC7"/>
    <w:rsid w:val="0AF420EB"/>
    <w:rsid w:val="0B2B2BF5"/>
    <w:rsid w:val="0B2F3908"/>
    <w:rsid w:val="0B3F6206"/>
    <w:rsid w:val="0B6E15DE"/>
    <w:rsid w:val="0B6E45C2"/>
    <w:rsid w:val="0BDE0CED"/>
    <w:rsid w:val="0BE12DB6"/>
    <w:rsid w:val="0BFC6504"/>
    <w:rsid w:val="0BFE75F6"/>
    <w:rsid w:val="0C345AD1"/>
    <w:rsid w:val="0C626CE4"/>
    <w:rsid w:val="0C7D6B81"/>
    <w:rsid w:val="0D0C2B7B"/>
    <w:rsid w:val="0D9308F8"/>
    <w:rsid w:val="0DE76C3D"/>
    <w:rsid w:val="0E1A1D85"/>
    <w:rsid w:val="0E3C6988"/>
    <w:rsid w:val="0E750568"/>
    <w:rsid w:val="0E9C3C97"/>
    <w:rsid w:val="0EEA1A9A"/>
    <w:rsid w:val="0EEC7E92"/>
    <w:rsid w:val="0F2D7A80"/>
    <w:rsid w:val="0F4277E5"/>
    <w:rsid w:val="0F4C36B0"/>
    <w:rsid w:val="0F4C5227"/>
    <w:rsid w:val="0F684B57"/>
    <w:rsid w:val="0FA75561"/>
    <w:rsid w:val="0FB104C7"/>
    <w:rsid w:val="0FB83603"/>
    <w:rsid w:val="0FCA77F1"/>
    <w:rsid w:val="0FCD5DCC"/>
    <w:rsid w:val="10043197"/>
    <w:rsid w:val="10270545"/>
    <w:rsid w:val="103409DF"/>
    <w:rsid w:val="10444021"/>
    <w:rsid w:val="108A1D4B"/>
    <w:rsid w:val="10A10111"/>
    <w:rsid w:val="10A17FC7"/>
    <w:rsid w:val="10BE093E"/>
    <w:rsid w:val="10E20BD8"/>
    <w:rsid w:val="110C7DC7"/>
    <w:rsid w:val="111B0FE9"/>
    <w:rsid w:val="112C77F4"/>
    <w:rsid w:val="114755AB"/>
    <w:rsid w:val="115F67A8"/>
    <w:rsid w:val="116C0D19"/>
    <w:rsid w:val="119604A6"/>
    <w:rsid w:val="119A7465"/>
    <w:rsid w:val="11C07DA5"/>
    <w:rsid w:val="11C2491E"/>
    <w:rsid w:val="11F36B75"/>
    <w:rsid w:val="12491386"/>
    <w:rsid w:val="12751983"/>
    <w:rsid w:val="12887F77"/>
    <w:rsid w:val="12E60579"/>
    <w:rsid w:val="12E66E96"/>
    <w:rsid w:val="12EB0F02"/>
    <w:rsid w:val="13695B36"/>
    <w:rsid w:val="1372609F"/>
    <w:rsid w:val="13D73572"/>
    <w:rsid w:val="13F476B4"/>
    <w:rsid w:val="14504752"/>
    <w:rsid w:val="145A6A37"/>
    <w:rsid w:val="1467440F"/>
    <w:rsid w:val="153955DC"/>
    <w:rsid w:val="15400323"/>
    <w:rsid w:val="15433A9B"/>
    <w:rsid w:val="154C4F1A"/>
    <w:rsid w:val="159A7EFC"/>
    <w:rsid w:val="15A93017"/>
    <w:rsid w:val="15CF64A5"/>
    <w:rsid w:val="15FC2F04"/>
    <w:rsid w:val="16181FAC"/>
    <w:rsid w:val="168756A0"/>
    <w:rsid w:val="16F94849"/>
    <w:rsid w:val="17045E51"/>
    <w:rsid w:val="172011D4"/>
    <w:rsid w:val="17252C3B"/>
    <w:rsid w:val="172E12A5"/>
    <w:rsid w:val="173F0A2E"/>
    <w:rsid w:val="17770BC2"/>
    <w:rsid w:val="17860E2F"/>
    <w:rsid w:val="17A119AA"/>
    <w:rsid w:val="180100EF"/>
    <w:rsid w:val="18586F2B"/>
    <w:rsid w:val="18C2221E"/>
    <w:rsid w:val="191368C6"/>
    <w:rsid w:val="19442DF9"/>
    <w:rsid w:val="195C6AAA"/>
    <w:rsid w:val="19A766B9"/>
    <w:rsid w:val="19CE76BA"/>
    <w:rsid w:val="19F26070"/>
    <w:rsid w:val="19F97C8B"/>
    <w:rsid w:val="1A1523CE"/>
    <w:rsid w:val="1A6A6939"/>
    <w:rsid w:val="1AA730BD"/>
    <w:rsid w:val="1AD501AD"/>
    <w:rsid w:val="1AE4302E"/>
    <w:rsid w:val="1B333D5D"/>
    <w:rsid w:val="1B587618"/>
    <w:rsid w:val="1B5F19C7"/>
    <w:rsid w:val="1B7D6926"/>
    <w:rsid w:val="1BB50A0A"/>
    <w:rsid w:val="1BF67E9C"/>
    <w:rsid w:val="1C1C709B"/>
    <w:rsid w:val="1C4F6795"/>
    <w:rsid w:val="1C812956"/>
    <w:rsid w:val="1C8D1CB8"/>
    <w:rsid w:val="1C9F6814"/>
    <w:rsid w:val="1CCB626F"/>
    <w:rsid w:val="1D1F0356"/>
    <w:rsid w:val="1D5C514E"/>
    <w:rsid w:val="1D865D14"/>
    <w:rsid w:val="1D8705EC"/>
    <w:rsid w:val="1D8E41CF"/>
    <w:rsid w:val="1DD872E4"/>
    <w:rsid w:val="1DEC0E7D"/>
    <w:rsid w:val="1E43150B"/>
    <w:rsid w:val="1EA93E80"/>
    <w:rsid w:val="1ED33FB6"/>
    <w:rsid w:val="1EE81332"/>
    <w:rsid w:val="1F32415A"/>
    <w:rsid w:val="1F542F9A"/>
    <w:rsid w:val="1F702632"/>
    <w:rsid w:val="1F7E2174"/>
    <w:rsid w:val="1FDC6454"/>
    <w:rsid w:val="20107567"/>
    <w:rsid w:val="204A0286"/>
    <w:rsid w:val="20807C50"/>
    <w:rsid w:val="20AB56C6"/>
    <w:rsid w:val="21547789"/>
    <w:rsid w:val="2176507C"/>
    <w:rsid w:val="21BE35AF"/>
    <w:rsid w:val="21C11174"/>
    <w:rsid w:val="21CF2D45"/>
    <w:rsid w:val="22244B28"/>
    <w:rsid w:val="22467FD4"/>
    <w:rsid w:val="229451FD"/>
    <w:rsid w:val="22A12DB6"/>
    <w:rsid w:val="22DB012E"/>
    <w:rsid w:val="230A01C2"/>
    <w:rsid w:val="236356D1"/>
    <w:rsid w:val="23A91C83"/>
    <w:rsid w:val="23C962E8"/>
    <w:rsid w:val="247E4FED"/>
    <w:rsid w:val="24AD78E0"/>
    <w:rsid w:val="24B30BE8"/>
    <w:rsid w:val="24E34060"/>
    <w:rsid w:val="25396B3D"/>
    <w:rsid w:val="253A0491"/>
    <w:rsid w:val="253D72D8"/>
    <w:rsid w:val="254E0478"/>
    <w:rsid w:val="25E036B2"/>
    <w:rsid w:val="25E9082A"/>
    <w:rsid w:val="25F42473"/>
    <w:rsid w:val="269C17B8"/>
    <w:rsid w:val="26AF2D79"/>
    <w:rsid w:val="26B34B91"/>
    <w:rsid w:val="26FC4F31"/>
    <w:rsid w:val="270D66E8"/>
    <w:rsid w:val="27514612"/>
    <w:rsid w:val="278B0DAB"/>
    <w:rsid w:val="279C6B0E"/>
    <w:rsid w:val="27A64735"/>
    <w:rsid w:val="27AB1F74"/>
    <w:rsid w:val="27CC4DF2"/>
    <w:rsid w:val="281864F2"/>
    <w:rsid w:val="286903EF"/>
    <w:rsid w:val="287F5DD3"/>
    <w:rsid w:val="288047CB"/>
    <w:rsid w:val="289E62FA"/>
    <w:rsid w:val="28FD6E90"/>
    <w:rsid w:val="291E2CA6"/>
    <w:rsid w:val="29331862"/>
    <w:rsid w:val="2944442E"/>
    <w:rsid w:val="299741EC"/>
    <w:rsid w:val="299E147F"/>
    <w:rsid w:val="29C32A87"/>
    <w:rsid w:val="29CF26DC"/>
    <w:rsid w:val="29DD1DDA"/>
    <w:rsid w:val="2A1C5DA0"/>
    <w:rsid w:val="2A200D39"/>
    <w:rsid w:val="2A280AB9"/>
    <w:rsid w:val="2A507EFF"/>
    <w:rsid w:val="2A56745F"/>
    <w:rsid w:val="2ADC05A4"/>
    <w:rsid w:val="2AEF2177"/>
    <w:rsid w:val="2B146D62"/>
    <w:rsid w:val="2B2015AF"/>
    <w:rsid w:val="2B532EC3"/>
    <w:rsid w:val="2B6F0D7F"/>
    <w:rsid w:val="2B8716BD"/>
    <w:rsid w:val="2B8B76FF"/>
    <w:rsid w:val="2B9C641C"/>
    <w:rsid w:val="2BC44A9D"/>
    <w:rsid w:val="2BD5034F"/>
    <w:rsid w:val="2C863A37"/>
    <w:rsid w:val="2C924AE7"/>
    <w:rsid w:val="2D025012"/>
    <w:rsid w:val="2D363D1B"/>
    <w:rsid w:val="2D4178F0"/>
    <w:rsid w:val="2D7711AA"/>
    <w:rsid w:val="2D7D58EB"/>
    <w:rsid w:val="2DA45D22"/>
    <w:rsid w:val="2DAE631A"/>
    <w:rsid w:val="2DCB4D0E"/>
    <w:rsid w:val="2DD877E0"/>
    <w:rsid w:val="2DE616C9"/>
    <w:rsid w:val="2DE801DF"/>
    <w:rsid w:val="2DFC2451"/>
    <w:rsid w:val="2E3422F8"/>
    <w:rsid w:val="2E3D68D2"/>
    <w:rsid w:val="2E440A2C"/>
    <w:rsid w:val="2E4E3659"/>
    <w:rsid w:val="2E6E566D"/>
    <w:rsid w:val="2E7F188E"/>
    <w:rsid w:val="2EA91D49"/>
    <w:rsid w:val="2EBC0905"/>
    <w:rsid w:val="2EC73739"/>
    <w:rsid w:val="2EFB1B0E"/>
    <w:rsid w:val="2F343775"/>
    <w:rsid w:val="2F5107A8"/>
    <w:rsid w:val="2F5C684F"/>
    <w:rsid w:val="2F63756E"/>
    <w:rsid w:val="2F922AC9"/>
    <w:rsid w:val="2FE6553A"/>
    <w:rsid w:val="300119B8"/>
    <w:rsid w:val="307776D1"/>
    <w:rsid w:val="307A16E8"/>
    <w:rsid w:val="30862574"/>
    <w:rsid w:val="309D1AAC"/>
    <w:rsid w:val="30AD52F3"/>
    <w:rsid w:val="30B631E1"/>
    <w:rsid w:val="30B7454F"/>
    <w:rsid w:val="311933AA"/>
    <w:rsid w:val="317D15BB"/>
    <w:rsid w:val="31CC144A"/>
    <w:rsid w:val="31D07E6C"/>
    <w:rsid w:val="323F65DA"/>
    <w:rsid w:val="32412074"/>
    <w:rsid w:val="328944B3"/>
    <w:rsid w:val="328A70AC"/>
    <w:rsid w:val="32DE0199"/>
    <w:rsid w:val="333C2963"/>
    <w:rsid w:val="335B2774"/>
    <w:rsid w:val="33A4642E"/>
    <w:rsid w:val="33CD3272"/>
    <w:rsid w:val="33D4039C"/>
    <w:rsid w:val="33D47E05"/>
    <w:rsid w:val="33DF460E"/>
    <w:rsid w:val="33E13F2F"/>
    <w:rsid w:val="33FE2213"/>
    <w:rsid w:val="3413677D"/>
    <w:rsid w:val="342B544B"/>
    <w:rsid w:val="34396D55"/>
    <w:rsid w:val="345E036E"/>
    <w:rsid w:val="34673F86"/>
    <w:rsid w:val="34712C0C"/>
    <w:rsid w:val="34C47852"/>
    <w:rsid w:val="34DE1E4F"/>
    <w:rsid w:val="34F07DB1"/>
    <w:rsid w:val="35700359"/>
    <w:rsid w:val="357E6FD1"/>
    <w:rsid w:val="35881347"/>
    <w:rsid w:val="359009FB"/>
    <w:rsid w:val="35AB1391"/>
    <w:rsid w:val="35D354B8"/>
    <w:rsid w:val="35D4025C"/>
    <w:rsid w:val="35E84393"/>
    <w:rsid w:val="362666BC"/>
    <w:rsid w:val="363646D4"/>
    <w:rsid w:val="366B28CE"/>
    <w:rsid w:val="368A6B11"/>
    <w:rsid w:val="36C66E7F"/>
    <w:rsid w:val="36F44712"/>
    <w:rsid w:val="36F75A66"/>
    <w:rsid w:val="37085B1F"/>
    <w:rsid w:val="372E04CB"/>
    <w:rsid w:val="385B709E"/>
    <w:rsid w:val="38C56C0D"/>
    <w:rsid w:val="38E070F2"/>
    <w:rsid w:val="38FA1FA9"/>
    <w:rsid w:val="390D33AB"/>
    <w:rsid w:val="391E6D06"/>
    <w:rsid w:val="39573D9E"/>
    <w:rsid w:val="39FC7BE4"/>
    <w:rsid w:val="3A074847"/>
    <w:rsid w:val="3A830B2E"/>
    <w:rsid w:val="3A8F1281"/>
    <w:rsid w:val="3AA90FE6"/>
    <w:rsid w:val="3AA9318F"/>
    <w:rsid w:val="3AB62DA0"/>
    <w:rsid w:val="3AE67BC0"/>
    <w:rsid w:val="3B057828"/>
    <w:rsid w:val="3B69577B"/>
    <w:rsid w:val="3B702D85"/>
    <w:rsid w:val="3B7D3FD5"/>
    <w:rsid w:val="3B823DDF"/>
    <w:rsid w:val="3B937018"/>
    <w:rsid w:val="3BD827B4"/>
    <w:rsid w:val="3C237ED3"/>
    <w:rsid w:val="3C363894"/>
    <w:rsid w:val="3C4D2D59"/>
    <w:rsid w:val="3CAA596A"/>
    <w:rsid w:val="3CAF1D22"/>
    <w:rsid w:val="3CB1587B"/>
    <w:rsid w:val="3CB735F2"/>
    <w:rsid w:val="3CC1773F"/>
    <w:rsid w:val="3D186684"/>
    <w:rsid w:val="3D260E6E"/>
    <w:rsid w:val="3D363C36"/>
    <w:rsid w:val="3D4E5423"/>
    <w:rsid w:val="3D8B2178"/>
    <w:rsid w:val="3DB34909"/>
    <w:rsid w:val="3DD115F5"/>
    <w:rsid w:val="3DE435F0"/>
    <w:rsid w:val="3DE5122C"/>
    <w:rsid w:val="3DF37E53"/>
    <w:rsid w:val="3ED26DE9"/>
    <w:rsid w:val="3EED17D0"/>
    <w:rsid w:val="3F0C0304"/>
    <w:rsid w:val="3F774839"/>
    <w:rsid w:val="3F7C1A35"/>
    <w:rsid w:val="3FA17495"/>
    <w:rsid w:val="3FBD02CF"/>
    <w:rsid w:val="3FEC147E"/>
    <w:rsid w:val="3FED7DE8"/>
    <w:rsid w:val="40376375"/>
    <w:rsid w:val="412732B7"/>
    <w:rsid w:val="4127791F"/>
    <w:rsid w:val="41281794"/>
    <w:rsid w:val="413C1FDF"/>
    <w:rsid w:val="41550CE1"/>
    <w:rsid w:val="41620A86"/>
    <w:rsid w:val="41806A69"/>
    <w:rsid w:val="41B0259C"/>
    <w:rsid w:val="41B77686"/>
    <w:rsid w:val="41BC6F1C"/>
    <w:rsid w:val="41EF2363"/>
    <w:rsid w:val="41F77860"/>
    <w:rsid w:val="424A4B98"/>
    <w:rsid w:val="4253528A"/>
    <w:rsid w:val="42581D3A"/>
    <w:rsid w:val="428E23A1"/>
    <w:rsid w:val="42ED2EA4"/>
    <w:rsid w:val="42F6649D"/>
    <w:rsid w:val="42FE0080"/>
    <w:rsid w:val="431E5168"/>
    <w:rsid w:val="43315D2E"/>
    <w:rsid w:val="43670C99"/>
    <w:rsid w:val="43824A1C"/>
    <w:rsid w:val="4385126E"/>
    <w:rsid w:val="43D110E1"/>
    <w:rsid w:val="43E873C9"/>
    <w:rsid w:val="448700C8"/>
    <w:rsid w:val="44905B1F"/>
    <w:rsid w:val="45316885"/>
    <w:rsid w:val="45A95EE9"/>
    <w:rsid w:val="45B71E2A"/>
    <w:rsid w:val="45FB0F21"/>
    <w:rsid w:val="46167166"/>
    <w:rsid w:val="4636719A"/>
    <w:rsid w:val="46571F90"/>
    <w:rsid w:val="465859F2"/>
    <w:rsid w:val="46726CED"/>
    <w:rsid w:val="46D34989"/>
    <w:rsid w:val="47200EE3"/>
    <w:rsid w:val="472156FC"/>
    <w:rsid w:val="47435AC2"/>
    <w:rsid w:val="47544B78"/>
    <w:rsid w:val="47587AF7"/>
    <w:rsid w:val="47745A86"/>
    <w:rsid w:val="47E239AC"/>
    <w:rsid w:val="480F4B73"/>
    <w:rsid w:val="4832167C"/>
    <w:rsid w:val="485446B7"/>
    <w:rsid w:val="487974BD"/>
    <w:rsid w:val="48B31B80"/>
    <w:rsid w:val="48DB38E3"/>
    <w:rsid w:val="48E06023"/>
    <w:rsid w:val="49001B5E"/>
    <w:rsid w:val="49376DB0"/>
    <w:rsid w:val="49804BB7"/>
    <w:rsid w:val="49826DCB"/>
    <w:rsid w:val="499013E7"/>
    <w:rsid w:val="49A22843"/>
    <w:rsid w:val="49C8088A"/>
    <w:rsid w:val="49F70BF1"/>
    <w:rsid w:val="4A0F6D68"/>
    <w:rsid w:val="4A233384"/>
    <w:rsid w:val="4A301C93"/>
    <w:rsid w:val="4A3302AB"/>
    <w:rsid w:val="4A572A17"/>
    <w:rsid w:val="4A6F2535"/>
    <w:rsid w:val="4AC85D49"/>
    <w:rsid w:val="4AE308A9"/>
    <w:rsid w:val="4B005D50"/>
    <w:rsid w:val="4B260F2D"/>
    <w:rsid w:val="4B524331"/>
    <w:rsid w:val="4B9049B6"/>
    <w:rsid w:val="4B9A1456"/>
    <w:rsid w:val="4BA32C82"/>
    <w:rsid w:val="4BE70627"/>
    <w:rsid w:val="4C0A5AE1"/>
    <w:rsid w:val="4C130AB8"/>
    <w:rsid w:val="4C5A284D"/>
    <w:rsid w:val="4C5C0673"/>
    <w:rsid w:val="4CB370E9"/>
    <w:rsid w:val="4CB96B43"/>
    <w:rsid w:val="4CC24BEA"/>
    <w:rsid w:val="4CC75FCC"/>
    <w:rsid w:val="4CC87A5E"/>
    <w:rsid w:val="4CD63947"/>
    <w:rsid w:val="4CE9702B"/>
    <w:rsid w:val="4CEF2847"/>
    <w:rsid w:val="4CF957AB"/>
    <w:rsid w:val="4CFC49F4"/>
    <w:rsid w:val="4D073D73"/>
    <w:rsid w:val="4D1D2091"/>
    <w:rsid w:val="4D1E27BA"/>
    <w:rsid w:val="4D23574A"/>
    <w:rsid w:val="4D270EF8"/>
    <w:rsid w:val="4D4C4DB0"/>
    <w:rsid w:val="4D7322D5"/>
    <w:rsid w:val="4DD7034C"/>
    <w:rsid w:val="4DE312CB"/>
    <w:rsid w:val="4DF3347D"/>
    <w:rsid w:val="4DF5318E"/>
    <w:rsid w:val="4E1F4862"/>
    <w:rsid w:val="4E2E4393"/>
    <w:rsid w:val="4E535EF2"/>
    <w:rsid w:val="4EBC37FC"/>
    <w:rsid w:val="4F08773C"/>
    <w:rsid w:val="4F102B4E"/>
    <w:rsid w:val="4F1634D1"/>
    <w:rsid w:val="4F31409F"/>
    <w:rsid w:val="4F5543EF"/>
    <w:rsid w:val="4F5E670E"/>
    <w:rsid w:val="4F846A83"/>
    <w:rsid w:val="4F965516"/>
    <w:rsid w:val="50070E2C"/>
    <w:rsid w:val="501112F3"/>
    <w:rsid w:val="504B57F2"/>
    <w:rsid w:val="50560FE4"/>
    <w:rsid w:val="50681F00"/>
    <w:rsid w:val="50C5433A"/>
    <w:rsid w:val="50C62BC7"/>
    <w:rsid w:val="50DA1528"/>
    <w:rsid w:val="50F72A66"/>
    <w:rsid w:val="5123368C"/>
    <w:rsid w:val="5130747C"/>
    <w:rsid w:val="515C765A"/>
    <w:rsid w:val="51905BB3"/>
    <w:rsid w:val="51946FCB"/>
    <w:rsid w:val="51DD796B"/>
    <w:rsid w:val="51DF373B"/>
    <w:rsid w:val="52241ACF"/>
    <w:rsid w:val="522E682E"/>
    <w:rsid w:val="52386AB2"/>
    <w:rsid w:val="5282410D"/>
    <w:rsid w:val="5283536B"/>
    <w:rsid w:val="529E42FF"/>
    <w:rsid w:val="52EF4CB5"/>
    <w:rsid w:val="52F959F0"/>
    <w:rsid w:val="5302488E"/>
    <w:rsid w:val="53136173"/>
    <w:rsid w:val="5321205D"/>
    <w:rsid w:val="534B12B7"/>
    <w:rsid w:val="539A4AC7"/>
    <w:rsid w:val="542631B6"/>
    <w:rsid w:val="5447483C"/>
    <w:rsid w:val="545E2895"/>
    <w:rsid w:val="54942CAE"/>
    <w:rsid w:val="54A61722"/>
    <w:rsid w:val="54B31FAF"/>
    <w:rsid w:val="54C211D8"/>
    <w:rsid w:val="54E97446"/>
    <w:rsid w:val="55190137"/>
    <w:rsid w:val="551F3E29"/>
    <w:rsid w:val="55282405"/>
    <w:rsid w:val="552A4EB4"/>
    <w:rsid w:val="55326D63"/>
    <w:rsid w:val="555D1A10"/>
    <w:rsid w:val="55C42C77"/>
    <w:rsid w:val="566C5F63"/>
    <w:rsid w:val="56907552"/>
    <w:rsid w:val="56AC4A78"/>
    <w:rsid w:val="56DB16B9"/>
    <w:rsid w:val="577A3463"/>
    <w:rsid w:val="57AC4DC9"/>
    <w:rsid w:val="57F967AD"/>
    <w:rsid w:val="58052975"/>
    <w:rsid w:val="584D1A65"/>
    <w:rsid w:val="584F5C44"/>
    <w:rsid w:val="58504D6C"/>
    <w:rsid w:val="58615BB3"/>
    <w:rsid w:val="588717C9"/>
    <w:rsid w:val="58D43874"/>
    <w:rsid w:val="58D72319"/>
    <w:rsid w:val="58E525CA"/>
    <w:rsid w:val="58E55347"/>
    <w:rsid w:val="58EE7372"/>
    <w:rsid w:val="593C217C"/>
    <w:rsid w:val="593D045A"/>
    <w:rsid w:val="5960739E"/>
    <w:rsid w:val="597460CF"/>
    <w:rsid w:val="597676DD"/>
    <w:rsid w:val="59896D0A"/>
    <w:rsid w:val="59B72684"/>
    <w:rsid w:val="5A264C20"/>
    <w:rsid w:val="5A295A8C"/>
    <w:rsid w:val="5A3D61AC"/>
    <w:rsid w:val="5A9579AE"/>
    <w:rsid w:val="5AC468CD"/>
    <w:rsid w:val="5B006DDE"/>
    <w:rsid w:val="5B342B9A"/>
    <w:rsid w:val="5B5953B0"/>
    <w:rsid w:val="5B630802"/>
    <w:rsid w:val="5B807F68"/>
    <w:rsid w:val="5BA72CE5"/>
    <w:rsid w:val="5C034D53"/>
    <w:rsid w:val="5CBA0D39"/>
    <w:rsid w:val="5CC81D66"/>
    <w:rsid w:val="5D6509CD"/>
    <w:rsid w:val="5D722852"/>
    <w:rsid w:val="5E1D6F56"/>
    <w:rsid w:val="5E52187F"/>
    <w:rsid w:val="5E6A13CD"/>
    <w:rsid w:val="5E705D15"/>
    <w:rsid w:val="5E887B9F"/>
    <w:rsid w:val="5E93326C"/>
    <w:rsid w:val="5E9F1A7A"/>
    <w:rsid w:val="5EAF3818"/>
    <w:rsid w:val="5EB9022B"/>
    <w:rsid w:val="5EFB4BA4"/>
    <w:rsid w:val="5EFE2597"/>
    <w:rsid w:val="5F025452"/>
    <w:rsid w:val="5F5F46B5"/>
    <w:rsid w:val="5F6762C1"/>
    <w:rsid w:val="5FB25360"/>
    <w:rsid w:val="5FBA3CC0"/>
    <w:rsid w:val="5FD90D61"/>
    <w:rsid w:val="60177697"/>
    <w:rsid w:val="602329DB"/>
    <w:rsid w:val="60534C73"/>
    <w:rsid w:val="607777D6"/>
    <w:rsid w:val="609A56B8"/>
    <w:rsid w:val="60BC76A1"/>
    <w:rsid w:val="60F0637F"/>
    <w:rsid w:val="610B7637"/>
    <w:rsid w:val="612279BA"/>
    <w:rsid w:val="615F5624"/>
    <w:rsid w:val="61786FF4"/>
    <w:rsid w:val="619A6E2E"/>
    <w:rsid w:val="61CB78FE"/>
    <w:rsid w:val="61D215CF"/>
    <w:rsid w:val="620D6AF3"/>
    <w:rsid w:val="62593D9F"/>
    <w:rsid w:val="625C563D"/>
    <w:rsid w:val="626A1704"/>
    <w:rsid w:val="627921C2"/>
    <w:rsid w:val="62892D3E"/>
    <w:rsid w:val="62B362C8"/>
    <w:rsid w:val="62C1330E"/>
    <w:rsid w:val="62C3746A"/>
    <w:rsid w:val="62D60F4C"/>
    <w:rsid w:val="6317611A"/>
    <w:rsid w:val="6342085E"/>
    <w:rsid w:val="636F415C"/>
    <w:rsid w:val="63910B10"/>
    <w:rsid w:val="63D22876"/>
    <w:rsid w:val="641B511C"/>
    <w:rsid w:val="64917820"/>
    <w:rsid w:val="64AA1CC5"/>
    <w:rsid w:val="64C90280"/>
    <w:rsid w:val="6528341F"/>
    <w:rsid w:val="656B2909"/>
    <w:rsid w:val="65A3045D"/>
    <w:rsid w:val="65AF2651"/>
    <w:rsid w:val="65D97752"/>
    <w:rsid w:val="65E25E59"/>
    <w:rsid w:val="66307F76"/>
    <w:rsid w:val="66311BE8"/>
    <w:rsid w:val="664F617E"/>
    <w:rsid w:val="66580EAF"/>
    <w:rsid w:val="66694D0D"/>
    <w:rsid w:val="667B4472"/>
    <w:rsid w:val="66F041A8"/>
    <w:rsid w:val="6721178A"/>
    <w:rsid w:val="6739399A"/>
    <w:rsid w:val="673F39DE"/>
    <w:rsid w:val="674C5D22"/>
    <w:rsid w:val="67663AF8"/>
    <w:rsid w:val="67762CFD"/>
    <w:rsid w:val="677A678D"/>
    <w:rsid w:val="6798432F"/>
    <w:rsid w:val="67AA2321"/>
    <w:rsid w:val="67EA64CC"/>
    <w:rsid w:val="68011379"/>
    <w:rsid w:val="681E1720"/>
    <w:rsid w:val="68252C37"/>
    <w:rsid w:val="68817BAC"/>
    <w:rsid w:val="689A5E59"/>
    <w:rsid w:val="68A94E70"/>
    <w:rsid w:val="68EE72DF"/>
    <w:rsid w:val="690B4C92"/>
    <w:rsid w:val="69356906"/>
    <w:rsid w:val="69485FEA"/>
    <w:rsid w:val="69676EB0"/>
    <w:rsid w:val="69677DC0"/>
    <w:rsid w:val="69937EC7"/>
    <w:rsid w:val="69D64558"/>
    <w:rsid w:val="69E3623E"/>
    <w:rsid w:val="6A042548"/>
    <w:rsid w:val="6A471EFD"/>
    <w:rsid w:val="6A771BC9"/>
    <w:rsid w:val="6A9D5B77"/>
    <w:rsid w:val="6AB57116"/>
    <w:rsid w:val="6AC22461"/>
    <w:rsid w:val="6B17424A"/>
    <w:rsid w:val="6B2218FA"/>
    <w:rsid w:val="6B686C59"/>
    <w:rsid w:val="6B691672"/>
    <w:rsid w:val="6BE97F42"/>
    <w:rsid w:val="6C2063E9"/>
    <w:rsid w:val="6C5E6A51"/>
    <w:rsid w:val="6C6513C3"/>
    <w:rsid w:val="6C6720CF"/>
    <w:rsid w:val="6C737CFB"/>
    <w:rsid w:val="6C744268"/>
    <w:rsid w:val="6C7B02B3"/>
    <w:rsid w:val="6C913746"/>
    <w:rsid w:val="6CD62D03"/>
    <w:rsid w:val="6CD97FB6"/>
    <w:rsid w:val="6CDD60A6"/>
    <w:rsid w:val="6D0E5050"/>
    <w:rsid w:val="6D1E3C1B"/>
    <w:rsid w:val="6D4B22B8"/>
    <w:rsid w:val="6D930013"/>
    <w:rsid w:val="6DA265FA"/>
    <w:rsid w:val="6DFB5D0A"/>
    <w:rsid w:val="6E1A1656"/>
    <w:rsid w:val="6E231DD6"/>
    <w:rsid w:val="6E2F17D2"/>
    <w:rsid w:val="6E512505"/>
    <w:rsid w:val="6E5A5288"/>
    <w:rsid w:val="6EE013EE"/>
    <w:rsid w:val="6EE079F1"/>
    <w:rsid w:val="6EE42C42"/>
    <w:rsid w:val="6EEA4439"/>
    <w:rsid w:val="6EF8183A"/>
    <w:rsid w:val="6F240921"/>
    <w:rsid w:val="6F46175D"/>
    <w:rsid w:val="6F7F7CB0"/>
    <w:rsid w:val="6FE0165C"/>
    <w:rsid w:val="6FE10C44"/>
    <w:rsid w:val="70222744"/>
    <w:rsid w:val="706D25DF"/>
    <w:rsid w:val="706D2B21"/>
    <w:rsid w:val="707B1384"/>
    <w:rsid w:val="70857A34"/>
    <w:rsid w:val="70985D3C"/>
    <w:rsid w:val="70A65682"/>
    <w:rsid w:val="71047C73"/>
    <w:rsid w:val="7109004F"/>
    <w:rsid w:val="71103167"/>
    <w:rsid w:val="712E56F7"/>
    <w:rsid w:val="71691ABB"/>
    <w:rsid w:val="71AE1AEA"/>
    <w:rsid w:val="71CF3B6C"/>
    <w:rsid w:val="71F80F33"/>
    <w:rsid w:val="721056AE"/>
    <w:rsid w:val="722922C6"/>
    <w:rsid w:val="727176A7"/>
    <w:rsid w:val="7295497F"/>
    <w:rsid w:val="72CB03A1"/>
    <w:rsid w:val="732D4B5D"/>
    <w:rsid w:val="73393C88"/>
    <w:rsid w:val="7362513F"/>
    <w:rsid w:val="73771D49"/>
    <w:rsid w:val="739D70A1"/>
    <w:rsid w:val="73A1354E"/>
    <w:rsid w:val="73E035D5"/>
    <w:rsid w:val="74024296"/>
    <w:rsid w:val="743D0241"/>
    <w:rsid w:val="7491584F"/>
    <w:rsid w:val="74A11E7D"/>
    <w:rsid w:val="74D228C5"/>
    <w:rsid w:val="7550071B"/>
    <w:rsid w:val="75590B0A"/>
    <w:rsid w:val="756D0349"/>
    <w:rsid w:val="7582279F"/>
    <w:rsid w:val="75843EB5"/>
    <w:rsid w:val="75895B4A"/>
    <w:rsid w:val="75912FA2"/>
    <w:rsid w:val="75BB71AF"/>
    <w:rsid w:val="75F01962"/>
    <w:rsid w:val="760E19DF"/>
    <w:rsid w:val="764E52E0"/>
    <w:rsid w:val="76557F3E"/>
    <w:rsid w:val="76676A53"/>
    <w:rsid w:val="76944574"/>
    <w:rsid w:val="76A3294D"/>
    <w:rsid w:val="76B620A1"/>
    <w:rsid w:val="76B7642D"/>
    <w:rsid w:val="76C92425"/>
    <w:rsid w:val="76D61240"/>
    <w:rsid w:val="76D766A5"/>
    <w:rsid w:val="76F20814"/>
    <w:rsid w:val="76F92565"/>
    <w:rsid w:val="77462524"/>
    <w:rsid w:val="77501DCD"/>
    <w:rsid w:val="77565681"/>
    <w:rsid w:val="779A6594"/>
    <w:rsid w:val="77A21064"/>
    <w:rsid w:val="77E34EB2"/>
    <w:rsid w:val="781564B8"/>
    <w:rsid w:val="78224ACF"/>
    <w:rsid w:val="7883406B"/>
    <w:rsid w:val="78CD6DCC"/>
    <w:rsid w:val="78D07CAF"/>
    <w:rsid w:val="78DE12D7"/>
    <w:rsid w:val="78FB4D34"/>
    <w:rsid w:val="79210683"/>
    <w:rsid w:val="799C3465"/>
    <w:rsid w:val="79B14EC4"/>
    <w:rsid w:val="7A025270"/>
    <w:rsid w:val="7A141937"/>
    <w:rsid w:val="7A2A6B4A"/>
    <w:rsid w:val="7A681070"/>
    <w:rsid w:val="7A860C7C"/>
    <w:rsid w:val="7A9F7D20"/>
    <w:rsid w:val="7AB879FE"/>
    <w:rsid w:val="7AF4245F"/>
    <w:rsid w:val="7B3264DD"/>
    <w:rsid w:val="7B81188A"/>
    <w:rsid w:val="7B9E2902"/>
    <w:rsid w:val="7BAC424F"/>
    <w:rsid w:val="7BC854E2"/>
    <w:rsid w:val="7C0562EC"/>
    <w:rsid w:val="7C067A45"/>
    <w:rsid w:val="7C0D2ED7"/>
    <w:rsid w:val="7C1C072C"/>
    <w:rsid w:val="7C27683F"/>
    <w:rsid w:val="7C8141C6"/>
    <w:rsid w:val="7CB14B4D"/>
    <w:rsid w:val="7CE208B6"/>
    <w:rsid w:val="7CF26969"/>
    <w:rsid w:val="7D25523C"/>
    <w:rsid w:val="7DB23041"/>
    <w:rsid w:val="7E5F7809"/>
    <w:rsid w:val="7ED56C53"/>
    <w:rsid w:val="7EEA1BAF"/>
    <w:rsid w:val="7F4909C9"/>
    <w:rsid w:val="7F5460D4"/>
    <w:rsid w:val="7F552892"/>
    <w:rsid w:val="7FFD3F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qFormat="1"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4"/>
    <w:next w:val="1"/>
    <w:link w:val="139"/>
    <w:qFormat/>
    <w:uiPriority w:val="9"/>
    <w:pPr>
      <w:keepNext/>
      <w:keepLines/>
      <w:jc w:val="center"/>
      <w:outlineLvl w:val="0"/>
    </w:pPr>
    <w:rPr>
      <w:b/>
      <w:bCs/>
      <w:kern w:val="44"/>
      <w:sz w:val="36"/>
      <w:szCs w:val="44"/>
    </w:rPr>
  </w:style>
  <w:style w:type="paragraph" w:styleId="2">
    <w:name w:val="heading 2"/>
    <w:basedOn w:val="1"/>
    <w:next w:val="1"/>
    <w:link w:val="140"/>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14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4">
    <w:name w:val="toc 3"/>
    <w:basedOn w:val="1"/>
    <w:next w:val="1"/>
    <w:qFormat/>
    <w:uiPriority w:val="39"/>
    <w:pPr>
      <w:ind w:left="480"/>
      <w:jc w:val="left"/>
    </w:pPr>
    <w:rPr>
      <w:rFonts w:ascii="Calibri" w:hAnsi="Calibri" w:eastAsia="宋体" w:cs="Times New Roman"/>
      <w:i/>
      <w:iCs/>
      <w:sz w:val="20"/>
      <w:szCs w:val="20"/>
    </w:rPr>
  </w:style>
  <w:style w:type="paragraph" w:styleId="7">
    <w:name w:val="toc 7"/>
    <w:basedOn w:val="1"/>
    <w:next w:val="1"/>
    <w:qFormat/>
    <w:uiPriority w:val="39"/>
    <w:pPr>
      <w:ind w:left="1440"/>
      <w:jc w:val="left"/>
    </w:pPr>
    <w:rPr>
      <w:rFonts w:ascii="Calibri" w:hAnsi="Calibri" w:eastAsia="宋体" w:cs="Times New Roman"/>
      <w:sz w:val="18"/>
      <w:szCs w:val="18"/>
    </w:rPr>
  </w:style>
  <w:style w:type="paragraph" w:styleId="8">
    <w:name w:val="Normal Indent"/>
    <w:basedOn w:val="1"/>
    <w:qFormat/>
    <w:uiPriority w:val="0"/>
    <w:pPr>
      <w:ind w:firstLine="420" w:firstLineChars="200"/>
    </w:pPr>
    <w:rPr>
      <w:kern w:val="0"/>
    </w:rPr>
  </w:style>
  <w:style w:type="paragraph" w:styleId="9">
    <w:name w:val="caption"/>
    <w:basedOn w:val="1"/>
    <w:next w:val="1"/>
    <w:qFormat/>
    <w:uiPriority w:val="35"/>
    <w:pPr>
      <w:spacing w:before="152" w:after="160"/>
    </w:pPr>
    <w:rPr>
      <w:rFonts w:ascii="Arial" w:hAnsi="Arial" w:eastAsia="黑体" w:cs="Arial"/>
      <w:sz w:val="20"/>
      <w:szCs w:val="20"/>
    </w:rPr>
  </w:style>
  <w:style w:type="paragraph" w:styleId="10">
    <w:name w:val="Document Map"/>
    <w:basedOn w:val="1"/>
    <w:link w:val="142"/>
    <w:qFormat/>
    <w:uiPriority w:val="0"/>
    <w:pPr>
      <w:shd w:val="clear" w:color="auto" w:fill="000080"/>
    </w:pPr>
    <w:rPr>
      <w:sz w:val="24"/>
    </w:rPr>
  </w:style>
  <w:style w:type="paragraph" w:styleId="11">
    <w:name w:val="toa heading"/>
    <w:basedOn w:val="1"/>
    <w:next w:val="1"/>
    <w:qFormat/>
    <w:uiPriority w:val="99"/>
    <w:pPr>
      <w:spacing w:before="120"/>
    </w:pPr>
    <w:rPr>
      <w:rFonts w:ascii="Arial" w:hAnsi="Arial" w:eastAsia="宋体" w:cs="Arial"/>
      <w:sz w:val="24"/>
      <w:szCs w:val="24"/>
    </w:rPr>
  </w:style>
  <w:style w:type="paragraph" w:styleId="12">
    <w:name w:val="annotation text"/>
    <w:basedOn w:val="1"/>
    <w:link w:val="143"/>
    <w:qFormat/>
    <w:uiPriority w:val="0"/>
    <w:pPr>
      <w:jc w:val="left"/>
    </w:pPr>
  </w:style>
  <w:style w:type="paragraph" w:styleId="13">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4">
    <w:name w:val="Body Text"/>
    <w:basedOn w:val="1"/>
    <w:next w:val="15"/>
    <w:link w:val="144"/>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5">
    <w:name w:val="Body Text Indent"/>
    <w:basedOn w:val="1"/>
    <w:link w:val="145"/>
    <w:qFormat/>
    <w:uiPriority w:val="99"/>
    <w:pPr>
      <w:spacing w:after="120"/>
      <w:ind w:left="420" w:leftChars="200"/>
    </w:pPr>
    <w:rPr>
      <w:rFonts w:ascii="Calibri" w:hAnsi="Calibri" w:eastAsia="宋体" w:cs="Times New Roman"/>
      <w:szCs w:val="20"/>
    </w:rPr>
  </w:style>
  <w:style w:type="paragraph" w:styleId="16">
    <w:name w:val="index 4"/>
    <w:basedOn w:val="1"/>
    <w:next w:val="1"/>
    <w:qFormat/>
    <w:uiPriority w:val="0"/>
    <w:pPr>
      <w:ind w:left="600" w:leftChars="600"/>
    </w:pPr>
  </w:style>
  <w:style w:type="paragraph" w:styleId="17">
    <w:name w:val="toc 5"/>
    <w:basedOn w:val="1"/>
    <w:next w:val="1"/>
    <w:qFormat/>
    <w:uiPriority w:val="39"/>
    <w:pPr>
      <w:ind w:left="960"/>
      <w:jc w:val="left"/>
    </w:pPr>
    <w:rPr>
      <w:rFonts w:ascii="Calibri" w:hAnsi="Calibri" w:eastAsia="宋体" w:cs="Times New Roman"/>
      <w:sz w:val="18"/>
      <w:szCs w:val="18"/>
    </w:rPr>
  </w:style>
  <w:style w:type="paragraph" w:styleId="18">
    <w:name w:val="Plain Text"/>
    <w:basedOn w:val="1"/>
    <w:link w:val="146"/>
    <w:qFormat/>
    <w:uiPriority w:val="0"/>
    <w:rPr>
      <w:rFonts w:ascii="宋体" w:hAnsi="Courier New"/>
    </w:rPr>
  </w:style>
  <w:style w:type="paragraph" w:styleId="19">
    <w:name w:val="toc 8"/>
    <w:basedOn w:val="1"/>
    <w:next w:val="1"/>
    <w:qFormat/>
    <w:uiPriority w:val="39"/>
    <w:pPr>
      <w:ind w:left="1680"/>
      <w:jc w:val="left"/>
    </w:pPr>
    <w:rPr>
      <w:rFonts w:ascii="Calibri" w:hAnsi="Calibri" w:eastAsia="宋体" w:cs="Times New Roman"/>
      <w:sz w:val="18"/>
      <w:szCs w:val="18"/>
    </w:rPr>
  </w:style>
  <w:style w:type="paragraph" w:styleId="20">
    <w:name w:val="Date"/>
    <w:basedOn w:val="1"/>
    <w:next w:val="1"/>
    <w:link w:val="147"/>
    <w:qFormat/>
    <w:uiPriority w:val="0"/>
    <w:pPr>
      <w:ind w:left="100" w:leftChars="2500"/>
    </w:pPr>
    <w:rPr>
      <w:sz w:val="24"/>
    </w:rPr>
  </w:style>
  <w:style w:type="paragraph" w:styleId="21">
    <w:name w:val="Body Text Indent 2"/>
    <w:basedOn w:val="1"/>
    <w:link w:val="148"/>
    <w:qFormat/>
    <w:uiPriority w:val="0"/>
    <w:pPr>
      <w:spacing w:after="120" w:line="480" w:lineRule="auto"/>
      <w:ind w:left="420" w:leftChars="200"/>
    </w:pPr>
  </w:style>
  <w:style w:type="paragraph" w:styleId="22">
    <w:name w:val="Balloon Text"/>
    <w:basedOn w:val="1"/>
    <w:link w:val="149"/>
    <w:qFormat/>
    <w:uiPriority w:val="0"/>
    <w:rPr>
      <w:sz w:val="18"/>
    </w:rPr>
  </w:style>
  <w:style w:type="paragraph" w:styleId="23">
    <w:name w:val="footer"/>
    <w:basedOn w:val="1"/>
    <w:link w:val="150"/>
    <w:qFormat/>
    <w:uiPriority w:val="99"/>
    <w:pPr>
      <w:tabs>
        <w:tab w:val="center" w:pos="4153"/>
        <w:tab w:val="right" w:pos="8306"/>
      </w:tabs>
      <w:snapToGrid w:val="0"/>
      <w:jc w:val="left"/>
    </w:pPr>
    <w:rPr>
      <w:sz w:val="18"/>
    </w:rPr>
  </w:style>
  <w:style w:type="paragraph" w:styleId="24">
    <w:name w:val="header"/>
    <w:basedOn w:val="1"/>
    <w:link w:val="151"/>
    <w:qFormat/>
    <w:uiPriority w:val="0"/>
    <w:pPr>
      <w:pBdr>
        <w:bottom w:val="single" w:color="auto" w:sz="6" w:space="1"/>
      </w:pBdr>
      <w:tabs>
        <w:tab w:val="center" w:pos="4153"/>
        <w:tab w:val="right" w:pos="8306"/>
      </w:tabs>
      <w:snapToGrid w:val="0"/>
      <w:jc w:val="center"/>
    </w:pPr>
    <w:rPr>
      <w:sz w:val="18"/>
    </w:rPr>
  </w:style>
  <w:style w:type="paragraph" w:styleId="25">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6">
    <w:name w:val="toc 4"/>
    <w:basedOn w:val="1"/>
    <w:next w:val="1"/>
    <w:qFormat/>
    <w:uiPriority w:val="39"/>
    <w:pPr>
      <w:ind w:left="720"/>
      <w:jc w:val="left"/>
    </w:pPr>
    <w:rPr>
      <w:rFonts w:ascii="Calibri" w:hAnsi="Calibri" w:eastAsia="宋体" w:cs="Times New Roman"/>
      <w:sz w:val="18"/>
      <w:szCs w:val="18"/>
    </w:rPr>
  </w:style>
  <w:style w:type="paragraph" w:styleId="27">
    <w:name w:val="Subtitle"/>
    <w:basedOn w:val="1"/>
    <w:next w:val="1"/>
    <w:qFormat/>
    <w:uiPriority w:val="11"/>
    <w:pPr>
      <w:spacing w:line="360" w:lineRule="auto"/>
      <w:ind w:firstLine="200" w:firstLineChars="200"/>
      <w:outlineLvl w:val="1"/>
    </w:pPr>
    <w:rPr>
      <w:rFonts w:ascii="宋体" w:eastAsia="宋体"/>
      <w:bCs/>
      <w:kern w:val="28"/>
      <w:sz w:val="24"/>
      <w:szCs w:val="32"/>
    </w:rPr>
  </w:style>
  <w:style w:type="paragraph" w:styleId="28">
    <w:name w:val="List"/>
    <w:basedOn w:val="1"/>
    <w:qFormat/>
    <w:uiPriority w:val="99"/>
    <w:pPr>
      <w:ind w:left="420" w:hanging="420"/>
    </w:pPr>
    <w:rPr>
      <w:rFonts w:ascii="Times New Roman" w:hAnsi="Times New Roman" w:eastAsia="宋体" w:cs="Times New Roman"/>
      <w:szCs w:val="20"/>
    </w:rPr>
  </w:style>
  <w:style w:type="paragraph" w:styleId="29">
    <w:name w:val="toc 6"/>
    <w:basedOn w:val="1"/>
    <w:next w:val="1"/>
    <w:qFormat/>
    <w:uiPriority w:val="39"/>
    <w:pPr>
      <w:ind w:left="1200"/>
      <w:jc w:val="left"/>
    </w:pPr>
    <w:rPr>
      <w:rFonts w:ascii="Calibri" w:hAnsi="Calibri" w:eastAsia="宋体" w:cs="Times New Roman"/>
      <w:sz w:val="18"/>
      <w:szCs w:val="18"/>
    </w:rPr>
  </w:style>
  <w:style w:type="paragraph" w:styleId="30">
    <w:name w:val="Body Text Indent 3"/>
    <w:basedOn w:val="1"/>
    <w:link w:val="152"/>
    <w:qFormat/>
    <w:uiPriority w:val="0"/>
    <w:pPr>
      <w:spacing w:after="120"/>
      <w:ind w:left="420" w:leftChars="200"/>
    </w:pPr>
    <w:rPr>
      <w:sz w:val="16"/>
    </w:rPr>
  </w:style>
  <w:style w:type="paragraph" w:styleId="31">
    <w:name w:val="index 9"/>
    <w:basedOn w:val="1"/>
    <w:next w:val="1"/>
    <w:semiHidden/>
    <w:unhideWhenUsed/>
    <w:qFormat/>
    <w:uiPriority w:val="99"/>
    <w:pPr>
      <w:ind w:left="2520" w:hanging="280"/>
    </w:pPr>
    <w:rPr>
      <w:rFonts w:eastAsia="仿宋"/>
      <w:sz w:val="28"/>
    </w:rPr>
  </w:style>
  <w:style w:type="paragraph" w:styleId="32">
    <w:name w:val="toc 2"/>
    <w:basedOn w:val="1"/>
    <w:next w:val="1"/>
    <w:unhideWhenUsed/>
    <w:qFormat/>
    <w:uiPriority w:val="39"/>
    <w:pPr>
      <w:ind w:left="420" w:leftChars="200"/>
    </w:pPr>
    <w:rPr>
      <w:rFonts w:ascii="Calibri" w:hAnsi="Calibri" w:eastAsia="宋体" w:cs="Times New Roman"/>
      <w:szCs w:val="20"/>
    </w:rPr>
  </w:style>
  <w:style w:type="paragraph" w:styleId="33">
    <w:name w:val="toc 9"/>
    <w:basedOn w:val="1"/>
    <w:next w:val="1"/>
    <w:qFormat/>
    <w:uiPriority w:val="39"/>
    <w:pPr>
      <w:ind w:left="1920"/>
      <w:jc w:val="left"/>
    </w:pPr>
    <w:rPr>
      <w:rFonts w:ascii="Calibri" w:hAnsi="Calibri" w:eastAsia="宋体" w:cs="Times New Roman"/>
      <w:sz w:val="18"/>
      <w:szCs w:val="18"/>
    </w:rPr>
  </w:style>
  <w:style w:type="paragraph" w:styleId="34">
    <w:name w:val="Normal (Web)"/>
    <w:basedOn w:val="1"/>
    <w:qFormat/>
    <w:uiPriority w:val="99"/>
    <w:rPr>
      <w:rFonts w:ascii="Calibri" w:hAnsi="Calibri" w:eastAsia="宋体" w:cs="Times New Roman"/>
      <w:sz w:val="24"/>
      <w:szCs w:val="20"/>
    </w:rPr>
  </w:style>
  <w:style w:type="paragraph" w:styleId="35">
    <w:name w:val="index 1"/>
    <w:basedOn w:val="1"/>
    <w:next w:val="1"/>
    <w:qFormat/>
    <w:uiPriority w:val="99"/>
    <w:rPr>
      <w:rFonts w:ascii="Calibri" w:hAnsi="Calibri" w:eastAsia="宋体" w:cs="Times New Roman"/>
      <w:sz w:val="24"/>
      <w:szCs w:val="24"/>
    </w:rPr>
  </w:style>
  <w:style w:type="paragraph" w:styleId="36">
    <w:name w:val="Title"/>
    <w:basedOn w:val="1"/>
    <w:next w:val="1"/>
    <w:link w:val="153"/>
    <w:qFormat/>
    <w:uiPriority w:val="0"/>
    <w:pPr>
      <w:spacing w:before="160" w:after="40" w:line="240" w:lineRule="atLeast"/>
      <w:ind w:left="425" w:hanging="425"/>
      <w:jc w:val="center"/>
      <w:outlineLvl w:val="0"/>
    </w:pPr>
    <w:rPr>
      <w:rFonts w:ascii="Arial" w:hAnsi="Arial"/>
      <w:b/>
      <w:sz w:val="32"/>
    </w:rPr>
  </w:style>
  <w:style w:type="paragraph" w:styleId="37">
    <w:name w:val="annotation subject"/>
    <w:basedOn w:val="12"/>
    <w:next w:val="12"/>
    <w:link w:val="154"/>
    <w:qFormat/>
    <w:uiPriority w:val="0"/>
    <w:rPr>
      <w:b/>
    </w:rPr>
  </w:style>
  <w:style w:type="paragraph" w:styleId="38">
    <w:name w:val="Body Text First Indent 2"/>
    <w:basedOn w:val="15"/>
    <w:semiHidden/>
    <w:qFormat/>
    <w:uiPriority w:val="99"/>
    <w:pPr>
      <w:spacing w:line="276" w:lineRule="auto"/>
      <w:ind w:firstLine="420" w:firstLineChars="200"/>
      <w:jc w:val="left"/>
    </w:pPr>
  </w:style>
  <w:style w:type="table" w:styleId="40">
    <w:name w:val="Table Grid"/>
    <w:basedOn w:val="3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Strong"/>
    <w:basedOn w:val="41"/>
    <w:qFormat/>
    <w:uiPriority w:val="22"/>
    <w:rPr>
      <w:b/>
    </w:rPr>
  </w:style>
  <w:style w:type="character" w:styleId="43">
    <w:name w:val="page number"/>
    <w:basedOn w:val="41"/>
    <w:qFormat/>
    <w:uiPriority w:val="99"/>
    <w:rPr>
      <w:rFonts w:cs="Times New Roman"/>
    </w:rPr>
  </w:style>
  <w:style w:type="character" w:styleId="44">
    <w:name w:val="FollowedHyperlink"/>
    <w:basedOn w:val="41"/>
    <w:qFormat/>
    <w:uiPriority w:val="99"/>
    <w:rPr>
      <w:color w:val="800080"/>
      <w:u w:val="single"/>
    </w:rPr>
  </w:style>
  <w:style w:type="character" w:styleId="45">
    <w:name w:val="Emphasis"/>
    <w:qFormat/>
    <w:uiPriority w:val="99"/>
    <w:rPr>
      <w:rFonts w:cs="Times New Roman"/>
      <w:color w:val="auto"/>
    </w:rPr>
  </w:style>
  <w:style w:type="character" w:styleId="46">
    <w:name w:val="HTML Acronym"/>
    <w:basedOn w:val="41"/>
    <w:qFormat/>
    <w:uiPriority w:val="99"/>
  </w:style>
  <w:style w:type="character" w:styleId="47">
    <w:name w:val="Hyperlink"/>
    <w:basedOn w:val="41"/>
    <w:qFormat/>
    <w:uiPriority w:val="99"/>
    <w:rPr>
      <w:color w:val="1F4F88"/>
      <w:u w:val="none"/>
    </w:rPr>
  </w:style>
  <w:style w:type="character" w:styleId="48">
    <w:name w:val="annotation reference"/>
    <w:basedOn w:val="41"/>
    <w:qFormat/>
    <w:uiPriority w:val="99"/>
    <w:rPr>
      <w:sz w:val="21"/>
    </w:rPr>
  </w:style>
  <w:style w:type="character" w:customStyle="1" w:styleId="49">
    <w:name w:val="标题 1 字符"/>
    <w:basedOn w:val="41"/>
    <w:qFormat/>
    <w:uiPriority w:val="9"/>
    <w:rPr>
      <w:rFonts w:ascii="Calibri" w:hAnsi="Calibri" w:eastAsia="宋体" w:cs="Times New Roman"/>
      <w:b/>
      <w:bCs/>
      <w:kern w:val="44"/>
      <w:sz w:val="36"/>
      <w:szCs w:val="44"/>
    </w:rPr>
  </w:style>
  <w:style w:type="character" w:customStyle="1" w:styleId="50">
    <w:name w:val="标题 2 字符"/>
    <w:basedOn w:val="41"/>
    <w:qFormat/>
    <w:uiPriority w:val="9"/>
    <w:rPr>
      <w:rFonts w:ascii="Arial" w:hAnsi="Arial" w:eastAsia="宋体" w:cs="Times New Roman"/>
      <w:b/>
      <w:bCs/>
      <w:sz w:val="24"/>
      <w:szCs w:val="32"/>
    </w:rPr>
  </w:style>
  <w:style w:type="character" w:customStyle="1" w:styleId="51">
    <w:name w:val="标题 3 字符"/>
    <w:basedOn w:val="41"/>
    <w:semiHidden/>
    <w:qFormat/>
    <w:uiPriority w:val="9"/>
    <w:rPr>
      <w:rFonts w:ascii="Calibri" w:hAnsi="Calibri" w:eastAsia="宋体" w:cs="Times New Roman"/>
      <w:b/>
      <w:bCs/>
      <w:sz w:val="32"/>
      <w:szCs w:val="32"/>
    </w:rPr>
  </w:style>
  <w:style w:type="character" w:customStyle="1" w:styleId="52">
    <w:name w:val="Char Char3"/>
    <w:qFormat/>
    <w:uiPriority w:val="0"/>
    <w:rPr>
      <w:rFonts w:ascii="宋体" w:hAnsi="Courier New" w:eastAsia="宋体"/>
      <w:kern w:val="2"/>
      <w:sz w:val="21"/>
      <w:lang w:val="en-US" w:eastAsia="zh-CN"/>
    </w:rPr>
  </w:style>
  <w:style w:type="character" w:customStyle="1" w:styleId="53">
    <w:name w:val="正文文本缩进 2 字符"/>
    <w:qFormat/>
    <w:locked/>
    <w:uiPriority w:val="0"/>
  </w:style>
  <w:style w:type="character" w:customStyle="1" w:styleId="54">
    <w:name w:val="批注主题 字符"/>
    <w:qFormat/>
    <w:locked/>
    <w:uiPriority w:val="0"/>
    <w:rPr>
      <w:b/>
    </w:rPr>
  </w:style>
  <w:style w:type="character" w:customStyle="1" w:styleId="55">
    <w:name w:val="正文文本缩进 3 字符"/>
    <w:qFormat/>
    <w:locked/>
    <w:uiPriority w:val="0"/>
    <w:rPr>
      <w:sz w:val="16"/>
    </w:rPr>
  </w:style>
  <w:style w:type="character" w:customStyle="1" w:styleId="56">
    <w:name w:val="纯文本 Char"/>
    <w:qFormat/>
    <w:uiPriority w:val="0"/>
    <w:rPr>
      <w:rFonts w:ascii="宋体" w:hAnsi="Courier New" w:eastAsia="宋体"/>
      <w:kern w:val="2"/>
      <w:sz w:val="21"/>
      <w:lang w:val="en-US" w:eastAsia="zh-CN"/>
    </w:rPr>
  </w:style>
  <w:style w:type="character" w:customStyle="1" w:styleId="57">
    <w:name w:val="Char Char2"/>
    <w:qFormat/>
    <w:uiPriority w:val="0"/>
    <w:rPr>
      <w:rFonts w:ascii="宋体" w:hAnsi="Courier New"/>
      <w:kern w:val="2"/>
      <w:sz w:val="21"/>
    </w:rPr>
  </w:style>
  <w:style w:type="character" w:customStyle="1" w:styleId="58">
    <w:name w:val="列出段落 字符"/>
    <w:link w:val="59"/>
    <w:qFormat/>
    <w:locked/>
    <w:uiPriority w:val="34"/>
    <w:rPr>
      <w:sz w:val="22"/>
    </w:rPr>
  </w:style>
  <w:style w:type="paragraph" w:customStyle="1" w:styleId="59">
    <w:name w:val="列出段落1"/>
    <w:basedOn w:val="1"/>
    <w:link w:val="58"/>
    <w:qFormat/>
    <w:uiPriority w:val="34"/>
    <w:pPr>
      <w:ind w:firstLine="420" w:firstLineChars="200"/>
    </w:pPr>
    <w:rPr>
      <w:sz w:val="22"/>
    </w:rPr>
  </w:style>
  <w:style w:type="character" w:customStyle="1" w:styleId="60">
    <w:name w:val="apple-converted-space"/>
    <w:basedOn w:val="41"/>
    <w:qFormat/>
    <w:uiPriority w:val="0"/>
    <w:rPr>
      <w:rFonts w:cs="Times New Roman"/>
    </w:rPr>
  </w:style>
  <w:style w:type="character" w:customStyle="1" w:styleId="61">
    <w:name w:val="页眉 字符"/>
    <w:qFormat/>
    <w:locked/>
    <w:uiPriority w:val="0"/>
    <w:rPr>
      <w:sz w:val="18"/>
    </w:rPr>
  </w:style>
  <w:style w:type="character" w:customStyle="1" w:styleId="62">
    <w:name w:val="BODY TEXT Char"/>
    <w:qFormat/>
    <w:locked/>
    <w:uiPriority w:val="0"/>
    <w:rPr>
      <w:rFonts w:eastAsia="新宋体"/>
      <w:kern w:val="2"/>
      <w:sz w:val="21"/>
    </w:rPr>
  </w:style>
  <w:style w:type="character" w:customStyle="1" w:styleId="63">
    <w:name w:val="批注文字 字符"/>
    <w:qFormat/>
    <w:locked/>
    <w:uiPriority w:val="0"/>
  </w:style>
  <w:style w:type="character" w:customStyle="1" w:styleId="64">
    <w:name w:val="标题 字符"/>
    <w:qFormat/>
    <w:locked/>
    <w:uiPriority w:val="0"/>
    <w:rPr>
      <w:rFonts w:ascii="Arial" w:hAnsi="Arial"/>
      <w:b/>
      <w:sz w:val="32"/>
    </w:rPr>
  </w:style>
  <w:style w:type="character" w:customStyle="1" w:styleId="65">
    <w:name w:val="日期 字符"/>
    <w:qFormat/>
    <w:locked/>
    <w:uiPriority w:val="0"/>
    <w:rPr>
      <w:sz w:val="24"/>
    </w:rPr>
  </w:style>
  <w:style w:type="character" w:customStyle="1" w:styleId="66">
    <w:name w:val="ATXT_Bullets Zchn"/>
    <w:link w:val="67"/>
    <w:qFormat/>
    <w:locked/>
    <w:uiPriority w:val="99"/>
    <w:rPr>
      <w:rFonts w:ascii="Arial" w:hAnsi="Arial"/>
      <w:lang w:val="de-AT" w:eastAsia="zh-CN"/>
    </w:rPr>
  </w:style>
  <w:style w:type="paragraph" w:customStyle="1" w:styleId="67">
    <w:name w:val="ATXT_Bullets"/>
    <w:link w:val="66"/>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8">
    <w:name w:val="Char Char5"/>
    <w:qFormat/>
    <w:uiPriority w:val="0"/>
    <w:rPr>
      <w:rFonts w:ascii="宋体" w:hAnsi="Courier New" w:eastAsia="宋体"/>
      <w:kern w:val="2"/>
      <w:sz w:val="21"/>
      <w:lang w:val="en-US" w:eastAsia="zh-CN"/>
    </w:rPr>
  </w:style>
  <w:style w:type="character" w:customStyle="1" w:styleId="69">
    <w:name w:val="批注框文本 字符"/>
    <w:qFormat/>
    <w:locked/>
    <w:uiPriority w:val="0"/>
    <w:rPr>
      <w:sz w:val="18"/>
    </w:rPr>
  </w:style>
  <w:style w:type="character" w:customStyle="1" w:styleId="70">
    <w:name w:val="批注文字 Char"/>
    <w:qFormat/>
    <w:uiPriority w:val="0"/>
    <w:rPr>
      <w:kern w:val="2"/>
    </w:rPr>
  </w:style>
  <w:style w:type="character" w:customStyle="1" w:styleId="71">
    <w:name w:val="批注主题 Char"/>
    <w:qFormat/>
    <w:uiPriority w:val="0"/>
    <w:rPr>
      <w:b/>
      <w:kern w:val="2"/>
    </w:rPr>
  </w:style>
  <w:style w:type="character" w:customStyle="1" w:styleId="72">
    <w:name w:val="文档结构图 字符"/>
    <w:qFormat/>
    <w:locked/>
    <w:uiPriority w:val="0"/>
    <w:rPr>
      <w:sz w:val="24"/>
      <w:shd w:val="clear" w:color="auto" w:fill="000080"/>
    </w:rPr>
  </w:style>
  <w:style w:type="character" w:customStyle="1" w:styleId="73">
    <w:name w:val="HTML Markup"/>
    <w:qFormat/>
    <w:uiPriority w:val="0"/>
    <w:rPr>
      <w:vanish/>
      <w:color w:val="FF0000"/>
    </w:rPr>
  </w:style>
  <w:style w:type="character" w:customStyle="1" w:styleId="74">
    <w:name w:val="纯文本 字符"/>
    <w:qFormat/>
    <w:locked/>
    <w:uiPriority w:val="0"/>
    <w:rPr>
      <w:rFonts w:ascii="宋体" w:hAnsi="Courier New"/>
    </w:rPr>
  </w:style>
  <w:style w:type="character" w:customStyle="1" w:styleId="75">
    <w:name w:val="页脚 字符"/>
    <w:qFormat/>
    <w:locked/>
    <w:uiPriority w:val="99"/>
    <w:rPr>
      <w:sz w:val="18"/>
    </w:rPr>
  </w:style>
  <w:style w:type="character" w:customStyle="1" w:styleId="76">
    <w:name w:val="Default Char"/>
    <w:link w:val="77"/>
    <w:qFormat/>
    <w:locked/>
    <w:uiPriority w:val="0"/>
    <w:rPr>
      <w:rFonts w:ascii="仿宋_GB2312" w:eastAsia="仿宋_GB2312"/>
      <w:color w:val="000000"/>
      <w:sz w:val="24"/>
    </w:rPr>
  </w:style>
  <w:style w:type="paragraph" w:customStyle="1" w:styleId="77">
    <w:name w:val="Default"/>
    <w:link w:val="76"/>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8">
    <w:name w:val="页脚 Char"/>
    <w:qFormat/>
    <w:locked/>
    <w:uiPriority w:val="99"/>
    <w:rPr>
      <w:sz w:val="18"/>
    </w:rPr>
  </w:style>
  <w:style w:type="character" w:customStyle="1" w:styleId="79">
    <w:name w:val="批注文字 字符1"/>
    <w:basedOn w:val="41"/>
    <w:semiHidden/>
    <w:qFormat/>
    <w:uiPriority w:val="99"/>
  </w:style>
  <w:style w:type="character" w:customStyle="1" w:styleId="80">
    <w:name w:val="批注文字 字符11"/>
    <w:basedOn w:val="41"/>
    <w:qFormat/>
    <w:uiPriority w:val="0"/>
    <w:rPr>
      <w:rFonts w:cs="Times New Roman"/>
      <w:kern w:val="2"/>
      <w:sz w:val="21"/>
    </w:rPr>
  </w:style>
  <w:style w:type="character" w:customStyle="1" w:styleId="81">
    <w:name w:val="正文文本缩进 字符"/>
    <w:basedOn w:val="41"/>
    <w:qFormat/>
    <w:uiPriority w:val="99"/>
    <w:rPr>
      <w:rFonts w:ascii="Calibri" w:hAnsi="Calibri" w:eastAsia="宋体" w:cs="Times New Roman"/>
      <w:szCs w:val="20"/>
    </w:rPr>
  </w:style>
  <w:style w:type="character" w:customStyle="1" w:styleId="82">
    <w:name w:val="文档结构图 字符1"/>
    <w:basedOn w:val="41"/>
    <w:semiHidden/>
    <w:qFormat/>
    <w:uiPriority w:val="99"/>
    <w:rPr>
      <w:rFonts w:ascii="Microsoft YaHei UI" w:eastAsia="Microsoft YaHei UI"/>
      <w:sz w:val="18"/>
      <w:szCs w:val="18"/>
    </w:rPr>
  </w:style>
  <w:style w:type="character" w:customStyle="1" w:styleId="83">
    <w:name w:val="文档结构图 字符11"/>
    <w:basedOn w:val="41"/>
    <w:semiHidden/>
    <w:qFormat/>
    <w:uiPriority w:val="99"/>
    <w:rPr>
      <w:rFonts w:ascii="Microsoft YaHei UI" w:eastAsia="Microsoft YaHei UI" w:cs="Times New Roman"/>
      <w:kern w:val="2"/>
      <w:sz w:val="18"/>
      <w:szCs w:val="18"/>
    </w:rPr>
  </w:style>
  <w:style w:type="character" w:customStyle="1" w:styleId="84">
    <w:name w:val="正文文本 字符"/>
    <w:basedOn w:val="41"/>
    <w:qFormat/>
    <w:uiPriority w:val="99"/>
    <w:rPr>
      <w:rFonts w:ascii="Calibri" w:hAnsi="Calibri" w:eastAsia="新宋体" w:cs="Times New Roman"/>
      <w:szCs w:val="21"/>
    </w:rPr>
  </w:style>
  <w:style w:type="character" w:customStyle="1" w:styleId="85">
    <w:name w:val="纯文本 字符1"/>
    <w:basedOn w:val="41"/>
    <w:semiHidden/>
    <w:qFormat/>
    <w:uiPriority w:val="99"/>
    <w:rPr>
      <w:rFonts w:hAnsi="Courier New" w:cs="Courier New" w:asciiTheme="minorEastAsia"/>
    </w:rPr>
  </w:style>
  <w:style w:type="character" w:customStyle="1" w:styleId="86">
    <w:name w:val="纯文本 字符11"/>
    <w:basedOn w:val="41"/>
    <w:qFormat/>
    <w:uiPriority w:val="0"/>
    <w:rPr>
      <w:rFonts w:hAnsi="Courier New" w:cs="Courier New" w:asciiTheme="minorEastAsia" w:eastAsiaTheme="minorEastAsia"/>
      <w:kern w:val="2"/>
      <w:sz w:val="21"/>
    </w:rPr>
  </w:style>
  <w:style w:type="character" w:customStyle="1" w:styleId="87">
    <w:name w:val="页眉 字符1"/>
    <w:basedOn w:val="41"/>
    <w:semiHidden/>
    <w:qFormat/>
    <w:uiPriority w:val="99"/>
    <w:rPr>
      <w:sz w:val="18"/>
      <w:szCs w:val="18"/>
    </w:rPr>
  </w:style>
  <w:style w:type="character" w:customStyle="1" w:styleId="88">
    <w:name w:val="页眉 字符11"/>
    <w:basedOn w:val="41"/>
    <w:semiHidden/>
    <w:qFormat/>
    <w:uiPriority w:val="99"/>
    <w:rPr>
      <w:rFonts w:cs="Times New Roman"/>
      <w:kern w:val="2"/>
      <w:sz w:val="18"/>
      <w:szCs w:val="18"/>
    </w:rPr>
  </w:style>
  <w:style w:type="character" w:customStyle="1" w:styleId="89">
    <w:name w:val="批注框文本 字符1"/>
    <w:basedOn w:val="41"/>
    <w:semiHidden/>
    <w:qFormat/>
    <w:uiPriority w:val="99"/>
    <w:rPr>
      <w:sz w:val="18"/>
      <w:szCs w:val="18"/>
    </w:rPr>
  </w:style>
  <w:style w:type="character" w:customStyle="1" w:styleId="90">
    <w:name w:val="批注框文本 字符11"/>
    <w:basedOn w:val="41"/>
    <w:semiHidden/>
    <w:qFormat/>
    <w:uiPriority w:val="99"/>
    <w:rPr>
      <w:rFonts w:cs="Times New Roman"/>
      <w:kern w:val="2"/>
      <w:sz w:val="18"/>
      <w:szCs w:val="18"/>
    </w:rPr>
  </w:style>
  <w:style w:type="character" w:customStyle="1" w:styleId="91">
    <w:name w:val="日期 字符1"/>
    <w:basedOn w:val="41"/>
    <w:semiHidden/>
    <w:qFormat/>
    <w:uiPriority w:val="99"/>
  </w:style>
  <w:style w:type="character" w:customStyle="1" w:styleId="92">
    <w:name w:val="日期 字符11"/>
    <w:basedOn w:val="41"/>
    <w:semiHidden/>
    <w:qFormat/>
    <w:uiPriority w:val="99"/>
    <w:rPr>
      <w:rFonts w:cs="Times New Roman"/>
      <w:kern w:val="2"/>
      <w:sz w:val="21"/>
    </w:rPr>
  </w:style>
  <w:style w:type="character" w:customStyle="1" w:styleId="93">
    <w:name w:val="页脚 字符1"/>
    <w:basedOn w:val="41"/>
    <w:semiHidden/>
    <w:qFormat/>
    <w:uiPriority w:val="99"/>
    <w:rPr>
      <w:sz w:val="18"/>
      <w:szCs w:val="18"/>
    </w:rPr>
  </w:style>
  <w:style w:type="character" w:customStyle="1" w:styleId="94">
    <w:name w:val="页脚 字符11"/>
    <w:basedOn w:val="41"/>
    <w:semiHidden/>
    <w:qFormat/>
    <w:uiPriority w:val="99"/>
    <w:rPr>
      <w:rFonts w:cs="Times New Roman"/>
      <w:kern w:val="2"/>
      <w:sz w:val="18"/>
      <w:szCs w:val="18"/>
    </w:rPr>
  </w:style>
  <w:style w:type="character" w:customStyle="1" w:styleId="95">
    <w:name w:val="正文文本缩进 2 字符1"/>
    <w:basedOn w:val="41"/>
    <w:semiHidden/>
    <w:qFormat/>
    <w:uiPriority w:val="99"/>
  </w:style>
  <w:style w:type="character" w:customStyle="1" w:styleId="96">
    <w:name w:val="正文文本缩进 2 字符11"/>
    <w:basedOn w:val="41"/>
    <w:semiHidden/>
    <w:qFormat/>
    <w:uiPriority w:val="99"/>
    <w:rPr>
      <w:rFonts w:cs="Times New Roman"/>
      <w:kern w:val="2"/>
      <w:sz w:val="21"/>
    </w:rPr>
  </w:style>
  <w:style w:type="character" w:customStyle="1" w:styleId="97">
    <w:name w:val="正文文本缩进 3 字符1"/>
    <w:basedOn w:val="41"/>
    <w:semiHidden/>
    <w:qFormat/>
    <w:uiPriority w:val="99"/>
    <w:rPr>
      <w:sz w:val="16"/>
      <w:szCs w:val="16"/>
    </w:rPr>
  </w:style>
  <w:style w:type="character" w:customStyle="1" w:styleId="98">
    <w:name w:val="正文文本缩进 3 字符11"/>
    <w:basedOn w:val="41"/>
    <w:semiHidden/>
    <w:qFormat/>
    <w:uiPriority w:val="99"/>
    <w:rPr>
      <w:rFonts w:cs="Times New Roman"/>
      <w:kern w:val="2"/>
      <w:sz w:val="16"/>
      <w:szCs w:val="16"/>
    </w:rPr>
  </w:style>
  <w:style w:type="character" w:customStyle="1" w:styleId="99">
    <w:name w:val="批注主题 字符1"/>
    <w:basedOn w:val="79"/>
    <w:semiHidden/>
    <w:qFormat/>
    <w:uiPriority w:val="99"/>
    <w:rPr>
      <w:b/>
      <w:bCs/>
    </w:rPr>
  </w:style>
  <w:style w:type="character" w:customStyle="1" w:styleId="100">
    <w:name w:val="批注主题 字符11"/>
    <w:basedOn w:val="80"/>
    <w:semiHidden/>
    <w:qFormat/>
    <w:uiPriority w:val="99"/>
    <w:rPr>
      <w:rFonts w:cs="Times New Roman"/>
      <w:b/>
      <w:bCs/>
      <w:kern w:val="2"/>
      <w:sz w:val="21"/>
    </w:rPr>
  </w:style>
  <w:style w:type="character" w:customStyle="1" w:styleId="101">
    <w:name w:val="标题 字符1"/>
    <w:basedOn w:val="41"/>
    <w:qFormat/>
    <w:uiPriority w:val="10"/>
    <w:rPr>
      <w:rFonts w:asciiTheme="majorHAnsi" w:hAnsiTheme="majorHAnsi" w:eastAsiaTheme="majorEastAsia" w:cstheme="majorBidi"/>
      <w:b/>
      <w:bCs/>
      <w:sz w:val="32"/>
      <w:szCs w:val="32"/>
    </w:rPr>
  </w:style>
  <w:style w:type="character" w:customStyle="1" w:styleId="102">
    <w:name w:val="标题 字符11"/>
    <w:basedOn w:val="41"/>
    <w:qFormat/>
    <w:uiPriority w:val="10"/>
    <w:rPr>
      <w:rFonts w:cs="Times New Roman" w:asciiTheme="majorHAnsi" w:hAnsiTheme="majorHAnsi" w:eastAsiaTheme="majorEastAsia"/>
      <w:b/>
      <w:bCs/>
      <w:kern w:val="2"/>
      <w:sz w:val="32"/>
      <w:szCs w:val="32"/>
    </w:rPr>
  </w:style>
  <w:style w:type="paragraph" w:customStyle="1" w:styleId="103">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4">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5">
    <w:name w:val="二级列表 Char"/>
    <w:basedOn w:val="1"/>
    <w:qFormat/>
    <w:uiPriority w:val="0"/>
    <w:rPr>
      <w:rFonts w:ascii="Calibri" w:hAnsi="Calibri" w:eastAsia="宋体" w:cs="Times New Roman"/>
      <w:szCs w:val="20"/>
    </w:rPr>
  </w:style>
  <w:style w:type="paragraph" w:customStyle="1" w:styleId="106">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7">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8">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9">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0">
    <w:name w:val="Char Char Char Char Char Char Char"/>
    <w:basedOn w:val="1"/>
    <w:qFormat/>
    <w:uiPriority w:val="0"/>
    <w:rPr>
      <w:rFonts w:ascii="Verdana" w:hAnsi="Verdana" w:eastAsia="宋体" w:cs="Times New Roman"/>
      <w:kern w:val="0"/>
      <w:sz w:val="20"/>
      <w:szCs w:val="20"/>
      <w:lang w:eastAsia="en-US"/>
    </w:rPr>
  </w:style>
  <w:style w:type="paragraph" w:customStyle="1" w:styleId="111">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2">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3">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4">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5">
    <w:name w:val="标书正文格式"/>
    <w:basedOn w:val="18"/>
    <w:link w:val="117"/>
    <w:qFormat/>
    <w:uiPriority w:val="0"/>
    <w:pPr>
      <w:spacing w:line="360" w:lineRule="auto"/>
      <w:ind w:firstLine="200" w:firstLineChars="200"/>
    </w:pPr>
    <w:rPr>
      <w:rFonts w:hAnsi="宋体"/>
      <w:color w:val="000000"/>
      <w:sz w:val="24"/>
      <w:szCs w:val="24"/>
    </w:rPr>
  </w:style>
  <w:style w:type="paragraph" w:customStyle="1" w:styleId="116">
    <w:name w:val="标书二级标题"/>
    <w:basedOn w:val="2"/>
    <w:link w:val="119"/>
    <w:qFormat/>
    <w:uiPriority w:val="0"/>
    <w:pPr>
      <w:spacing w:line="240" w:lineRule="auto"/>
      <w:jc w:val="left"/>
    </w:pPr>
    <w:rPr>
      <w:rFonts w:ascii="宋体" w:hAnsi="宋体" w:eastAsia="黑体"/>
      <w:b w:val="0"/>
      <w:sz w:val="28"/>
      <w:szCs w:val="30"/>
    </w:rPr>
  </w:style>
  <w:style w:type="character" w:customStyle="1" w:styleId="117">
    <w:name w:val="标书正文格式 字符"/>
    <w:link w:val="115"/>
    <w:qFormat/>
    <w:locked/>
    <w:uiPriority w:val="0"/>
    <w:rPr>
      <w:rFonts w:ascii="宋体" w:hAnsi="宋体"/>
      <w:color w:val="000000"/>
      <w:sz w:val="24"/>
      <w:szCs w:val="24"/>
    </w:rPr>
  </w:style>
  <w:style w:type="paragraph" w:customStyle="1" w:styleId="118">
    <w:name w:val="标书表格"/>
    <w:basedOn w:val="1"/>
    <w:link w:val="120"/>
    <w:qFormat/>
    <w:uiPriority w:val="0"/>
    <w:pPr>
      <w:jc w:val="center"/>
    </w:pPr>
    <w:rPr>
      <w:rFonts w:ascii="Times New Roman" w:hAnsi="Times New Roman" w:eastAsia="宋体" w:cs="Times New Roman"/>
      <w:b/>
      <w:szCs w:val="20"/>
    </w:rPr>
  </w:style>
  <w:style w:type="character" w:customStyle="1" w:styleId="119">
    <w:name w:val="标书二级标题 字符"/>
    <w:link w:val="116"/>
    <w:qFormat/>
    <w:locked/>
    <w:uiPriority w:val="0"/>
    <w:rPr>
      <w:rFonts w:ascii="宋体" w:hAnsi="宋体" w:eastAsia="黑体" w:cs="Times New Roman"/>
      <w:bCs/>
      <w:sz w:val="28"/>
      <w:szCs w:val="30"/>
    </w:rPr>
  </w:style>
  <w:style w:type="character" w:customStyle="1" w:styleId="120">
    <w:name w:val="标书表格 字符"/>
    <w:link w:val="118"/>
    <w:qFormat/>
    <w:locked/>
    <w:uiPriority w:val="0"/>
    <w:rPr>
      <w:rFonts w:ascii="Times New Roman" w:hAnsi="Times New Roman" w:eastAsia="宋体" w:cs="Times New Roman"/>
      <w:b/>
      <w:szCs w:val="20"/>
    </w:rPr>
  </w:style>
  <w:style w:type="paragraph" w:customStyle="1" w:styleId="121">
    <w:name w:val="标书三级标题"/>
    <w:basedOn w:val="5"/>
    <w:next w:val="115"/>
    <w:link w:val="122"/>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2">
    <w:name w:val="标书三级标题 字符"/>
    <w:link w:val="121"/>
    <w:qFormat/>
    <w:locked/>
    <w:uiPriority w:val="0"/>
    <w:rPr>
      <w:rFonts w:ascii="Times New Roman" w:hAnsi="Times New Roman" w:eastAsia="宋体" w:cs="Times New Roman"/>
      <w:b/>
      <w:bCs/>
      <w:color w:val="000000"/>
      <w:sz w:val="24"/>
      <w:szCs w:val="24"/>
    </w:rPr>
  </w:style>
  <w:style w:type="character" w:customStyle="1" w:styleId="123">
    <w:name w:val="标三级标题 字符"/>
    <w:link w:val="124"/>
    <w:qFormat/>
    <w:locked/>
    <w:uiPriority w:val="0"/>
    <w:rPr>
      <w:b/>
      <w:color w:val="000000"/>
      <w:sz w:val="24"/>
    </w:rPr>
  </w:style>
  <w:style w:type="paragraph" w:customStyle="1" w:styleId="124">
    <w:name w:val="标三级标题"/>
    <w:basedOn w:val="121"/>
    <w:link w:val="123"/>
    <w:qFormat/>
    <w:uiPriority w:val="0"/>
    <w:rPr>
      <w:rFonts w:asciiTheme="minorHAnsi" w:hAnsiTheme="minorHAnsi" w:eastAsiaTheme="minorEastAsia" w:cstheme="minorBidi"/>
      <w:bCs w:val="0"/>
      <w:szCs w:val="22"/>
    </w:rPr>
  </w:style>
  <w:style w:type="character" w:customStyle="1" w:styleId="125">
    <w:name w:val="标正文 字符"/>
    <w:link w:val="126"/>
    <w:qFormat/>
    <w:locked/>
    <w:uiPriority w:val="0"/>
    <w:rPr>
      <w:rFonts w:ascii="宋体" w:eastAsia="宋体"/>
      <w:color w:val="000000"/>
      <w:sz w:val="24"/>
    </w:rPr>
  </w:style>
  <w:style w:type="paragraph" w:customStyle="1" w:styleId="126">
    <w:name w:val="标正文"/>
    <w:basedOn w:val="115"/>
    <w:link w:val="125"/>
    <w:qFormat/>
    <w:uiPriority w:val="0"/>
    <w:pPr>
      <w:ind w:firstLine="480"/>
    </w:pPr>
    <w:rPr>
      <w:rFonts w:eastAsia="宋体" w:hAnsiTheme="minorHAnsi"/>
      <w:szCs w:val="22"/>
    </w:rPr>
  </w:style>
  <w:style w:type="paragraph" w:customStyle="1" w:styleId="127">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8">
    <w:name w:val="HR正文表格"/>
    <w:basedOn w:val="1"/>
    <w:qFormat/>
    <w:uiPriority w:val="0"/>
    <w:pPr>
      <w:spacing w:beforeLines="25" w:afterLines="25" w:line="300" w:lineRule="auto"/>
    </w:pPr>
    <w:rPr>
      <w:szCs w:val="24"/>
    </w:rPr>
  </w:style>
  <w:style w:type="paragraph" w:styleId="129">
    <w:name w:val="List Paragraph"/>
    <w:basedOn w:val="1"/>
    <w:qFormat/>
    <w:uiPriority w:val="99"/>
    <w:pPr>
      <w:ind w:firstLine="420" w:firstLineChars="200"/>
    </w:pPr>
  </w:style>
  <w:style w:type="paragraph" w:customStyle="1" w:styleId="130">
    <w:name w:val="WPSOffice手动目录 1"/>
    <w:qFormat/>
    <w:uiPriority w:val="0"/>
    <w:rPr>
      <w:rFonts w:ascii="Times New Roman" w:hAnsi="Times New Roman" w:eastAsia="宋体" w:cs="Times New Roman"/>
      <w:lang w:val="en-US" w:eastAsia="zh-CN" w:bidi="ar-SA"/>
    </w:rPr>
  </w:style>
  <w:style w:type="table" w:customStyle="1" w:styleId="131">
    <w:name w:val="Table Normal"/>
    <w:semiHidden/>
    <w:unhideWhenUsed/>
    <w:qFormat/>
    <w:uiPriority w:val="0"/>
    <w:tblPr>
      <w:tblCellMar>
        <w:top w:w="0" w:type="dxa"/>
        <w:left w:w="0" w:type="dxa"/>
        <w:bottom w:w="0" w:type="dxa"/>
        <w:right w:w="0" w:type="dxa"/>
      </w:tblCellMar>
    </w:tblPr>
  </w:style>
  <w:style w:type="character" w:customStyle="1" w:styleId="132">
    <w:name w:val="NormalCharacter"/>
    <w:qFormat/>
    <w:uiPriority w:val="0"/>
  </w:style>
  <w:style w:type="paragraph" w:customStyle="1" w:styleId="133">
    <w:name w:val="Table Paragraph"/>
    <w:basedOn w:val="1"/>
    <w:qFormat/>
    <w:uiPriority w:val="1"/>
    <w:rPr>
      <w:rFonts w:ascii="宋体" w:hAnsi="宋体" w:eastAsia="宋体" w:cs="宋体"/>
    </w:rPr>
  </w:style>
  <w:style w:type="paragraph" w:customStyle="1" w:styleId="134">
    <w:name w:val="标书一级标题"/>
    <w:basedOn w:val="3"/>
    <w:qFormat/>
    <w:uiPriority w:val="0"/>
    <w:rPr>
      <w:rFonts w:eastAsia="黑体"/>
      <w:b w:val="0"/>
      <w:color w:val="000000"/>
      <w:sz w:val="30"/>
      <w:szCs w:val="24"/>
    </w:rPr>
  </w:style>
  <w:style w:type="paragraph" w:customStyle="1" w:styleId="135">
    <w:name w:val="标题 5（有编号）（绿盟科技）"/>
    <w:basedOn w:val="1"/>
    <w:next w:val="136"/>
    <w:qFormat/>
    <w:uiPriority w:val="0"/>
    <w:pPr>
      <w:keepNext/>
      <w:keepLines/>
      <w:numPr>
        <w:ilvl w:val="4"/>
        <w:numId w:val="1"/>
      </w:numPr>
      <w:spacing w:before="280" w:after="156" w:line="377" w:lineRule="auto"/>
      <w:outlineLvl w:val="4"/>
    </w:pPr>
    <w:rPr>
      <w:rFonts w:ascii="Arial" w:hAnsi="Arial" w:eastAsia="黑体" w:cs="Times New Roman"/>
      <w:b/>
      <w:sz w:val="24"/>
      <w:szCs w:val="28"/>
    </w:rPr>
  </w:style>
  <w:style w:type="paragraph" w:customStyle="1" w:styleId="136">
    <w:name w:val="正文（绿盟科技）"/>
    <w:unhideWhenUsed/>
    <w:qFormat/>
    <w:uiPriority w:val="0"/>
    <w:pPr>
      <w:spacing w:line="300" w:lineRule="auto"/>
    </w:pPr>
    <w:rPr>
      <w:rFonts w:ascii="Arial" w:hAnsi="Arial" w:eastAsia="宋体" w:cs="Times New Roman"/>
      <w:sz w:val="21"/>
      <w:szCs w:val="21"/>
      <w:lang w:val="en-US" w:eastAsia="zh-CN" w:bidi="ar-SA"/>
    </w:rPr>
  </w:style>
  <w:style w:type="character" w:customStyle="1" w:styleId="137">
    <w:name w:val="font61"/>
    <w:qFormat/>
    <w:uiPriority w:val="0"/>
    <w:rPr>
      <w:rFonts w:hint="eastAsia" w:ascii="宋体" w:hAnsi="宋体" w:eastAsia="宋体" w:cs="宋体"/>
      <w:color w:val="000000"/>
      <w:sz w:val="22"/>
      <w:szCs w:val="22"/>
      <w:u w:val="none"/>
    </w:rPr>
  </w:style>
  <w:style w:type="paragraph" w:customStyle="1" w:styleId="138">
    <w:name w:val="正文内容"/>
    <w:qFormat/>
    <w:uiPriority w:val="0"/>
    <w:pPr>
      <w:widowControl w:val="0"/>
      <w:ind w:firstLine="200" w:firstLineChars="200"/>
      <w:jc w:val="both"/>
    </w:pPr>
    <w:rPr>
      <w:rFonts w:ascii="Times New Roman" w:hAnsi="Times New Roman" w:eastAsia="仿宋_GB2312" w:cs="Times New Roman"/>
      <w:bCs/>
      <w:kern w:val="2"/>
      <w:sz w:val="28"/>
      <w:szCs w:val="24"/>
      <w:lang w:val="en-US" w:eastAsia="zh-CN" w:bidi="ar-SA"/>
    </w:rPr>
  </w:style>
  <w:style w:type="character" w:customStyle="1" w:styleId="139">
    <w:name w:val="标题 1 字符1"/>
    <w:basedOn w:val="41"/>
    <w:link w:val="3"/>
    <w:qFormat/>
    <w:uiPriority w:val="9"/>
    <w:rPr>
      <w:rFonts w:ascii="Calibri" w:hAnsi="Calibri" w:eastAsia="宋体" w:cs="Times New Roman"/>
      <w:b/>
      <w:bCs/>
      <w:kern w:val="44"/>
      <w:sz w:val="36"/>
      <w:szCs w:val="44"/>
    </w:rPr>
  </w:style>
  <w:style w:type="character" w:customStyle="1" w:styleId="140">
    <w:name w:val="标题 2 字符1"/>
    <w:basedOn w:val="41"/>
    <w:link w:val="2"/>
    <w:qFormat/>
    <w:uiPriority w:val="9"/>
    <w:rPr>
      <w:rFonts w:ascii="Arial" w:hAnsi="Arial" w:eastAsia="宋体" w:cs="Times New Roman"/>
      <w:b/>
      <w:bCs/>
      <w:sz w:val="24"/>
      <w:szCs w:val="32"/>
    </w:rPr>
  </w:style>
  <w:style w:type="character" w:customStyle="1" w:styleId="141">
    <w:name w:val="标题 3 字符1"/>
    <w:basedOn w:val="41"/>
    <w:link w:val="5"/>
    <w:semiHidden/>
    <w:qFormat/>
    <w:uiPriority w:val="9"/>
    <w:rPr>
      <w:rFonts w:ascii="Calibri" w:hAnsi="Calibri" w:eastAsia="宋体" w:cs="Times New Roman"/>
      <w:b/>
      <w:bCs/>
      <w:sz w:val="32"/>
      <w:szCs w:val="32"/>
    </w:rPr>
  </w:style>
  <w:style w:type="character" w:customStyle="1" w:styleId="142">
    <w:name w:val="文档结构图 字符2"/>
    <w:link w:val="10"/>
    <w:qFormat/>
    <w:locked/>
    <w:uiPriority w:val="0"/>
    <w:rPr>
      <w:rFonts w:ascii="Times New Roman" w:hAnsi="Times New Roman" w:eastAsia="宋体" w:cs="Times New Roman"/>
      <w:sz w:val="24"/>
      <w:shd w:val="clear" w:color="auto" w:fill="000080"/>
    </w:rPr>
  </w:style>
  <w:style w:type="character" w:customStyle="1" w:styleId="143">
    <w:name w:val="批注文字 字符2"/>
    <w:link w:val="12"/>
    <w:qFormat/>
    <w:locked/>
    <w:uiPriority w:val="0"/>
    <w:rPr>
      <w:rFonts w:ascii="Times New Roman" w:hAnsi="Times New Roman" w:eastAsia="宋体" w:cs="Times New Roman"/>
    </w:rPr>
  </w:style>
  <w:style w:type="character" w:customStyle="1" w:styleId="144">
    <w:name w:val="正文文本 字符1"/>
    <w:basedOn w:val="41"/>
    <w:link w:val="14"/>
    <w:qFormat/>
    <w:uiPriority w:val="99"/>
    <w:rPr>
      <w:rFonts w:ascii="Calibri" w:hAnsi="Calibri" w:eastAsia="新宋体" w:cs="Times New Roman"/>
      <w:szCs w:val="21"/>
    </w:rPr>
  </w:style>
  <w:style w:type="character" w:customStyle="1" w:styleId="145">
    <w:name w:val="正文文本缩进 字符1"/>
    <w:basedOn w:val="41"/>
    <w:link w:val="15"/>
    <w:qFormat/>
    <w:uiPriority w:val="99"/>
    <w:rPr>
      <w:rFonts w:ascii="Calibri" w:hAnsi="Calibri" w:eastAsia="宋体" w:cs="Times New Roman"/>
      <w:szCs w:val="20"/>
    </w:rPr>
  </w:style>
  <w:style w:type="character" w:customStyle="1" w:styleId="146">
    <w:name w:val="纯文本 字符2"/>
    <w:link w:val="18"/>
    <w:qFormat/>
    <w:locked/>
    <w:uiPriority w:val="0"/>
    <w:rPr>
      <w:rFonts w:ascii="宋体" w:hAnsi="Courier New" w:eastAsia="宋体" w:cs="Times New Roman"/>
    </w:rPr>
  </w:style>
  <w:style w:type="character" w:customStyle="1" w:styleId="147">
    <w:name w:val="日期 字符2"/>
    <w:link w:val="20"/>
    <w:qFormat/>
    <w:locked/>
    <w:uiPriority w:val="0"/>
    <w:rPr>
      <w:rFonts w:ascii="Times New Roman" w:hAnsi="Times New Roman" w:eastAsia="宋体" w:cs="Times New Roman"/>
      <w:sz w:val="24"/>
    </w:rPr>
  </w:style>
  <w:style w:type="character" w:customStyle="1" w:styleId="148">
    <w:name w:val="正文文本缩进 2 字符2"/>
    <w:link w:val="21"/>
    <w:qFormat/>
    <w:locked/>
    <w:uiPriority w:val="0"/>
    <w:rPr>
      <w:rFonts w:ascii="Times New Roman" w:hAnsi="Times New Roman" w:eastAsia="宋体" w:cs="Times New Roman"/>
    </w:rPr>
  </w:style>
  <w:style w:type="character" w:customStyle="1" w:styleId="149">
    <w:name w:val="批注框文本 字符2"/>
    <w:link w:val="22"/>
    <w:qFormat/>
    <w:locked/>
    <w:uiPriority w:val="0"/>
    <w:rPr>
      <w:rFonts w:ascii="Times New Roman" w:hAnsi="Times New Roman" w:eastAsia="宋体" w:cs="Times New Roman"/>
      <w:sz w:val="18"/>
    </w:rPr>
  </w:style>
  <w:style w:type="character" w:customStyle="1" w:styleId="150">
    <w:name w:val="页脚 字符2"/>
    <w:link w:val="23"/>
    <w:qFormat/>
    <w:locked/>
    <w:uiPriority w:val="99"/>
    <w:rPr>
      <w:rFonts w:ascii="Times New Roman" w:hAnsi="Times New Roman" w:eastAsia="宋体" w:cs="Times New Roman"/>
      <w:sz w:val="18"/>
    </w:rPr>
  </w:style>
  <w:style w:type="character" w:customStyle="1" w:styleId="151">
    <w:name w:val="页眉 字符2"/>
    <w:link w:val="24"/>
    <w:qFormat/>
    <w:locked/>
    <w:uiPriority w:val="0"/>
    <w:rPr>
      <w:rFonts w:ascii="Times New Roman" w:hAnsi="Times New Roman" w:eastAsia="宋体" w:cs="Times New Roman"/>
      <w:sz w:val="18"/>
    </w:rPr>
  </w:style>
  <w:style w:type="character" w:customStyle="1" w:styleId="152">
    <w:name w:val="正文文本缩进 3 字符2"/>
    <w:link w:val="30"/>
    <w:qFormat/>
    <w:locked/>
    <w:uiPriority w:val="0"/>
    <w:rPr>
      <w:rFonts w:ascii="Times New Roman" w:hAnsi="Times New Roman" w:eastAsia="宋体" w:cs="Times New Roman"/>
      <w:sz w:val="16"/>
    </w:rPr>
  </w:style>
  <w:style w:type="character" w:customStyle="1" w:styleId="153">
    <w:name w:val="标题 字符2"/>
    <w:link w:val="36"/>
    <w:qFormat/>
    <w:locked/>
    <w:uiPriority w:val="0"/>
    <w:rPr>
      <w:rFonts w:ascii="Arial" w:hAnsi="Arial" w:eastAsia="宋体" w:cs="Times New Roman"/>
      <w:b/>
      <w:sz w:val="32"/>
    </w:rPr>
  </w:style>
  <w:style w:type="character" w:customStyle="1" w:styleId="154">
    <w:name w:val="批注主题 字符2"/>
    <w:link w:val="37"/>
    <w:qFormat/>
    <w:locked/>
    <w:uiPriority w:val="0"/>
    <w:rPr>
      <w:rFonts w:ascii="Times New Roman" w:hAnsi="Times New Roman" w:eastAsia="宋体" w:cs="Times New Roman"/>
      <w:b/>
    </w:rPr>
  </w:style>
  <w:style w:type="paragraph" w:customStyle="1" w:styleId="155">
    <w:name w:val="修订1"/>
    <w:semiHidden/>
    <w:qFormat/>
    <w:uiPriority w:val="99"/>
    <w:rPr>
      <w:rFonts w:ascii="等线" w:hAnsi="等线" w:eastAsia="等线" w:cs="Times New Roman"/>
      <w:kern w:val="2"/>
      <w:sz w:val="21"/>
      <w:szCs w:val="22"/>
      <w:lang w:val="en-US" w:eastAsia="zh-CN" w:bidi="ar-SA"/>
    </w:rPr>
  </w:style>
  <w:style w:type="paragraph" w:customStyle="1" w:styleId="156">
    <w:name w:val="K2-A4"/>
    <w:basedOn w:val="6"/>
    <w:qFormat/>
    <w:uiPriority w:val="0"/>
    <w:pPr>
      <w:spacing w:before="0" w:after="0" w:line="360" w:lineRule="auto"/>
    </w:pPr>
    <w:rPr>
      <w:rFonts w:ascii="Times New Roman" w:hAnsi="Times New Roman" w:eastAsia="宋体" w:cs="Times New Roman"/>
      <w:bCs/>
      <w:sz w:val="21"/>
      <w:szCs w:val="28"/>
    </w:rPr>
  </w:style>
  <w:style w:type="paragraph" w:customStyle="1" w:styleId="157">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58">
    <w:name w:val="正文表标题"/>
    <w:next w:val="157"/>
    <w:qFormat/>
    <w:uiPriority w:val="0"/>
    <w:pPr>
      <w:numPr>
        <w:ilvl w:val="0"/>
        <w:numId w:val="2"/>
      </w:numPr>
      <w:spacing w:beforeLines="50" w:afterLines="50"/>
      <w:jc w:val="center"/>
    </w:pPr>
    <w:rPr>
      <w:rFonts w:ascii="黑体" w:hAnsi="Times New Roman" w:eastAsia="黑体" w:cs="Times New Roman"/>
      <w:sz w:val="21"/>
      <w:lang w:val="en-US" w:eastAsia="zh-CN" w:bidi="ar-SA"/>
    </w:rPr>
  </w:style>
  <w:style w:type="paragraph" w:customStyle="1" w:styleId="159">
    <w:name w:val="p0"/>
    <w:basedOn w:val="1"/>
    <w:qFormat/>
    <w:uiPriority w:val="0"/>
    <w:pPr>
      <w:widowControl/>
      <w:spacing w:line="360" w:lineRule="auto"/>
      <w:jc w:val="left"/>
    </w:pPr>
    <w:rPr>
      <w:rFonts w:ascii="Times New Roman" w:hAnsi="Times New Roman" w:eastAsia="宋体" w:cs="Times New Roman"/>
      <w:kern w:val="0"/>
      <w:sz w:val="24"/>
      <w:szCs w:val="21"/>
    </w:rPr>
  </w:style>
  <w:style w:type="paragraph" w:customStyle="1" w:styleId="160">
    <w:name w:val="Table Text"/>
    <w:basedOn w:val="1"/>
    <w:semiHidden/>
    <w:qFormat/>
    <w:uiPriority w:val="0"/>
    <w:rPr>
      <w:rFonts w:ascii="宋体" w:hAnsi="宋体" w:eastAsia="宋体" w:cs="宋体"/>
      <w:sz w:val="24"/>
      <w:szCs w:val="24"/>
      <w:lang w:eastAsia="en-US"/>
    </w:rPr>
  </w:style>
  <w:style w:type="paragraph" w:customStyle="1" w:styleId="161">
    <w:name w:val="（4）级标题"/>
    <w:basedOn w:val="18"/>
    <w:qFormat/>
    <w:uiPriority w:val="8"/>
    <w:pPr>
      <w:numPr>
        <w:ilvl w:val="0"/>
        <w:numId w:val="3"/>
      </w:numPr>
      <w:spacing w:line="360" w:lineRule="auto"/>
      <w:outlineLvl w:val="4"/>
    </w:pPr>
  </w:style>
  <w:style w:type="paragraph" w:customStyle="1" w:styleId="162">
    <w:name w:val="一级标题"/>
    <w:basedOn w:val="18"/>
    <w:qFormat/>
    <w:uiPriority w:val="1"/>
    <w:pPr>
      <w:numPr>
        <w:ilvl w:val="0"/>
        <w:numId w:val="4"/>
      </w:numPr>
      <w:spacing w:line="360" w:lineRule="auto"/>
      <w:ind w:left="420"/>
      <w:outlineLvl w:val="1"/>
    </w:pPr>
    <w:rPr>
      <w:rFonts w:ascii="黑体" w:eastAsia="黑体"/>
      <w:b/>
      <w:bCs/>
      <w:sz w:val="28"/>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6" Type="http://schemas.openxmlformats.org/officeDocument/2006/relationships/fontTable" Target="fontTable.xml"/><Relationship Id="rId85" Type="http://schemas.openxmlformats.org/officeDocument/2006/relationships/numbering" Target="numbering.xml"/><Relationship Id="rId84" Type="http://schemas.openxmlformats.org/officeDocument/2006/relationships/customXml" Target="../customXml/item1.xml"/><Relationship Id="rId83" Type="http://schemas.openxmlformats.org/officeDocument/2006/relationships/image" Target="media/image38.png"/><Relationship Id="rId82" Type="http://schemas.openxmlformats.org/officeDocument/2006/relationships/image" Target="media/image37.png"/><Relationship Id="rId81" Type="http://schemas.openxmlformats.org/officeDocument/2006/relationships/image" Target="media/image36.png"/><Relationship Id="rId80" Type="http://schemas.openxmlformats.org/officeDocument/2006/relationships/image" Target="media/image35.png"/><Relationship Id="rId8" Type="http://schemas.openxmlformats.org/officeDocument/2006/relationships/footer" Target="footer4.xml"/><Relationship Id="rId79" Type="http://schemas.openxmlformats.org/officeDocument/2006/relationships/image" Target="media/image34.png"/><Relationship Id="rId78" Type="http://schemas.openxmlformats.org/officeDocument/2006/relationships/image" Target="media/image33.png"/><Relationship Id="rId77" Type="http://schemas.openxmlformats.org/officeDocument/2006/relationships/image" Target="media/image32.png"/><Relationship Id="rId76" Type="http://schemas.openxmlformats.org/officeDocument/2006/relationships/image" Target="media/image31.png"/><Relationship Id="rId75" Type="http://schemas.openxmlformats.org/officeDocument/2006/relationships/image" Target="media/image30.png"/><Relationship Id="rId74" Type="http://schemas.openxmlformats.org/officeDocument/2006/relationships/image" Target="media/image29.png"/><Relationship Id="rId73" Type="http://schemas.openxmlformats.org/officeDocument/2006/relationships/image" Target="media/image28.png"/><Relationship Id="rId72" Type="http://schemas.openxmlformats.org/officeDocument/2006/relationships/image" Target="media/image27.png"/><Relationship Id="rId71" Type="http://schemas.openxmlformats.org/officeDocument/2006/relationships/image" Target="media/image26.png"/><Relationship Id="rId70" Type="http://schemas.openxmlformats.org/officeDocument/2006/relationships/image" Target="media/image25.png"/><Relationship Id="rId7" Type="http://schemas.openxmlformats.org/officeDocument/2006/relationships/header" Target="header2.xml"/><Relationship Id="rId69" Type="http://schemas.openxmlformats.org/officeDocument/2006/relationships/image" Target="media/image24.png"/><Relationship Id="rId68" Type="http://schemas.openxmlformats.org/officeDocument/2006/relationships/image" Target="media/image23.png"/><Relationship Id="rId67" Type="http://schemas.openxmlformats.org/officeDocument/2006/relationships/image" Target="media/image22.png"/><Relationship Id="rId66" Type="http://schemas.openxmlformats.org/officeDocument/2006/relationships/image" Target="media/image21.png"/><Relationship Id="rId65" Type="http://schemas.openxmlformats.org/officeDocument/2006/relationships/image" Target="media/image20.png"/><Relationship Id="rId64" Type="http://schemas.openxmlformats.org/officeDocument/2006/relationships/image" Target="media/image19.png"/><Relationship Id="rId63" Type="http://schemas.openxmlformats.org/officeDocument/2006/relationships/image" Target="media/image18.png"/><Relationship Id="rId62" Type="http://schemas.openxmlformats.org/officeDocument/2006/relationships/image" Target="media/image17.png"/><Relationship Id="rId61" Type="http://schemas.openxmlformats.org/officeDocument/2006/relationships/image" Target="media/image16.png"/><Relationship Id="rId60" Type="http://schemas.openxmlformats.org/officeDocument/2006/relationships/image" Target="media/image15.png"/><Relationship Id="rId6" Type="http://schemas.openxmlformats.org/officeDocument/2006/relationships/footer" Target="footer3.xml"/><Relationship Id="rId59" Type="http://schemas.openxmlformats.org/officeDocument/2006/relationships/image" Target="media/image14.png"/><Relationship Id="rId58" Type="http://schemas.openxmlformats.org/officeDocument/2006/relationships/image" Target="media/image13.png"/><Relationship Id="rId57" Type="http://schemas.openxmlformats.org/officeDocument/2006/relationships/image" Target="media/image12.png"/><Relationship Id="rId56" Type="http://schemas.openxmlformats.org/officeDocument/2006/relationships/image" Target="media/image11.png"/><Relationship Id="rId55" Type="http://schemas.openxmlformats.org/officeDocument/2006/relationships/image" Target="media/image10.png"/><Relationship Id="rId54" Type="http://schemas.openxmlformats.org/officeDocument/2006/relationships/image" Target="media/image9.png"/><Relationship Id="rId53" Type="http://schemas.openxmlformats.org/officeDocument/2006/relationships/image" Target="media/image8.png"/><Relationship Id="rId52" Type="http://schemas.openxmlformats.org/officeDocument/2006/relationships/image" Target="media/image7.png"/><Relationship Id="rId51" Type="http://schemas.openxmlformats.org/officeDocument/2006/relationships/image" Target="media/image6.png"/><Relationship Id="rId50" Type="http://schemas.openxmlformats.org/officeDocument/2006/relationships/image" Target="media/image5.png"/><Relationship Id="rId5" Type="http://schemas.openxmlformats.org/officeDocument/2006/relationships/header" Target="header1.xml"/><Relationship Id="rId49" Type="http://schemas.openxmlformats.org/officeDocument/2006/relationships/image" Target="media/image4.png"/><Relationship Id="rId48" Type="http://schemas.openxmlformats.org/officeDocument/2006/relationships/image" Target="media/image3.png"/><Relationship Id="rId47" Type="http://schemas.openxmlformats.org/officeDocument/2006/relationships/image" Target="media/image2.png"/><Relationship Id="rId46" Type="http://schemas.openxmlformats.org/officeDocument/2006/relationships/image" Target="media/image1.png"/><Relationship Id="rId45" Type="http://schemas.openxmlformats.org/officeDocument/2006/relationships/theme" Target="theme/theme1.xml"/><Relationship Id="rId44" Type="http://schemas.openxmlformats.org/officeDocument/2006/relationships/footer" Target="footer32.xml"/><Relationship Id="rId43" Type="http://schemas.openxmlformats.org/officeDocument/2006/relationships/footer" Target="footer31.xml"/><Relationship Id="rId42" Type="http://schemas.openxmlformats.org/officeDocument/2006/relationships/header" Target="header10.xml"/><Relationship Id="rId41" Type="http://schemas.openxmlformats.org/officeDocument/2006/relationships/header" Target="header9.xml"/><Relationship Id="rId40" Type="http://schemas.openxmlformats.org/officeDocument/2006/relationships/footer" Target="footer30.xml"/><Relationship Id="rId4" Type="http://schemas.openxmlformats.org/officeDocument/2006/relationships/footer" Target="footer2.xml"/><Relationship Id="rId39" Type="http://schemas.openxmlformats.org/officeDocument/2006/relationships/footer" Target="footer29.xml"/><Relationship Id="rId38" Type="http://schemas.openxmlformats.org/officeDocument/2006/relationships/header" Target="header8.xml"/><Relationship Id="rId37" Type="http://schemas.openxmlformats.org/officeDocument/2006/relationships/header" Target="header7.xml"/><Relationship Id="rId36" Type="http://schemas.openxmlformats.org/officeDocument/2006/relationships/footer" Target="footer28.xml"/><Relationship Id="rId35" Type="http://schemas.openxmlformats.org/officeDocument/2006/relationships/footer" Target="footer27.xml"/><Relationship Id="rId34" Type="http://schemas.openxmlformats.org/officeDocument/2006/relationships/footer" Target="footer26.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footer" Target="foot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header" Target="header6.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111</Pages>
  <Words>22755</Words>
  <Characters>24102</Characters>
  <Lines>1801</Lines>
  <Paragraphs>1806</Paragraphs>
  <TotalTime>147</TotalTime>
  <ScaleCrop>false</ScaleCrop>
  <LinksUpToDate>false</LinksUpToDate>
  <CharactersWithSpaces>24371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李帅威</cp:lastModifiedBy>
  <cp:lastPrinted>2022-07-01T03:19:00Z</cp:lastPrinted>
  <dcterms:modified xsi:type="dcterms:W3CDTF">2026-07-20T02:35:13Z</dcterms:modified>
  <cp:revision>51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ED02EB12B8294FE5807EAA5D2C3C24E0</vt:lpwstr>
  </property>
  <property fmtid="{D5CDD505-2E9C-101B-9397-08002B2CF9AE}" pid="4" name="KSOTemplateDocerSaveRecord">
    <vt:lpwstr>eyJoZGlkIjoiZDZiY2E3MTk3OWVkMDZmNDgwYmUwNDViMmIxMTA0OGYiLCJ1c2VySWQiOiIxNzY1NTM3NjAwIn0=</vt:lpwstr>
  </property>
</Properties>
</file>